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743C5A7" w14:textId="4175E399" w:rsidR="00284C59" w:rsidRDefault="00364BFA" w:rsidP="00364BFA">
      <w:pPr>
        <w:jc w:val="center"/>
      </w:pPr>
      <w:r w:rsidRPr="00364BFA">
        <w:drawing>
          <wp:anchor distT="0" distB="0" distL="114300" distR="114300" simplePos="0" relativeHeight="251664384" behindDoc="1" locked="0" layoutInCell="1" allowOverlap="1" wp14:anchorId="62A93248" wp14:editId="1BC65A64">
            <wp:simplePos x="0" y="0"/>
            <wp:positionH relativeFrom="column">
              <wp:posOffset>-73545</wp:posOffset>
            </wp:positionH>
            <wp:positionV relativeFrom="paragraph">
              <wp:posOffset>-232699</wp:posOffset>
            </wp:positionV>
            <wp:extent cx="1819564" cy="1819564"/>
            <wp:effectExtent l="0" t="0" r="0" b="0"/>
            <wp:wrapNone/>
            <wp:docPr id="1314092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922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718" cy="1831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AEC5B" w14:textId="77777777" w:rsidR="00284C59" w:rsidRDefault="00284C59" w:rsidP="00364BFA">
      <w:pPr>
        <w:pStyle w:val="Titre1"/>
      </w:pPr>
    </w:p>
    <w:p w14:paraId="1EE16E07" w14:textId="77777777" w:rsidR="00284C59" w:rsidRDefault="00284C59" w:rsidP="00284C59"/>
    <w:p w14:paraId="3DE63442" w14:textId="77777777" w:rsidR="00284C59" w:rsidRDefault="00284C59" w:rsidP="00284C59"/>
    <w:p w14:paraId="491B6388" w14:textId="77777777" w:rsidR="00F3169D" w:rsidRDefault="00F3169D" w:rsidP="00284C59"/>
    <w:p w14:paraId="68EB3C39" w14:textId="77777777" w:rsidR="00F3169D" w:rsidRDefault="00F3169D" w:rsidP="00284C59"/>
    <w:p w14:paraId="61D59D4C" w14:textId="77777777" w:rsidR="00F3169D" w:rsidRDefault="00F3169D" w:rsidP="00284C59"/>
    <w:p w14:paraId="74FF8588" w14:textId="77777777" w:rsidR="00F3169D" w:rsidRDefault="00F3169D" w:rsidP="00284C59"/>
    <w:p w14:paraId="70F39CCA" w14:textId="77777777" w:rsidR="00F3169D" w:rsidRPr="00284C59" w:rsidRDefault="00F3169D" w:rsidP="00284C59"/>
    <w:p w14:paraId="3FE30D17" w14:textId="27B7EEEC" w:rsidR="009000D1" w:rsidRPr="00364BFA" w:rsidRDefault="00F8428D" w:rsidP="00364BFA">
      <w:pPr>
        <w:pStyle w:val="Titre1"/>
        <w:jc w:val="center"/>
      </w:pPr>
      <w:bookmarkStart w:id="0" w:name="_Toc203319331"/>
      <w:r w:rsidRPr="00364BFA">
        <w:t>I</w:t>
      </w:r>
      <w:r w:rsidR="00284C59" w:rsidRPr="00364BFA">
        <w:t xml:space="preserve">nvestment Policy </w:t>
      </w:r>
      <w:proofErr w:type="spellStart"/>
      <w:r w:rsidR="00284C59" w:rsidRPr="00364BFA">
        <w:t>Statement</w:t>
      </w:r>
      <w:bookmarkEnd w:id="0"/>
      <w:proofErr w:type="spellEnd"/>
    </w:p>
    <w:p w14:paraId="7C7E451C" w14:textId="2B398074" w:rsidR="00284C59" w:rsidRPr="00364BFA" w:rsidRDefault="00284C59" w:rsidP="00364BFA">
      <w:pPr>
        <w:jc w:val="center"/>
      </w:pPr>
      <w:r w:rsidRPr="00364BFA">
        <w:t>Portefeuille Moyen-Long terme</w:t>
      </w:r>
    </w:p>
    <w:p w14:paraId="509ED704" w14:textId="77777777" w:rsidR="00284C59" w:rsidRDefault="00284C59" w:rsidP="00284C59">
      <w:pPr>
        <w:rPr>
          <w:lang w:val="en-CA"/>
        </w:rPr>
      </w:pPr>
    </w:p>
    <w:p w14:paraId="6B3085E1" w14:textId="77777777" w:rsidR="00284C59" w:rsidRDefault="00284C59" w:rsidP="00284C59">
      <w:pPr>
        <w:rPr>
          <w:lang w:val="en-CA"/>
        </w:rPr>
      </w:pPr>
    </w:p>
    <w:p w14:paraId="1C0DCBCE" w14:textId="77777777" w:rsidR="00284C59" w:rsidRDefault="00284C59" w:rsidP="00284C59">
      <w:pPr>
        <w:rPr>
          <w:lang w:val="en-CA"/>
        </w:rPr>
      </w:pPr>
    </w:p>
    <w:p w14:paraId="20CCE7E0" w14:textId="77777777" w:rsidR="00284C59" w:rsidRDefault="00284C59" w:rsidP="00284C59">
      <w:pPr>
        <w:rPr>
          <w:lang w:val="en-CA"/>
        </w:rPr>
      </w:pPr>
    </w:p>
    <w:p w14:paraId="3EBEF379" w14:textId="77777777" w:rsidR="00284C59" w:rsidRDefault="00284C59" w:rsidP="00284C59">
      <w:pPr>
        <w:rPr>
          <w:lang w:val="en-CA"/>
        </w:rPr>
      </w:pPr>
    </w:p>
    <w:p w14:paraId="17FFA96C" w14:textId="77777777" w:rsidR="00284C59" w:rsidRDefault="00284C59" w:rsidP="00284C59">
      <w:pPr>
        <w:rPr>
          <w:lang w:val="en-CA"/>
        </w:rPr>
      </w:pPr>
    </w:p>
    <w:p w14:paraId="7078B755" w14:textId="77777777" w:rsidR="00284C59" w:rsidRDefault="00284C59" w:rsidP="00284C59">
      <w:pPr>
        <w:rPr>
          <w:lang w:val="en-CA"/>
        </w:rPr>
      </w:pPr>
    </w:p>
    <w:p w14:paraId="0693B826" w14:textId="77777777" w:rsidR="00364BFA" w:rsidRDefault="00364BFA" w:rsidP="00284C59">
      <w:pPr>
        <w:rPr>
          <w:lang w:val="en-CA"/>
        </w:rPr>
      </w:pPr>
    </w:p>
    <w:p w14:paraId="4E113AF3" w14:textId="77777777" w:rsidR="00284C59" w:rsidRDefault="00284C59" w:rsidP="00284C59">
      <w:pPr>
        <w:rPr>
          <w:lang w:val="en-CA"/>
        </w:rPr>
      </w:pPr>
    </w:p>
    <w:p w14:paraId="18DA06DF" w14:textId="77777777" w:rsidR="00284C59" w:rsidRDefault="00284C59" w:rsidP="00284C59">
      <w:pPr>
        <w:rPr>
          <w:lang w:val="en-CA"/>
        </w:rPr>
      </w:pPr>
    </w:p>
    <w:p w14:paraId="46FF886F" w14:textId="77777777" w:rsidR="00284C59" w:rsidRDefault="00284C59" w:rsidP="00284C59">
      <w:pPr>
        <w:rPr>
          <w:lang w:val="en-CA"/>
        </w:rPr>
      </w:pPr>
    </w:p>
    <w:p w14:paraId="35D5D2ED" w14:textId="77777777" w:rsidR="00284C59" w:rsidRDefault="00284C59" w:rsidP="00284C59">
      <w:pPr>
        <w:rPr>
          <w:lang w:val="en-CA"/>
        </w:rPr>
      </w:pPr>
    </w:p>
    <w:p w14:paraId="78DE2F76" w14:textId="4C5CABAF" w:rsidR="00284C59" w:rsidRDefault="00284C59" w:rsidP="00284C59">
      <w:pPr>
        <w:rPr>
          <w:rStyle w:val="Accentuationlgre"/>
        </w:rPr>
      </w:pPr>
      <w:r w:rsidRPr="00284C59">
        <w:rPr>
          <w:rStyle w:val="Accentuationlgre"/>
        </w:rPr>
        <w:t xml:space="preserve">13 juillet 2025 </w:t>
      </w:r>
      <w:r>
        <w:rPr>
          <w:rStyle w:val="Accentuationlgre"/>
        </w:rPr>
        <w:tab/>
      </w:r>
      <w:r>
        <w:rPr>
          <w:rStyle w:val="Accentuationlgre"/>
        </w:rPr>
        <w:tab/>
      </w:r>
      <w:r>
        <w:rPr>
          <w:rStyle w:val="Accentuationlgre"/>
        </w:rPr>
        <w:tab/>
      </w:r>
      <w:r>
        <w:rPr>
          <w:rStyle w:val="Accentuationlgre"/>
        </w:rPr>
        <w:tab/>
      </w:r>
      <w:r>
        <w:rPr>
          <w:rStyle w:val="Accentuationlgre"/>
        </w:rPr>
        <w:tab/>
      </w:r>
      <w:r w:rsidR="00F3169D">
        <w:rPr>
          <w:rStyle w:val="Accentuationlgre"/>
        </w:rPr>
        <w:tab/>
      </w:r>
      <w:r w:rsidR="00F3169D">
        <w:rPr>
          <w:rStyle w:val="Accentuationlgre"/>
        </w:rPr>
        <w:tab/>
      </w:r>
      <w:r>
        <w:rPr>
          <w:rStyle w:val="Accentuationlgre"/>
        </w:rPr>
        <w:tab/>
      </w:r>
      <w:r>
        <w:rPr>
          <w:rStyle w:val="Accentuationlgre"/>
        </w:rPr>
        <w:tab/>
      </w:r>
      <w:r w:rsidR="00364BFA">
        <w:rPr>
          <w:rStyle w:val="Accentuationlgre"/>
        </w:rPr>
        <w:t xml:space="preserve">par </w:t>
      </w:r>
      <w:r>
        <w:rPr>
          <w:rStyle w:val="Accentuationlgre"/>
        </w:rPr>
        <w:t>Neil Kazi-Aoual</w:t>
      </w:r>
    </w:p>
    <w:p w14:paraId="1DBCE549" w14:textId="77777777" w:rsidR="00364BFA" w:rsidRDefault="00364BFA" w:rsidP="00284C59">
      <w:pPr>
        <w:rPr>
          <w:rStyle w:val="Accentuationlgre"/>
          <w:i w:val="0"/>
          <w:iCs w:val="0"/>
          <w:color w:val="auto"/>
        </w:rPr>
      </w:pPr>
    </w:p>
    <w:p w14:paraId="2279AF77" w14:textId="7158FFEB" w:rsidR="00364BFA" w:rsidRPr="00364BFA" w:rsidRDefault="00364BFA" w:rsidP="00364BFA">
      <w:pPr>
        <w:pStyle w:val="Titre2"/>
        <w:jc w:val="center"/>
        <w:rPr>
          <w:rStyle w:val="Accentuationlgre"/>
          <w:i w:val="0"/>
          <w:iCs w:val="0"/>
          <w:color w:val="0F4761" w:themeColor="accent1" w:themeShade="BF"/>
        </w:rPr>
      </w:pPr>
      <w:bookmarkStart w:id="1" w:name="_Toc203319332"/>
      <w:r w:rsidRPr="00364BFA">
        <w:rPr>
          <w:rStyle w:val="Accentuationlgre"/>
          <w:i w:val="0"/>
          <w:iCs w:val="0"/>
          <w:color w:val="0F4761" w:themeColor="accent1" w:themeShade="BF"/>
        </w:rPr>
        <w:t>Table de révision</w:t>
      </w:r>
      <w:bookmarkEnd w:id="1"/>
    </w:p>
    <w:p w14:paraId="1EC94766" w14:textId="77777777" w:rsidR="00364BFA" w:rsidRDefault="00364BFA" w:rsidP="00284C59">
      <w:pPr>
        <w:rPr>
          <w:rStyle w:val="Accentuationlgre"/>
        </w:rPr>
      </w:pPr>
    </w:p>
    <w:p w14:paraId="599D8449" w14:textId="77777777" w:rsidR="00364BFA" w:rsidRPr="00284C59" w:rsidRDefault="00364BFA" w:rsidP="00284C59">
      <w:pPr>
        <w:rPr>
          <w:rStyle w:val="Accentuationlgre"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364BFA" w14:paraId="28188063" w14:textId="77777777" w:rsidTr="00F31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798433A6" w14:textId="0686B051" w:rsidR="00364BFA" w:rsidRDefault="00364BFA" w:rsidP="00364BFA">
            <w:pPr>
              <w:jc w:val="center"/>
            </w:pPr>
            <w:r>
              <w:lastRenderedPageBreak/>
              <w:t>Version</w:t>
            </w:r>
          </w:p>
        </w:tc>
        <w:tc>
          <w:tcPr>
            <w:tcW w:w="3321" w:type="dxa"/>
          </w:tcPr>
          <w:p w14:paraId="5FBE4FE7" w14:textId="5A2F211C" w:rsidR="00364BFA" w:rsidRDefault="00364BFA" w:rsidP="00364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21" w:type="dxa"/>
          </w:tcPr>
          <w:p w14:paraId="230C40A3" w14:textId="778B75C9" w:rsidR="00364BFA" w:rsidRDefault="00364BFA" w:rsidP="00364B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 par</w:t>
            </w:r>
            <w:r w:rsidR="00F3169D">
              <w:t xml:space="preserve"> / Ajouts </w:t>
            </w:r>
          </w:p>
        </w:tc>
      </w:tr>
      <w:tr w:rsidR="00364BFA" w14:paraId="2586534A" w14:textId="77777777" w:rsidTr="00F3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F022144" w14:textId="397C6EC4" w:rsidR="00364BFA" w:rsidRPr="00F3169D" w:rsidRDefault="00F3169D" w:rsidP="00F316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Version 1.0 </w:t>
            </w:r>
          </w:p>
        </w:tc>
        <w:tc>
          <w:tcPr>
            <w:tcW w:w="3321" w:type="dxa"/>
          </w:tcPr>
          <w:p w14:paraId="1FC31C99" w14:textId="0C1FA83C" w:rsidR="00364BFA" w:rsidRPr="00F3169D" w:rsidRDefault="00F3169D" w:rsidP="0028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juillet 2025</w:t>
            </w:r>
          </w:p>
        </w:tc>
        <w:tc>
          <w:tcPr>
            <w:tcW w:w="3321" w:type="dxa"/>
          </w:tcPr>
          <w:p w14:paraId="1B2CECD4" w14:textId="4E3A2968" w:rsidR="00364BFA" w:rsidRPr="00F3169D" w:rsidRDefault="00F3169D" w:rsidP="0028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NKA – version initial</w:t>
            </w:r>
          </w:p>
        </w:tc>
      </w:tr>
      <w:tr w:rsidR="00364BFA" w14:paraId="04FDA03A" w14:textId="77777777" w:rsidTr="00F3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2D36024B" w14:textId="77777777" w:rsidR="00364BFA" w:rsidRPr="00F3169D" w:rsidRDefault="00364BFA" w:rsidP="00284C59">
            <w:pPr>
              <w:rPr>
                <w:b w:val="0"/>
                <w:bCs w:val="0"/>
              </w:rPr>
            </w:pPr>
          </w:p>
        </w:tc>
        <w:tc>
          <w:tcPr>
            <w:tcW w:w="3321" w:type="dxa"/>
          </w:tcPr>
          <w:p w14:paraId="0C02CADF" w14:textId="77777777" w:rsidR="00364BFA" w:rsidRPr="00F3169D" w:rsidRDefault="00364BFA" w:rsidP="0028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1" w:type="dxa"/>
          </w:tcPr>
          <w:p w14:paraId="622D7565" w14:textId="77777777" w:rsidR="00364BFA" w:rsidRPr="00F3169D" w:rsidRDefault="00364BFA" w:rsidP="0028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BFA" w14:paraId="62AF0693" w14:textId="77777777" w:rsidTr="00F3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10F88034" w14:textId="77777777" w:rsidR="00364BFA" w:rsidRPr="00F3169D" w:rsidRDefault="00364BFA" w:rsidP="00284C59">
            <w:pPr>
              <w:rPr>
                <w:b w:val="0"/>
                <w:bCs w:val="0"/>
              </w:rPr>
            </w:pPr>
          </w:p>
        </w:tc>
        <w:tc>
          <w:tcPr>
            <w:tcW w:w="3321" w:type="dxa"/>
          </w:tcPr>
          <w:p w14:paraId="285B0809" w14:textId="77777777" w:rsidR="00364BFA" w:rsidRPr="00F3169D" w:rsidRDefault="00364BFA" w:rsidP="0028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1" w:type="dxa"/>
          </w:tcPr>
          <w:p w14:paraId="474FFD23" w14:textId="77777777" w:rsidR="00364BFA" w:rsidRPr="00F3169D" w:rsidRDefault="00364BFA" w:rsidP="0028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BFA" w14:paraId="1FAD135A" w14:textId="77777777" w:rsidTr="00F3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6F9C0D97" w14:textId="77777777" w:rsidR="00364BFA" w:rsidRPr="00F3169D" w:rsidRDefault="00364BFA" w:rsidP="00284C59">
            <w:pPr>
              <w:rPr>
                <w:b w:val="0"/>
                <w:bCs w:val="0"/>
              </w:rPr>
            </w:pPr>
          </w:p>
        </w:tc>
        <w:tc>
          <w:tcPr>
            <w:tcW w:w="3321" w:type="dxa"/>
          </w:tcPr>
          <w:p w14:paraId="50C2520A" w14:textId="77777777" w:rsidR="00364BFA" w:rsidRPr="00F3169D" w:rsidRDefault="00364BFA" w:rsidP="0028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1" w:type="dxa"/>
          </w:tcPr>
          <w:p w14:paraId="49D230F5" w14:textId="77777777" w:rsidR="00364BFA" w:rsidRPr="00F3169D" w:rsidRDefault="00364BFA" w:rsidP="0028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BFA" w14:paraId="4418B32F" w14:textId="77777777" w:rsidTr="00F31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</w:tcPr>
          <w:p w14:paraId="4DCC3032" w14:textId="77777777" w:rsidR="00364BFA" w:rsidRPr="00F3169D" w:rsidRDefault="00364BFA" w:rsidP="00284C59">
            <w:pPr>
              <w:rPr>
                <w:b w:val="0"/>
                <w:bCs w:val="0"/>
              </w:rPr>
            </w:pPr>
          </w:p>
        </w:tc>
        <w:tc>
          <w:tcPr>
            <w:tcW w:w="3321" w:type="dxa"/>
          </w:tcPr>
          <w:p w14:paraId="2D61D976" w14:textId="77777777" w:rsidR="00364BFA" w:rsidRPr="00F3169D" w:rsidRDefault="00364BFA" w:rsidP="0028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1" w:type="dxa"/>
          </w:tcPr>
          <w:p w14:paraId="1DE061E8" w14:textId="77777777" w:rsidR="00364BFA" w:rsidRPr="00F3169D" w:rsidRDefault="00364BFA" w:rsidP="0028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3264DF" w14:textId="77777777" w:rsidR="00284C59" w:rsidRPr="00284C59" w:rsidRDefault="00284C59" w:rsidP="00284C59"/>
    <w:p w14:paraId="430025CF" w14:textId="77777777" w:rsidR="00284C59" w:rsidRPr="00284C59" w:rsidRDefault="00284C59" w:rsidP="00284C59">
      <w:pPr>
        <w:jc w:val="center"/>
      </w:pPr>
    </w:p>
    <w:p w14:paraId="2AE06831" w14:textId="77777777" w:rsidR="009000D1" w:rsidRPr="00284C59" w:rsidRDefault="009000D1" w:rsidP="009000D1">
      <w:pPr>
        <w:jc w:val="center"/>
        <w:rPr>
          <w:rFonts w:cs="Calibri"/>
        </w:rPr>
      </w:pPr>
    </w:p>
    <w:p w14:paraId="1A82B5FC" w14:textId="77777777" w:rsidR="00284C59" w:rsidRPr="00284C59" w:rsidRDefault="00284C59" w:rsidP="009000D1">
      <w:pPr>
        <w:jc w:val="center"/>
        <w:rPr>
          <w:rFonts w:cs="Calibri"/>
        </w:rPr>
      </w:pPr>
    </w:p>
    <w:p w14:paraId="5459BAD8" w14:textId="77777777" w:rsidR="00284C59" w:rsidRPr="00284C59" w:rsidRDefault="00284C59" w:rsidP="009000D1">
      <w:pPr>
        <w:jc w:val="center"/>
        <w:rPr>
          <w:rFonts w:cs="Calibri"/>
        </w:rPr>
      </w:pPr>
    </w:p>
    <w:p w14:paraId="704A627B" w14:textId="77777777" w:rsidR="00284C59" w:rsidRPr="00284C59" w:rsidRDefault="00284C59" w:rsidP="009000D1">
      <w:pPr>
        <w:jc w:val="center"/>
        <w:rPr>
          <w:rFonts w:cs="Calibri"/>
        </w:rPr>
      </w:pPr>
    </w:p>
    <w:p w14:paraId="4F700383" w14:textId="77777777" w:rsidR="00284C59" w:rsidRPr="00284C59" w:rsidRDefault="00284C59" w:rsidP="009000D1">
      <w:pPr>
        <w:jc w:val="center"/>
        <w:rPr>
          <w:rFonts w:cs="Calibri"/>
        </w:rPr>
      </w:pPr>
    </w:p>
    <w:p w14:paraId="1689154F" w14:textId="77777777" w:rsidR="00284C59" w:rsidRPr="00284C59" w:rsidRDefault="00284C59" w:rsidP="00F3169D">
      <w:pPr>
        <w:pStyle w:val="Titre1"/>
      </w:pPr>
    </w:p>
    <w:p w14:paraId="28ECAB66" w14:textId="77777777" w:rsidR="00284C59" w:rsidRDefault="00284C59" w:rsidP="009000D1">
      <w:pPr>
        <w:jc w:val="center"/>
        <w:rPr>
          <w:rFonts w:cs="Calibri"/>
        </w:rPr>
      </w:pPr>
    </w:p>
    <w:p w14:paraId="6965E72C" w14:textId="77777777" w:rsidR="00E31E33" w:rsidRDefault="00E31E33" w:rsidP="009000D1">
      <w:pPr>
        <w:jc w:val="center"/>
        <w:rPr>
          <w:rFonts w:cs="Calibri"/>
        </w:rPr>
      </w:pPr>
    </w:p>
    <w:p w14:paraId="2C0DFF9E" w14:textId="77777777" w:rsidR="00E31E33" w:rsidRDefault="00E31E33" w:rsidP="009000D1">
      <w:pPr>
        <w:jc w:val="center"/>
        <w:rPr>
          <w:rFonts w:cs="Calibri"/>
        </w:rPr>
      </w:pPr>
    </w:p>
    <w:p w14:paraId="0BB470BD" w14:textId="77777777" w:rsidR="00E31E33" w:rsidRPr="00284C59" w:rsidRDefault="00E31E33" w:rsidP="009000D1">
      <w:pPr>
        <w:jc w:val="center"/>
        <w:rPr>
          <w:rFonts w:cs="Calibri"/>
        </w:rPr>
      </w:pPr>
    </w:p>
    <w:p w14:paraId="12680129" w14:textId="77777777" w:rsidR="00284C59" w:rsidRDefault="00284C59" w:rsidP="009000D1">
      <w:pPr>
        <w:jc w:val="center"/>
        <w:rPr>
          <w:rFonts w:cs="Calibri"/>
        </w:rPr>
      </w:pPr>
    </w:p>
    <w:p w14:paraId="366CFD8C" w14:textId="77777777" w:rsidR="00364BFA" w:rsidRDefault="00364BFA" w:rsidP="009000D1">
      <w:pPr>
        <w:jc w:val="center"/>
        <w:rPr>
          <w:rFonts w:cs="Calibri"/>
        </w:rPr>
      </w:pPr>
    </w:p>
    <w:p w14:paraId="70C6D363" w14:textId="77777777" w:rsidR="00364BFA" w:rsidRDefault="00364BFA" w:rsidP="009000D1">
      <w:pPr>
        <w:jc w:val="center"/>
        <w:rPr>
          <w:rFonts w:cs="Calibri"/>
        </w:rPr>
      </w:pPr>
    </w:p>
    <w:p w14:paraId="5732FF40" w14:textId="77777777" w:rsidR="00364BFA" w:rsidRDefault="00364BFA" w:rsidP="009000D1">
      <w:pPr>
        <w:jc w:val="center"/>
        <w:rPr>
          <w:rFonts w:cs="Calibri"/>
        </w:rPr>
      </w:pPr>
    </w:p>
    <w:p w14:paraId="2472F1BB" w14:textId="77777777" w:rsidR="00364BFA" w:rsidRDefault="00364BFA" w:rsidP="009000D1">
      <w:pPr>
        <w:jc w:val="center"/>
        <w:rPr>
          <w:rFonts w:cs="Calibri"/>
        </w:rPr>
      </w:pPr>
    </w:p>
    <w:p w14:paraId="4DCC18D7" w14:textId="77777777" w:rsidR="00364BFA" w:rsidRDefault="00364BFA" w:rsidP="009000D1">
      <w:pPr>
        <w:jc w:val="center"/>
        <w:rPr>
          <w:rFonts w:cs="Calibri"/>
        </w:rPr>
      </w:pPr>
    </w:p>
    <w:p w14:paraId="5906D850" w14:textId="77777777" w:rsidR="00364BFA" w:rsidRDefault="00364BFA" w:rsidP="009000D1">
      <w:pPr>
        <w:jc w:val="center"/>
        <w:rPr>
          <w:rFonts w:cs="Calibri"/>
        </w:rPr>
      </w:pPr>
    </w:p>
    <w:p w14:paraId="41D0430F" w14:textId="77777777" w:rsidR="00364BFA" w:rsidRDefault="00364BFA" w:rsidP="009000D1">
      <w:pPr>
        <w:jc w:val="center"/>
        <w:rPr>
          <w:rFonts w:cs="Calibri"/>
        </w:rPr>
      </w:pPr>
    </w:p>
    <w:p w14:paraId="1A0BC420" w14:textId="77777777" w:rsidR="00364BFA" w:rsidRDefault="00364BFA" w:rsidP="009000D1">
      <w:pPr>
        <w:jc w:val="center"/>
        <w:rPr>
          <w:rFonts w:cs="Calibri"/>
        </w:rPr>
      </w:pPr>
    </w:p>
    <w:sdt>
      <w:sdtPr>
        <w:rPr>
          <w:lang w:val="fr-FR"/>
        </w:rPr>
        <w:id w:val="-1722739241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noProof/>
          <w:color w:val="auto"/>
          <w:kern w:val="2"/>
          <w:sz w:val="22"/>
          <w:szCs w:val="24"/>
          <w:lang w:val="fr-CA" w:eastAsia="en-US"/>
          <w14:ligatures w14:val="standardContextual"/>
        </w:rPr>
      </w:sdtEndPr>
      <w:sdtContent>
        <w:p w14:paraId="6B11F159" w14:textId="5E7514BA" w:rsidR="00364BFA" w:rsidRDefault="00364BF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8363B96" w14:textId="4B9183BF" w:rsidR="004360A8" w:rsidRDefault="00364BFA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fr-C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3319331" w:history="1">
            <w:r w:rsidR="004360A8" w:rsidRPr="006A5BA8">
              <w:rPr>
                <w:rStyle w:val="Hyperlien"/>
                <w:noProof/>
              </w:rPr>
              <w:t>Investment Policy Statement</w:t>
            </w:r>
            <w:r w:rsidR="004360A8">
              <w:rPr>
                <w:noProof/>
                <w:webHidden/>
              </w:rPr>
              <w:tab/>
            </w:r>
            <w:r w:rsidR="004360A8">
              <w:rPr>
                <w:noProof/>
                <w:webHidden/>
              </w:rPr>
              <w:fldChar w:fldCharType="begin"/>
            </w:r>
            <w:r w:rsidR="004360A8">
              <w:rPr>
                <w:noProof/>
                <w:webHidden/>
              </w:rPr>
              <w:instrText xml:space="preserve"> PAGEREF _Toc203319331 \h </w:instrText>
            </w:r>
            <w:r w:rsidR="004360A8">
              <w:rPr>
                <w:noProof/>
                <w:webHidden/>
              </w:rPr>
            </w:r>
            <w:r w:rsidR="004360A8">
              <w:rPr>
                <w:noProof/>
                <w:webHidden/>
              </w:rPr>
              <w:fldChar w:fldCharType="separate"/>
            </w:r>
            <w:r w:rsidR="004360A8">
              <w:rPr>
                <w:noProof/>
                <w:webHidden/>
              </w:rPr>
              <w:t>1</w:t>
            </w:r>
            <w:r w:rsidR="004360A8">
              <w:rPr>
                <w:noProof/>
                <w:webHidden/>
              </w:rPr>
              <w:fldChar w:fldCharType="end"/>
            </w:r>
          </w:hyperlink>
        </w:p>
        <w:p w14:paraId="7398A150" w14:textId="20445C0E" w:rsidR="004360A8" w:rsidRDefault="004360A8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fr-CA"/>
            </w:rPr>
          </w:pPr>
          <w:hyperlink w:anchor="_Toc203319332" w:history="1">
            <w:r w:rsidRPr="006A5BA8">
              <w:rPr>
                <w:rStyle w:val="Hyperlien"/>
                <w:noProof/>
              </w:rPr>
              <w:t>Table de révision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_Toc203319332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6044" w14:textId="178A4E23" w:rsidR="004360A8" w:rsidRDefault="004360A8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fr-CA"/>
            </w:rPr>
          </w:pPr>
          <w:hyperlink w:anchor="_Toc203319333" w:history="1">
            <w:r w:rsidRPr="006A5BA8">
              <w:rPr>
                <w:rStyle w:val="Hyperlien"/>
                <w:noProof/>
              </w:rPr>
              <w:t>Résumé exécutif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_Toc203319333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E141" w14:textId="6516C16F" w:rsidR="004360A8" w:rsidRDefault="004360A8">
          <w:pPr>
            <w:pStyle w:val="TM2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eastAsia="fr-CA"/>
            </w:rPr>
          </w:pPr>
          <w:hyperlink w:anchor="_Toc203319334" w:history="1">
            <w:r w:rsidRPr="006A5BA8">
              <w:rPr>
                <w:rStyle w:val="Hyperlien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_Toc203319334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3835" w14:textId="0362C5B4" w:rsidR="004360A8" w:rsidRDefault="004360A8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fr-CA"/>
            </w:rPr>
          </w:pPr>
          <w:hyperlink w:anchor="_Toc203319335" w:history="1">
            <w:r w:rsidRPr="006A5BA8">
              <w:rPr>
                <w:rStyle w:val="Hyperlien"/>
                <w:noProof/>
              </w:rPr>
              <w:t>Identité du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_Toc203319335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50892" w14:textId="6C8D2EC4" w:rsidR="004360A8" w:rsidRDefault="004360A8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fr-CA"/>
            </w:rPr>
          </w:pPr>
          <w:hyperlink w:anchor="_Toc203319336" w:history="1">
            <w:r w:rsidRPr="006A5BA8">
              <w:rPr>
                <w:rStyle w:val="Hyperlien"/>
                <w:noProof/>
              </w:rPr>
              <w:t>Responsabilités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_Toc203319336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68F2D" w14:textId="0708FAF8" w:rsidR="004360A8" w:rsidRDefault="004360A8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fr-CA"/>
            </w:rPr>
          </w:pPr>
          <w:hyperlink w:anchor="_Toc203319337" w:history="1">
            <w:r w:rsidRPr="006A5BA8">
              <w:rPr>
                <w:rStyle w:val="Hyperlien"/>
                <w:noProof/>
              </w:rPr>
              <w:t>Contributions/ retraits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_Toc203319337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F656D" w14:textId="100E0151" w:rsidR="004360A8" w:rsidRDefault="004360A8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fr-CA"/>
            </w:rPr>
          </w:pPr>
          <w:hyperlink w:anchor="_Toc203319338" w:history="1">
            <w:r w:rsidRPr="006A5BA8">
              <w:rPr>
                <w:rStyle w:val="Hyperlien"/>
                <w:noProof/>
              </w:rPr>
              <w:t>Horizon/ objectif de rendement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_Toc203319338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2C34B" w14:textId="55A36058" w:rsidR="004360A8" w:rsidRDefault="004360A8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fr-CA"/>
            </w:rPr>
          </w:pPr>
          <w:hyperlink w:anchor="_Toc203319339" w:history="1">
            <w:r w:rsidRPr="006A5BA8">
              <w:rPr>
                <w:rStyle w:val="Hyperlien"/>
                <w:noProof/>
              </w:rPr>
              <w:t>Allocation stratégique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_Toc203319339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ACCAC" w14:textId="4F0E99FD" w:rsidR="004360A8" w:rsidRDefault="004360A8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fr-CA"/>
            </w:rPr>
          </w:pPr>
          <w:hyperlink w:anchor="_Toc203319340" w:history="1">
            <w:r w:rsidRPr="006A5BA8">
              <w:rPr>
                <w:rStyle w:val="Hyperlien"/>
                <w:noProof/>
              </w:rPr>
              <w:t>Capacité et tolérance au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_Toc203319340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A8D59" w14:textId="051199C6" w:rsidR="004360A8" w:rsidRDefault="004360A8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fr-CA"/>
            </w:rPr>
          </w:pPr>
          <w:hyperlink w:anchor="_Toc203319341" w:history="1">
            <w:r w:rsidRPr="006A5BA8">
              <w:rPr>
                <w:rStyle w:val="Hyperlien"/>
                <w:noProof/>
              </w:rPr>
              <w:t>Volatilité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_Toc203319341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D3EEA" w14:textId="60F9E721" w:rsidR="004360A8" w:rsidRDefault="004360A8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fr-CA"/>
            </w:rPr>
          </w:pPr>
          <w:hyperlink w:anchor="_Toc203319342" w:history="1">
            <w:r w:rsidRPr="006A5BA8">
              <w:rPr>
                <w:rStyle w:val="Hyperlien"/>
                <w:noProof/>
              </w:rPr>
              <w:t>Connaissance du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_Toc203319342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5798" w14:textId="1164363E" w:rsidR="004360A8" w:rsidRDefault="004360A8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fr-CA"/>
            </w:rPr>
          </w:pPr>
          <w:hyperlink w:anchor="_Toc203319343" w:history="1">
            <w:r w:rsidRPr="006A5BA8">
              <w:rPr>
                <w:rStyle w:val="Hyperlien"/>
                <w:noProof/>
              </w:rPr>
              <w:t>Liquidité vs bloqué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_Toc203319343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45218" w14:textId="24E2AB4F" w:rsidR="004360A8" w:rsidRDefault="004360A8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fr-CA"/>
            </w:rPr>
          </w:pPr>
          <w:hyperlink w:anchor="_Toc203319344" w:history="1">
            <w:r w:rsidRPr="006A5BA8">
              <w:rPr>
                <w:rStyle w:val="Hyperlien"/>
                <w:noProof/>
              </w:rPr>
              <w:t>Contraintes légales / fiscales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_Toc203319344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E0569" w14:textId="7EE9C464" w:rsidR="004360A8" w:rsidRDefault="004360A8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fr-CA"/>
            </w:rPr>
          </w:pPr>
          <w:hyperlink w:anchor="_Toc203319345" w:history="1">
            <w:r w:rsidRPr="006A5BA8">
              <w:rPr>
                <w:rStyle w:val="Hyperlien"/>
                <w:noProof/>
              </w:rPr>
              <w:t>Frais de change et commission de courtier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_Toc203319345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6ACE" w14:textId="10A27DCC" w:rsidR="004360A8" w:rsidRDefault="004360A8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fr-CA"/>
            </w:rPr>
          </w:pPr>
          <w:hyperlink w:anchor="_Toc203319346" w:history="1">
            <w:r w:rsidRPr="006A5BA8">
              <w:rPr>
                <w:rStyle w:val="Hyperlien"/>
                <w:noProof/>
              </w:rPr>
              <w:t>ESG et 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_Toc203319346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83C9F" w14:textId="30AE4E61" w:rsidR="004360A8" w:rsidRDefault="004360A8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sz w:val="24"/>
              <w:lang w:eastAsia="fr-CA"/>
            </w:rPr>
          </w:pPr>
          <w:hyperlink w:anchor="_Toc203319347" w:history="1">
            <w:r w:rsidRPr="006A5BA8">
              <w:rPr>
                <w:rStyle w:val="Hyperlien"/>
                <w:noProof/>
              </w:rPr>
              <w:t>Reporting et revue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_Toc203319347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D7B3" w14:textId="143A8D29" w:rsidR="00364BFA" w:rsidRDefault="00364BFA">
          <w:r>
            <w:rPr>
              <w:b/>
              <w:bCs/>
              <w:noProof/>
            </w:rPr>
            <w:fldChar w:fldCharType="end"/>
          </w:r>
        </w:p>
      </w:sdtContent>
    </w:sdt>
    <w:p w14:paraId="684DBD15" w14:textId="77777777" w:rsidR="00364BFA" w:rsidRDefault="00364BFA" w:rsidP="009000D1">
      <w:pPr>
        <w:jc w:val="center"/>
        <w:rPr>
          <w:rFonts w:cs="Calibri"/>
        </w:rPr>
      </w:pPr>
    </w:p>
    <w:p w14:paraId="13F912D2" w14:textId="77777777" w:rsidR="00364BFA" w:rsidRDefault="00364BFA" w:rsidP="009000D1">
      <w:pPr>
        <w:jc w:val="center"/>
        <w:rPr>
          <w:rFonts w:cs="Calibri"/>
        </w:rPr>
      </w:pPr>
    </w:p>
    <w:p w14:paraId="07E3ECB5" w14:textId="77777777" w:rsidR="00364BFA" w:rsidRDefault="00364BFA" w:rsidP="009000D1">
      <w:pPr>
        <w:jc w:val="center"/>
        <w:rPr>
          <w:rFonts w:cs="Calibri"/>
        </w:rPr>
      </w:pPr>
    </w:p>
    <w:p w14:paraId="6B497089" w14:textId="77777777" w:rsidR="00364BFA" w:rsidRDefault="00364BFA" w:rsidP="009000D1">
      <w:pPr>
        <w:jc w:val="center"/>
        <w:rPr>
          <w:rFonts w:cs="Calibri"/>
        </w:rPr>
      </w:pPr>
    </w:p>
    <w:p w14:paraId="38C54B0C" w14:textId="77777777" w:rsidR="00284C59" w:rsidRDefault="00284C59" w:rsidP="009000D1">
      <w:pPr>
        <w:jc w:val="center"/>
        <w:rPr>
          <w:rFonts w:cs="Calibri"/>
        </w:rPr>
      </w:pPr>
    </w:p>
    <w:p w14:paraId="2127D176" w14:textId="77777777" w:rsidR="0017794C" w:rsidRDefault="0017794C" w:rsidP="009000D1">
      <w:pPr>
        <w:jc w:val="center"/>
        <w:rPr>
          <w:rFonts w:cs="Calibri"/>
        </w:rPr>
      </w:pPr>
    </w:p>
    <w:p w14:paraId="08AEDD94" w14:textId="77777777" w:rsidR="00E31E33" w:rsidRDefault="00E31E33" w:rsidP="009000D1">
      <w:pPr>
        <w:jc w:val="center"/>
        <w:rPr>
          <w:rFonts w:cs="Calibri"/>
        </w:rPr>
      </w:pPr>
    </w:p>
    <w:p w14:paraId="71BEDCA4" w14:textId="77777777" w:rsidR="00E31E33" w:rsidRPr="00284C59" w:rsidRDefault="00E31E33" w:rsidP="009000D1">
      <w:pPr>
        <w:jc w:val="center"/>
        <w:rPr>
          <w:rFonts w:cs="Calibri"/>
        </w:rPr>
      </w:pPr>
    </w:p>
    <w:p w14:paraId="49BC84F2" w14:textId="77777777" w:rsidR="00284C59" w:rsidRPr="00284C59" w:rsidRDefault="00284C59" w:rsidP="009000D1">
      <w:pPr>
        <w:jc w:val="center"/>
        <w:rPr>
          <w:rFonts w:cs="Calibri"/>
        </w:rPr>
      </w:pPr>
    </w:p>
    <w:p w14:paraId="7666BAD3" w14:textId="23E318FE" w:rsidR="0094655D" w:rsidRDefault="0094655D" w:rsidP="001D0E5A">
      <w:pPr>
        <w:pStyle w:val="Titre1"/>
        <w:jc w:val="both"/>
      </w:pPr>
      <w:bookmarkStart w:id="2" w:name="_Toc203319333"/>
      <w:r w:rsidRPr="0094655D">
        <w:lastRenderedPageBreak/>
        <w:t>Résumé exécutif</w:t>
      </w:r>
      <w:bookmarkEnd w:id="2"/>
    </w:p>
    <w:p w14:paraId="534BF061" w14:textId="2CE25493" w:rsidR="009B7DB1" w:rsidRDefault="009B7DB1" w:rsidP="001D0E5A">
      <w:pPr>
        <w:spacing w:beforeLines="120" w:before="288" w:afterLines="120" w:after="288"/>
        <w:jc w:val="center"/>
        <w:rPr>
          <w:rFonts w:cs="Calibri"/>
          <w:sz w:val="28"/>
          <w:szCs w:val="28"/>
          <w:u w:val="single"/>
        </w:rPr>
      </w:pPr>
    </w:p>
    <w:p w14:paraId="52BA3B7F" w14:textId="1E2B669A" w:rsidR="009B7DB1" w:rsidRDefault="00E31E33" w:rsidP="001D0E5A">
      <w:pPr>
        <w:spacing w:beforeLines="120" w:before="288" w:afterLines="120" w:after="288"/>
        <w:jc w:val="center"/>
        <w:rPr>
          <w:rFonts w:cs="Calibri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5F36DD" wp14:editId="1B41893E">
                <wp:simplePos x="0" y="0"/>
                <wp:positionH relativeFrom="column">
                  <wp:posOffset>-893720</wp:posOffset>
                </wp:positionH>
                <wp:positionV relativeFrom="paragraph">
                  <wp:posOffset>268965</wp:posOffset>
                </wp:positionV>
                <wp:extent cx="8115300" cy="4182322"/>
                <wp:effectExtent l="0" t="0" r="0" b="0"/>
                <wp:wrapNone/>
                <wp:docPr id="18099287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418232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6E994" id="Rectangle 3" o:spid="_x0000_s1026" style="position:absolute;margin-left:-70.35pt;margin-top:21.2pt;width:639pt;height:329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" fillcolor="#e8e8e8 [3214]" stroked="f" strokeweight="1pt"/>
            </w:pict>
          </mc:Fallback>
        </mc:AlternateContent>
      </w:r>
    </w:p>
    <w:p w14:paraId="5E1A3054" w14:textId="3190E199" w:rsidR="0094655D" w:rsidRPr="001D0E5A" w:rsidRDefault="0094655D" w:rsidP="001D0E5A">
      <w:pPr>
        <w:spacing w:beforeLines="120" w:before="288" w:afterLines="120" w:after="288"/>
        <w:jc w:val="center"/>
        <w:rPr>
          <w:rFonts w:cs="Calibri"/>
          <w:sz w:val="28"/>
          <w:szCs w:val="28"/>
          <w:u w:val="single"/>
        </w:rPr>
      </w:pPr>
      <w:r w:rsidRPr="001D0E5A">
        <w:rPr>
          <w:rFonts w:cs="Calibri"/>
          <w:sz w:val="28"/>
          <w:szCs w:val="28"/>
          <w:u w:val="single"/>
        </w:rPr>
        <w:t>Objectif &amp; horizon</w:t>
      </w:r>
    </w:p>
    <w:p w14:paraId="2DBCF423" w14:textId="00D87F0D" w:rsidR="0094655D" w:rsidRPr="0094655D" w:rsidRDefault="0094655D" w:rsidP="0094655D">
      <w:pPr>
        <w:spacing w:beforeLines="120" w:before="288" w:afterLines="120" w:after="288"/>
        <w:jc w:val="both"/>
        <w:rPr>
          <w:rFonts w:cs="Calibri"/>
        </w:rPr>
      </w:pPr>
      <w:r w:rsidRPr="0094655D">
        <w:rPr>
          <w:rFonts w:cs="Calibri"/>
        </w:rPr>
        <w:t xml:space="preserve">Investir 1 000 CAD (+ 25–50 CAD/mois) sur 5-10 ans afin de constituer un </w:t>
      </w:r>
      <w:r w:rsidR="0017794C">
        <w:rPr>
          <w:rFonts w:cs="Calibri"/>
        </w:rPr>
        <w:t>patrimoine financier</w:t>
      </w:r>
      <w:r w:rsidRPr="0094655D">
        <w:rPr>
          <w:rFonts w:cs="Calibri"/>
        </w:rPr>
        <w:t>, en dégageant un rendement net visé de 5-6 %/an (inflation + 3 %) pour une volatilité ≤ 15 %.</w:t>
      </w:r>
    </w:p>
    <w:p w14:paraId="44EEB297" w14:textId="61928690" w:rsidR="0094655D" w:rsidRPr="001D0E5A" w:rsidRDefault="0094655D" w:rsidP="001D0E5A">
      <w:pPr>
        <w:spacing w:beforeLines="120" w:before="288" w:afterLines="120" w:after="288"/>
        <w:jc w:val="center"/>
        <w:rPr>
          <w:rFonts w:cs="Calibri"/>
          <w:sz w:val="28"/>
          <w:szCs w:val="28"/>
          <w:u w:val="single"/>
        </w:rPr>
      </w:pPr>
      <w:r w:rsidRPr="001D0E5A">
        <w:rPr>
          <w:rFonts w:cs="Calibri"/>
          <w:sz w:val="28"/>
          <w:szCs w:val="28"/>
          <w:u w:val="single"/>
        </w:rPr>
        <w:t>Allocation cible</w:t>
      </w:r>
    </w:p>
    <w:p w14:paraId="14461676" w14:textId="2C9DDC71" w:rsidR="0094655D" w:rsidRPr="0094655D" w:rsidRDefault="0094655D" w:rsidP="0094655D">
      <w:pPr>
        <w:spacing w:beforeLines="120" w:before="288" w:afterLines="120" w:after="288"/>
        <w:jc w:val="both"/>
        <w:rPr>
          <w:rFonts w:cs="Calibri"/>
        </w:rPr>
      </w:pPr>
      <w:r w:rsidRPr="0094655D">
        <w:rPr>
          <w:rFonts w:cs="Calibri"/>
        </w:rPr>
        <w:t xml:space="preserve">45 % actions US large cap, 45 % actions CA large cap, 10 % obligations CA </w:t>
      </w:r>
      <w:proofErr w:type="spellStart"/>
      <w:r w:rsidRPr="0094655D">
        <w:rPr>
          <w:rFonts w:cs="Calibri"/>
        </w:rPr>
        <w:t>gov</w:t>
      </w:r>
      <w:proofErr w:type="spellEnd"/>
      <w:r w:rsidRPr="0094655D">
        <w:rPr>
          <w:rFonts w:cs="Calibri"/>
        </w:rPr>
        <w:t>. Rééquilibrage mensuel si écart ±5 pts (sinon trimestriel).</w:t>
      </w:r>
    </w:p>
    <w:p w14:paraId="5FD86AE8" w14:textId="7263663A" w:rsidR="0094655D" w:rsidRPr="001D0E5A" w:rsidRDefault="0094655D" w:rsidP="001D0E5A">
      <w:pPr>
        <w:spacing w:beforeLines="120" w:before="288" w:afterLines="120" w:after="288"/>
        <w:jc w:val="center"/>
        <w:rPr>
          <w:rFonts w:cs="Calibri"/>
          <w:sz w:val="28"/>
          <w:szCs w:val="28"/>
          <w:u w:val="single"/>
        </w:rPr>
      </w:pPr>
      <w:r w:rsidRPr="001D0E5A">
        <w:rPr>
          <w:rFonts w:cs="Calibri"/>
          <w:sz w:val="28"/>
          <w:szCs w:val="28"/>
          <w:u w:val="single"/>
        </w:rPr>
        <w:t>Contraintes clés</w:t>
      </w:r>
    </w:p>
    <w:p w14:paraId="0EA29E5F" w14:textId="255A2573" w:rsidR="001D0E5A" w:rsidRDefault="0094655D" w:rsidP="001D0E5A">
      <w:pPr>
        <w:spacing w:beforeLines="120" w:before="288" w:afterLines="120" w:after="288"/>
        <w:jc w:val="both"/>
        <w:rPr>
          <w:rFonts w:cs="Calibri"/>
        </w:rPr>
      </w:pPr>
      <w:r w:rsidRPr="0094655D">
        <w:rPr>
          <w:rFonts w:cs="Calibri"/>
        </w:rPr>
        <w:t>Liquidité ≥ 90 % (T+2, spread ≤ 0,30 %), TER global ≤ 0,25 %, TCO ≤ 0,40 %. Dérivés interdits &lt; 10 k CAD; ESG : exclusion tabac/alcool, score MSCI ESG ≥ 6/10.</w:t>
      </w:r>
    </w:p>
    <w:p w14:paraId="2C497C8D" w14:textId="70A66C8F" w:rsidR="0094655D" w:rsidRPr="001D0E5A" w:rsidRDefault="0094655D" w:rsidP="001D0E5A">
      <w:pPr>
        <w:spacing w:beforeLines="120" w:before="288" w:afterLines="120" w:after="288"/>
        <w:jc w:val="center"/>
        <w:rPr>
          <w:rFonts w:cs="Calibri"/>
          <w:sz w:val="24"/>
        </w:rPr>
      </w:pPr>
      <w:r w:rsidRPr="001D0E5A">
        <w:rPr>
          <w:rFonts w:cs="Calibri"/>
          <w:sz w:val="28"/>
          <w:szCs w:val="28"/>
          <w:u w:val="single"/>
        </w:rPr>
        <w:t>Suivi</w:t>
      </w:r>
    </w:p>
    <w:p w14:paraId="1A3C09E9" w14:textId="3897C011" w:rsidR="0094655D" w:rsidRDefault="0094655D" w:rsidP="0094655D">
      <w:pPr>
        <w:spacing w:beforeLines="120" w:before="288" w:afterLines="120" w:after="288"/>
        <w:jc w:val="both"/>
        <w:rPr>
          <w:rFonts w:cs="Calibri"/>
        </w:rPr>
      </w:pPr>
      <w:r w:rsidRPr="0094655D">
        <w:rPr>
          <w:rFonts w:cs="Calibri"/>
        </w:rPr>
        <w:t xml:space="preserve">Valorisation quotidienne, </w:t>
      </w:r>
      <w:proofErr w:type="spellStart"/>
      <w:r w:rsidRPr="0094655D">
        <w:rPr>
          <w:rFonts w:cs="Calibri"/>
        </w:rPr>
        <w:t>reporting</w:t>
      </w:r>
      <w:proofErr w:type="spellEnd"/>
      <w:r w:rsidRPr="0094655D">
        <w:rPr>
          <w:rFonts w:cs="Calibri"/>
        </w:rPr>
        <w:t xml:space="preserve"> mensuel, revue IPS annuelle (1-15 août), normes GIPS applicables.</w:t>
      </w:r>
    </w:p>
    <w:p w14:paraId="6B214951" w14:textId="5E105070" w:rsidR="009B7DB1" w:rsidRDefault="009B7DB1" w:rsidP="009000D1">
      <w:pPr>
        <w:jc w:val="center"/>
        <w:rPr>
          <w:rFonts w:cs="Calibri"/>
        </w:rPr>
      </w:pPr>
    </w:p>
    <w:p w14:paraId="55467CD2" w14:textId="4251BDB4" w:rsidR="009B7DB1" w:rsidRDefault="009B7DB1" w:rsidP="009000D1">
      <w:pPr>
        <w:jc w:val="center"/>
        <w:rPr>
          <w:rFonts w:cs="Calibri"/>
        </w:rPr>
      </w:pPr>
    </w:p>
    <w:p w14:paraId="12125474" w14:textId="7E6BE02C" w:rsidR="009B7DB1" w:rsidRDefault="009B7DB1" w:rsidP="009000D1">
      <w:pPr>
        <w:jc w:val="center"/>
        <w:rPr>
          <w:rFonts w:cs="Calibri"/>
        </w:rPr>
      </w:pPr>
    </w:p>
    <w:p w14:paraId="5FE29030" w14:textId="3E2484D3" w:rsidR="001D0E5A" w:rsidRDefault="001D0E5A" w:rsidP="009000D1">
      <w:pPr>
        <w:jc w:val="center"/>
        <w:rPr>
          <w:rFonts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7511E32" wp14:editId="43298550">
                <wp:simplePos x="0" y="0"/>
                <wp:positionH relativeFrom="column">
                  <wp:posOffset>-769076</wp:posOffset>
                </wp:positionH>
                <wp:positionV relativeFrom="paragraph">
                  <wp:posOffset>409303</wp:posOffset>
                </wp:positionV>
                <wp:extent cx="8115300" cy="1216478"/>
                <wp:effectExtent l="0" t="0" r="0" b="3175"/>
                <wp:wrapNone/>
                <wp:docPr id="16692131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121647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3711A" id="Rectangle 3" o:spid="_x0000_s1026" style="position:absolute;margin-left:-60.55pt;margin-top:32.25pt;width:639pt;height:95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" fillcolor="#e8e8e8 [3214]" stroked="f" strokeweight="1pt"/>
            </w:pict>
          </mc:Fallback>
        </mc:AlternateContent>
      </w:r>
    </w:p>
    <w:p w14:paraId="24412DBC" w14:textId="0DE0A3BD" w:rsidR="00364BFA" w:rsidRDefault="00364BFA" w:rsidP="009000D1">
      <w:pPr>
        <w:jc w:val="center"/>
        <w:rPr>
          <w:rFonts w:cs="Calibri"/>
        </w:rPr>
      </w:pPr>
    </w:p>
    <w:p w14:paraId="3B9AF27E" w14:textId="4F87C98B" w:rsidR="00364BFA" w:rsidRPr="001D0E5A" w:rsidRDefault="001D0E5A" w:rsidP="000946B0">
      <w:pPr>
        <w:pStyle w:val="Titre2"/>
        <w:jc w:val="center"/>
      </w:pPr>
      <w:bookmarkStart w:id="3" w:name="_Toc203319334"/>
      <w:r>
        <w:t>Objectif</w:t>
      </w:r>
      <w:bookmarkEnd w:id="3"/>
    </w:p>
    <w:p w14:paraId="16565ADD" w14:textId="4629614E" w:rsidR="001D0E5A" w:rsidRPr="009B7DB1" w:rsidRDefault="001D0E5A" w:rsidP="009B7DB1">
      <w:pPr>
        <w:jc w:val="both"/>
        <w:rPr>
          <w:rFonts w:cs="Calibri"/>
        </w:rPr>
      </w:pPr>
      <w:r w:rsidRPr="001D0E5A">
        <w:rPr>
          <w:rFonts w:cs="Calibri"/>
          <w:sz w:val="24"/>
        </w:rPr>
        <w:t>Fournir un rendement annuel net 5–6 %, équivalent à Inflation Canada (IPC 12 m) + 3 % net coût d’emprunt, avec une volatilité cible ≤ 15 % (écart-type annualisé 36 m glissants).</w:t>
      </w:r>
    </w:p>
    <w:p w14:paraId="47D29B91" w14:textId="77777777" w:rsidR="0017794C" w:rsidRPr="00284C59" w:rsidRDefault="0017794C" w:rsidP="009000D1">
      <w:pPr>
        <w:jc w:val="center"/>
        <w:rPr>
          <w:rFonts w:cs="Calibri"/>
        </w:rPr>
      </w:pPr>
    </w:p>
    <w:p w14:paraId="69666A37" w14:textId="26EE2292" w:rsidR="009000D1" w:rsidRPr="00284C59" w:rsidRDefault="005509ED" w:rsidP="009B7DB1">
      <w:pPr>
        <w:pStyle w:val="Titre1"/>
      </w:pPr>
      <w:bookmarkStart w:id="4" w:name="_Toc203319335"/>
      <w:r w:rsidRPr="00284C59">
        <w:lastRenderedPageBreak/>
        <w:t>Identité du client</w:t>
      </w:r>
      <w:bookmarkEnd w:id="4"/>
      <w:r w:rsidRPr="00284C59">
        <w:t xml:space="preserve"> </w:t>
      </w:r>
    </w:p>
    <w:p w14:paraId="703C1474" w14:textId="3C051B92" w:rsidR="005509ED" w:rsidRDefault="00F8428D" w:rsidP="00E31E33">
      <w:r w:rsidRPr="00284C59">
        <w:t xml:space="preserve">Neil, jeune adulte de 24 ans </w:t>
      </w:r>
      <w:r w:rsidR="00222F86" w:rsidRPr="00284C59">
        <w:t>à la fin de ses études</w:t>
      </w:r>
      <w:r w:rsidR="009608DA" w:rsidRPr="00284C59">
        <w:t xml:space="preserve">. Le client étudie à </w:t>
      </w:r>
      <w:r w:rsidR="00F37C74" w:rsidRPr="00284C59">
        <w:t xml:space="preserve">la </w:t>
      </w:r>
      <w:r w:rsidR="009608DA" w:rsidRPr="00284C59">
        <w:t xml:space="preserve">Maitrise en économie financière appliquée à HEC Montréal et ne </w:t>
      </w:r>
      <w:r w:rsidR="00F37C74" w:rsidRPr="00284C59">
        <w:t>produit un revenu inférieur à 20 000 $ CAD par année. Neil</w:t>
      </w:r>
      <w:r w:rsidR="00222F86" w:rsidRPr="00284C59">
        <w:t xml:space="preserve"> </w:t>
      </w:r>
      <w:r w:rsidR="005E321C" w:rsidRPr="00284C59">
        <w:t>souhaite</w:t>
      </w:r>
      <w:r w:rsidR="00222F86" w:rsidRPr="00284C59">
        <w:t xml:space="preserve"> investir</w:t>
      </w:r>
      <w:r w:rsidR="005509ED" w:rsidRPr="00284C59">
        <w:t xml:space="preserve"> 1000 $ initial</w:t>
      </w:r>
      <w:r w:rsidR="00F37C74" w:rsidRPr="00284C59">
        <w:t>ement</w:t>
      </w:r>
      <w:r w:rsidR="00EB101C" w:rsidRPr="00284C59">
        <w:t>,</w:t>
      </w:r>
      <w:r w:rsidR="005509ED" w:rsidRPr="00284C59">
        <w:t xml:space="preserve"> financé par </w:t>
      </w:r>
      <w:r w:rsidR="00222F86" w:rsidRPr="00284C59">
        <w:t xml:space="preserve">un </w:t>
      </w:r>
      <w:r w:rsidR="00EB101C" w:rsidRPr="00284C59">
        <w:t>un</w:t>
      </w:r>
      <w:r w:rsidR="00222F86" w:rsidRPr="00284C59">
        <w:t xml:space="preserve"> prêt étudiant dont le taux est de </w:t>
      </w:r>
      <w:r w:rsidR="00125B86" w:rsidRPr="00284C59">
        <w:t xml:space="preserve">2% annuel (nous omettrons les remboursements de ce prêt, mais </w:t>
      </w:r>
      <w:r w:rsidR="00EB101C" w:rsidRPr="00284C59">
        <w:t xml:space="preserve">nous </w:t>
      </w:r>
      <w:r w:rsidR="00125B86" w:rsidRPr="00284C59">
        <w:t xml:space="preserve">considérerons ce taux d’intérêt dans </w:t>
      </w:r>
      <w:r w:rsidR="005E321C" w:rsidRPr="00284C59">
        <w:t>le calcul du rendement</w:t>
      </w:r>
      <w:r w:rsidR="003935BD" w:rsidRPr="00284C59">
        <w:t>).</w:t>
      </w:r>
      <w:r w:rsidR="005509ED" w:rsidRPr="00284C59">
        <w:t xml:space="preserve"> </w:t>
      </w:r>
      <w:r w:rsidR="003935BD" w:rsidRPr="00284C59">
        <w:t>Le prêt sera remboursé indépendamment du placement</w:t>
      </w:r>
      <w:r w:rsidR="00AD56E7" w:rsidRPr="00284C59">
        <w:t>.</w:t>
      </w:r>
    </w:p>
    <w:p w14:paraId="4B250945" w14:textId="77777777" w:rsidR="0017794C" w:rsidRPr="00284C59" w:rsidRDefault="0017794C" w:rsidP="00284C59">
      <w:pPr>
        <w:spacing w:afterLines="120" w:after="288" w:line="240" w:lineRule="auto"/>
        <w:rPr>
          <w:rFonts w:cs="Calibri"/>
        </w:rPr>
      </w:pPr>
    </w:p>
    <w:p w14:paraId="7F35384A" w14:textId="37BD72E8" w:rsidR="0017794C" w:rsidRPr="0017794C" w:rsidRDefault="00AA65CC" w:rsidP="0017794C">
      <w:pPr>
        <w:pStyle w:val="Titre1"/>
      </w:pPr>
      <w:bookmarkStart w:id="5" w:name="_Toc203319336"/>
      <w:r w:rsidRPr="00284C59">
        <w:t>Responsabilités</w:t>
      </w:r>
      <w:bookmarkEnd w:id="5"/>
    </w:p>
    <w:p w14:paraId="2F94465B" w14:textId="04A7D956" w:rsidR="008756FF" w:rsidRPr="00E31E33" w:rsidRDefault="007F61A0" w:rsidP="00E31E33">
      <w:pPr>
        <w:pStyle w:val="Paragraphedeliste"/>
        <w:numPr>
          <w:ilvl w:val="0"/>
          <w:numId w:val="19"/>
        </w:numPr>
        <w:rPr>
          <w:u w:val="single"/>
        </w:rPr>
      </w:pPr>
      <w:r w:rsidRPr="00284C59">
        <w:t>Neil Kazi-Aoual est analyste et compose le portefeuille</w:t>
      </w:r>
      <w:r w:rsidR="008756FF" w:rsidRPr="00284C59">
        <w:t>.</w:t>
      </w:r>
    </w:p>
    <w:p w14:paraId="0E53B5B0" w14:textId="31D0272C" w:rsidR="007F61A0" w:rsidRPr="00E31E33" w:rsidRDefault="007F61A0" w:rsidP="00E31E33">
      <w:pPr>
        <w:pStyle w:val="Paragraphedeliste"/>
        <w:numPr>
          <w:ilvl w:val="0"/>
          <w:numId w:val="19"/>
        </w:numPr>
        <w:rPr>
          <w:u w:val="single"/>
        </w:rPr>
      </w:pPr>
      <w:r w:rsidRPr="00284C59">
        <w:t>Neil Kazi-Aoual est gestionnaire de portefeuille</w:t>
      </w:r>
      <w:r w:rsidR="008756FF" w:rsidRPr="00284C59">
        <w:t>.</w:t>
      </w:r>
    </w:p>
    <w:p w14:paraId="01CD9332" w14:textId="138369ED" w:rsidR="007F61A0" w:rsidRDefault="00C73CED" w:rsidP="00E31E33">
      <w:pPr>
        <w:pStyle w:val="Paragraphedeliste"/>
        <w:numPr>
          <w:ilvl w:val="0"/>
          <w:numId w:val="19"/>
        </w:numPr>
      </w:pPr>
      <w:r w:rsidRPr="00284C59">
        <w:t>Aucun audit externe GIPS.</w:t>
      </w:r>
    </w:p>
    <w:p w14:paraId="49448FC6" w14:textId="77777777" w:rsidR="0017794C" w:rsidRPr="004360A8" w:rsidRDefault="0017794C" w:rsidP="004360A8">
      <w:pPr>
        <w:spacing w:afterLines="120" w:after="288" w:line="240" w:lineRule="auto"/>
        <w:rPr>
          <w:rFonts w:cs="Calibri"/>
        </w:rPr>
      </w:pPr>
    </w:p>
    <w:p w14:paraId="2A1B9234" w14:textId="5B0F2915" w:rsidR="002658F1" w:rsidRPr="00284C59" w:rsidRDefault="002658F1" w:rsidP="009B7DB1">
      <w:pPr>
        <w:pStyle w:val="Titre1"/>
      </w:pPr>
      <w:bookmarkStart w:id="6" w:name="_Toc203319337"/>
      <w:r w:rsidRPr="00284C59">
        <w:t>Contributions/ retraits</w:t>
      </w:r>
      <w:bookmarkEnd w:id="6"/>
    </w:p>
    <w:p w14:paraId="4B412960" w14:textId="197B9077" w:rsidR="002658F1" w:rsidRPr="00284C59" w:rsidRDefault="002658F1" w:rsidP="00E31E33">
      <w:pPr>
        <w:pStyle w:val="Paragraphedeliste"/>
        <w:numPr>
          <w:ilvl w:val="0"/>
          <w:numId w:val="20"/>
        </w:numPr>
      </w:pPr>
      <w:r w:rsidRPr="00284C59">
        <w:t>Contribution initiale de 1000$ CAD</w:t>
      </w:r>
      <w:r w:rsidR="008756FF" w:rsidRPr="00284C59">
        <w:t>.</w:t>
      </w:r>
      <w:r w:rsidRPr="00284C59">
        <w:t xml:space="preserve"> </w:t>
      </w:r>
    </w:p>
    <w:p w14:paraId="684B2175" w14:textId="3461D1AA" w:rsidR="002658F1" w:rsidRPr="00284C59" w:rsidRDefault="002658F1" w:rsidP="00E31E33">
      <w:pPr>
        <w:pStyle w:val="Paragraphedeliste"/>
        <w:numPr>
          <w:ilvl w:val="0"/>
          <w:numId w:val="20"/>
        </w:numPr>
      </w:pPr>
      <w:r w:rsidRPr="00284C59">
        <w:t>Chaque mois un ajout de 25 à 50 $ sera effectué au portefeuille</w:t>
      </w:r>
      <w:r w:rsidR="008756FF" w:rsidRPr="00284C59">
        <w:t>.</w:t>
      </w:r>
    </w:p>
    <w:p w14:paraId="1A5A5A5B" w14:textId="4E0B8A27" w:rsidR="00666107" w:rsidRPr="004360A8" w:rsidRDefault="002658F1" w:rsidP="004360A8">
      <w:pPr>
        <w:pStyle w:val="Paragraphedeliste"/>
        <w:numPr>
          <w:ilvl w:val="0"/>
          <w:numId w:val="20"/>
        </w:numPr>
      </w:pPr>
      <w:r w:rsidRPr="00284C59">
        <w:t>Aucun retrait avant 5 ans minimum.</w:t>
      </w:r>
      <w:r w:rsidR="00C30D2D" w:rsidRPr="00284C59">
        <w:t xml:space="preserve"> Retrait maximum de 25% de la </w:t>
      </w:r>
      <w:r w:rsidR="0072017C" w:rsidRPr="00284C59">
        <w:t>NAV entre 5 et 7 ans, 50% de la NAV entre 7 et 9 ans et 100% sur la 10</w:t>
      </w:r>
      <w:r w:rsidR="0072017C" w:rsidRPr="00E31E33">
        <w:rPr>
          <w:vertAlign w:val="superscript"/>
        </w:rPr>
        <w:t>ème</w:t>
      </w:r>
      <w:r w:rsidR="0072017C" w:rsidRPr="00284C59">
        <w:t xml:space="preserve"> année.</w:t>
      </w:r>
    </w:p>
    <w:p w14:paraId="25E0ED1F" w14:textId="77777777" w:rsidR="0017794C" w:rsidRPr="00284C59" w:rsidRDefault="0017794C" w:rsidP="00284C59">
      <w:pPr>
        <w:spacing w:afterLines="120" w:after="288" w:line="240" w:lineRule="auto"/>
        <w:rPr>
          <w:rFonts w:cs="Calibri"/>
        </w:rPr>
      </w:pPr>
    </w:p>
    <w:p w14:paraId="5E37A8C9" w14:textId="00EA65B2" w:rsidR="005509ED" w:rsidRPr="00284C59" w:rsidRDefault="005509ED" w:rsidP="009B7DB1">
      <w:pPr>
        <w:pStyle w:val="Titre1"/>
      </w:pPr>
      <w:bookmarkStart w:id="7" w:name="_Toc203319338"/>
      <w:r w:rsidRPr="00284C59">
        <w:t>Horizon/ objectif</w:t>
      </w:r>
      <w:r w:rsidR="00110691" w:rsidRPr="00284C59">
        <w:t xml:space="preserve"> de rendement</w:t>
      </w:r>
      <w:bookmarkEnd w:id="7"/>
      <w:r w:rsidR="00110691" w:rsidRPr="00284C59">
        <w:t xml:space="preserve"> </w:t>
      </w:r>
    </w:p>
    <w:p w14:paraId="3090C708" w14:textId="214ADF06" w:rsidR="00D90A1A" w:rsidRPr="00284C59" w:rsidRDefault="005509ED" w:rsidP="00E31E33">
      <w:pPr>
        <w:pStyle w:val="Paragraphedeliste"/>
        <w:numPr>
          <w:ilvl w:val="0"/>
          <w:numId w:val="21"/>
        </w:numPr>
      </w:pPr>
      <w:r w:rsidRPr="00284C59">
        <w:t xml:space="preserve">L’horizon de placement sera de 5 à 10 ans. C’est un placement financier </w:t>
      </w:r>
      <w:r w:rsidR="00181B84" w:rsidRPr="00284C59">
        <w:t xml:space="preserve">dont l’argent est destiné à générer du rendement et ne sera </w:t>
      </w:r>
      <w:r w:rsidR="00666107" w:rsidRPr="00284C59">
        <w:t xml:space="preserve">pas utilisé dans un autre but pour le moment. </w:t>
      </w:r>
    </w:p>
    <w:p w14:paraId="6EF2B27E" w14:textId="7BFB5926" w:rsidR="00110691" w:rsidRPr="00284C59" w:rsidRDefault="00D90A1A" w:rsidP="00E31E33">
      <w:pPr>
        <w:pStyle w:val="Paragraphedeliste"/>
        <w:numPr>
          <w:ilvl w:val="0"/>
          <w:numId w:val="21"/>
        </w:numPr>
      </w:pPr>
      <w:r w:rsidRPr="00284C59">
        <w:t xml:space="preserve">Rendement </w:t>
      </w:r>
      <w:r w:rsidR="005F287A" w:rsidRPr="00284C59">
        <w:t xml:space="preserve">réel (net de frais) supérieur ou égal </w:t>
      </w:r>
      <w:r w:rsidR="00CA7ECE" w:rsidRPr="00284C59">
        <w:t>à 5% + IPC Canada sur 12 mois glissant.</w:t>
      </w:r>
      <w:r w:rsidR="00B373F8" w:rsidRPr="00284C59">
        <w:t xml:space="preserve"> Ce supplément couvre 2% de coût d’emprunt et laisse 3% de gain réel.</w:t>
      </w:r>
    </w:p>
    <w:p w14:paraId="2B3AD2DD" w14:textId="35FE161C" w:rsidR="0017794C" w:rsidRDefault="00110691" w:rsidP="00E31E33">
      <w:pPr>
        <w:pStyle w:val="Paragraphedeliste"/>
        <w:numPr>
          <w:ilvl w:val="0"/>
          <w:numId w:val="21"/>
        </w:numPr>
      </w:pPr>
      <w:r w:rsidRPr="00284C59">
        <w:t xml:space="preserve">Ce portefeuille simple réplique l’exposition sur le marché USD et Canadien avec une sensible exposition obligataire ce qui semblerait relativement ressembler à la composition probable du portefeuille.  </w:t>
      </w:r>
    </w:p>
    <w:p w14:paraId="794381C0" w14:textId="77777777" w:rsidR="004360A8" w:rsidRDefault="004360A8" w:rsidP="004360A8"/>
    <w:p w14:paraId="226131C3" w14:textId="77777777" w:rsidR="004360A8" w:rsidRDefault="004360A8" w:rsidP="004360A8"/>
    <w:p w14:paraId="1FAE99E9" w14:textId="77777777" w:rsidR="004360A8" w:rsidRPr="0017794C" w:rsidRDefault="004360A8" w:rsidP="004360A8"/>
    <w:p w14:paraId="6FB63359" w14:textId="3BF2850D" w:rsidR="00961FE1" w:rsidRPr="00284C59" w:rsidRDefault="00961FE1" w:rsidP="009B7DB1">
      <w:pPr>
        <w:pStyle w:val="Titre1"/>
      </w:pPr>
      <w:bookmarkStart w:id="8" w:name="_Toc203319339"/>
      <w:r w:rsidRPr="00284C59">
        <w:lastRenderedPageBreak/>
        <w:t xml:space="preserve">Allocation </w:t>
      </w:r>
      <w:r w:rsidR="00051735" w:rsidRPr="00284C59">
        <w:t>stratégique</w:t>
      </w:r>
      <w:bookmarkEnd w:id="8"/>
      <w:r w:rsidR="00051735" w:rsidRPr="00284C59">
        <w:t xml:space="preserve"> </w:t>
      </w:r>
    </w:p>
    <w:p w14:paraId="6B20CED9" w14:textId="08596CBF" w:rsidR="00917407" w:rsidRPr="009227C4" w:rsidRDefault="00D202BC" w:rsidP="00E31E33">
      <w:r w:rsidRPr="009227C4">
        <w:t>L’</w:t>
      </w:r>
      <w:r w:rsidR="00E53B26" w:rsidRPr="009227C4">
        <w:t>allocation</w:t>
      </w:r>
      <w:r w:rsidRPr="009227C4">
        <w:t xml:space="preserve"> stratégique présenté est provisoire et fera probablement l’effet d’une révision </w:t>
      </w:r>
      <w:r w:rsidR="00E53B26" w:rsidRPr="009227C4">
        <w:t>à la suite de l’analyse quantitative</w:t>
      </w:r>
      <w:r w:rsidR="009227C4">
        <w:t>,</w:t>
      </w:r>
      <w:r w:rsidR="009227C4" w:rsidRPr="009227C4">
        <w:t xml:space="preserve"> </w:t>
      </w:r>
      <w:r w:rsidR="009227C4" w:rsidRPr="00284C59">
        <w:t>soit à la date prévue du 31 août 2025. Une revue de l’IPS sera effectuée à ce moment.</w:t>
      </w:r>
    </w:p>
    <w:tbl>
      <w:tblPr>
        <w:tblStyle w:val="TableauListe1Clair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227C4" w14:paraId="062451AC" w14:textId="77777777" w:rsidTr="00FF2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6295227" w14:textId="0C60038D" w:rsidR="009227C4" w:rsidRDefault="009227C4" w:rsidP="00E31E33">
            <w:r>
              <w:t>Classe d’actif</w:t>
            </w:r>
          </w:p>
        </w:tc>
        <w:tc>
          <w:tcPr>
            <w:tcW w:w="2490" w:type="dxa"/>
          </w:tcPr>
          <w:p w14:paraId="6A418598" w14:textId="77777777" w:rsidR="009227C4" w:rsidRDefault="009227C4" w:rsidP="00E31E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Poids cible</w:t>
            </w:r>
          </w:p>
        </w:tc>
        <w:tc>
          <w:tcPr>
            <w:tcW w:w="2491" w:type="dxa"/>
          </w:tcPr>
          <w:p w14:paraId="6EAF19D8" w14:textId="5A74DF69" w:rsidR="009227C4" w:rsidRDefault="009227C4" w:rsidP="00E31E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Ecart</w:t>
            </w:r>
            <w:proofErr w:type="spellEnd"/>
            <w:r>
              <w:t xml:space="preserve"> Max</w:t>
            </w:r>
          </w:p>
        </w:tc>
        <w:tc>
          <w:tcPr>
            <w:tcW w:w="2491" w:type="dxa"/>
          </w:tcPr>
          <w:p w14:paraId="4E7F5673" w14:textId="77777777" w:rsidR="009227C4" w:rsidRDefault="009227C4" w:rsidP="00E31E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Benchmark</w:t>
            </w:r>
          </w:p>
        </w:tc>
      </w:tr>
      <w:tr w:rsidR="009227C4" w14:paraId="53669AB6" w14:textId="77777777" w:rsidTr="00FF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A5DE96F" w14:textId="7FF3489E" w:rsidR="009227C4" w:rsidRPr="009B7DB1" w:rsidRDefault="009227C4" w:rsidP="00E31E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Actions US</w:t>
            </w:r>
          </w:p>
        </w:tc>
        <w:tc>
          <w:tcPr>
            <w:tcW w:w="2490" w:type="dxa"/>
          </w:tcPr>
          <w:p w14:paraId="3FD118C6" w14:textId="77777777" w:rsidR="009227C4" w:rsidRDefault="009227C4" w:rsidP="00E31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45 %</w:t>
            </w:r>
          </w:p>
        </w:tc>
        <w:tc>
          <w:tcPr>
            <w:tcW w:w="2491" w:type="dxa"/>
          </w:tcPr>
          <w:p w14:paraId="53B0286A" w14:textId="77777777" w:rsidR="009227C4" w:rsidRDefault="009227C4" w:rsidP="00E31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1"/>
            </w:r>
            <w:r>
              <w:t xml:space="preserve"> 5%</w:t>
            </w:r>
          </w:p>
        </w:tc>
        <w:tc>
          <w:tcPr>
            <w:tcW w:w="2491" w:type="dxa"/>
          </w:tcPr>
          <w:p w14:paraId="280B4519" w14:textId="34169DB2" w:rsidR="009227C4" w:rsidRDefault="009227C4" w:rsidP="00E31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VFV.TO</w:t>
            </w:r>
          </w:p>
        </w:tc>
      </w:tr>
      <w:tr w:rsidR="009227C4" w14:paraId="7981867A" w14:textId="77777777" w:rsidTr="00FF2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24A0EA9" w14:textId="3335DAC6" w:rsidR="009227C4" w:rsidRPr="009B7DB1" w:rsidRDefault="009227C4" w:rsidP="00E31E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Actions CA</w:t>
            </w:r>
          </w:p>
        </w:tc>
        <w:tc>
          <w:tcPr>
            <w:tcW w:w="2490" w:type="dxa"/>
          </w:tcPr>
          <w:p w14:paraId="0E213B5F" w14:textId="77777777" w:rsidR="009227C4" w:rsidRDefault="009227C4" w:rsidP="00E31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45 %</w:t>
            </w:r>
          </w:p>
        </w:tc>
        <w:tc>
          <w:tcPr>
            <w:tcW w:w="2491" w:type="dxa"/>
          </w:tcPr>
          <w:p w14:paraId="2BEF540D" w14:textId="77777777" w:rsidR="009227C4" w:rsidRDefault="009227C4" w:rsidP="00E31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B1"/>
            </w:r>
            <w:r>
              <w:t xml:space="preserve"> 5%</w:t>
            </w:r>
          </w:p>
        </w:tc>
        <w:tc>
          <w:tcPr>
            <w:tcW w:w="2491" w:type="dxa"/>
          </w:tcPr>
          <w:p w14:paraId="17783477" w14:textId="77777777" w:rsidR="009227C4" w:rsidRDefault="009227C4" w:rsidP="00E31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XIU.TO</w:t>
            </w:r>
          </w:p>
        </w:tc>
      </w:tr>
      <w:tr w:rsidR="009227C4" w14:paraId="75B8D646" w14:textId="77777777" w:rsidTr="00FF2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91100EF" w14:textId="4324EFF7" w:rsidR="009227C4" w:rsidRPr="009227C4" w:rsidRDefault="009227C4" w:rsidP="00E31E3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Obligations </w:t>
            </w:r>
            <w:r w:rsidR="00E31E33">
              <w:rPr>
                <w:b w:val="0"/>
                <w:bCs w:val="0"/>
              </w:rPr>
              <w:t>gouvernementales CA</w:t>
            </w:r>
          </w:p>
        </w:tc>
        <w:tc>
          <w:tcPr>
            <w:tcW w:w="2490" w:type="dxa"/>
          </w:tcPr>
          <w:p w14:paraId="1C5DD261" w14:textId="77777777" w:rsidR="009227C4" w:rsidRDefault="009227C4" w:rsidP="00E31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10 %</w:t>
            </w:r>
          </w:p>
        </w:tc>
        <w:tc>
          <w:tcPr>
            <w:tcW w:w="2491" w:type="dxa"/>
          </w:tcPr>
          <w:p w14:paraId="565C88F6" w14:textId="77777777" w:rsidR="009227C4" w:rsidRDefault="009227C4" w:rsidP="00E31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1"/>
            </w:r>
            <w:r>
              <w:t xml:space="preserve"> 2%</w:t>
            </w:r>
          </w:p>
        </w:tc>
        <w:tc>
          <w:tcPr>
            <w:tcW w:w="2491" w:type="dxa"/>
          </w:tcPr>
          <w:p w14:paraId="36FF2846" w14:textId="77777777" w:rsidR="009227C4" w:rsidRDefault="009227C4" w:rsidP="00E31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ZAG.TO</w:t>
            </w:r>
          </w:p>
        </w:tc>
      </w:tr>
    </w:tbl>
    <w:p w14:paraId="65C5FC85" w14:textId="77777777" w:rsidR="009227C4" w:rsidRPr="009227C4" w:rsidRDefault="009227C4" w:rsidP="00E31E33"/>
    <w:p w14:paraId="3E5FC494" w14:textId="0D140502" w:rsidR="0017794C" w:rsidRDefault="006E1101" w:rsidP="004360A8">
      <w:r w:rsidRPr="009227C4">
        <w:t>Rééquilibrage</w:t>
      </w:r>
      <w:r w:rsidR="0017794C">
        <w:t xml:space="preserve"> : mensuel si </w:t>
      </w:r>
      <w:r w:rsidR="0017794C">
        <w:sym w:font="Symbol" w:char="F0B1"/>
      </w:r>
      <w:r w:rsidR="0017794C">
        <w:t xml:space="preserve">5 pts; sinon trimestriel </w:t>
      </w:r>
    </w:p>
    <w:p w14:paraId="2752C5BE" w14:textId="77777777" w:rsidR="004360A8" w:rsidRPr="004360A8" w:rsidRDefault="004360A8" w:rsidP="004360A8"/>
    <w:p w14:paraId="748925CE" w14:textId="645CABA0" w:rsidR="009227C4" w:rsidRPr="009227C4" w:rsidRDefault="006F7308" w:rsidP="009227C4">
      <w:pPr>
        <w:pStyle w:val="Titre1"/>
      </w:pPr>
      <w:bookmarkStart w:id="9" w:name="_Toc203319340"/>
      <w:r w:rsidRPr="00284C59">
        <w:t>Capacité et tolérance au risque</w:t>
      </w:r>
      <w:bookmarkEnd w:id="9"/>
      <w:r w:rsidRPr="00284C59">
        <w:t xml:space="preserve"> </w:t>
      </w:r>
    </w:p>
    <w:p w14:paraId="0B895106" w14:textId="60BADC20" w:rsidR="0017794C" w:rsidRPr="004360A8" w:rsidRDefault="00371A29" w:rsidP="004360A8">
      <w:r w:rsidRPr="009227C4">
        <w:t xml:space="preserve">15 % est la </w:t>
      </w:r>
      <w:r w:rsidR="00245FFC" w:rsidRPr="009227C4">
        <w:t>volatilité maximum</w:t>
      </w:r>
      <w:r w:rsidRPr="009227C4">
        <w:t xml:space="preserve"> </w:t>
      </w:r>
      <w:r w:rsidR="00C947DD" w:rsidRPr="009227C4">
        <w:t>annualisé</w:t>
      </w:r>
      <w:r w:rsidR="00E31E33">
        <w:t>e</w:t>
      </w:r>
      <w:r w:rsidR="00C947DD" w:rsidRPr="009227C4">
        <w:t xml:space="preserve"> </w:t>
      </w:r>
      <w:r w:rsidRPr="009227C4">
        <w:t>que je serai prêt à subir avant de vendre</w:t>
      </w:r>
      <w:r w:rsidR="00245FFC" w:rsidRPr="009227C4">
        <w:t>.</w:t>
      </w:r>
    </w:p>
    <w:p w14:paraId="3D9FC893" w14:textId="77777777" w:rsidR="0017794C" w:rsidRPr="009227C4" w:rsidRDefault="0017794C" w:rsidP="009227C4">
      <w:pPr>
        <w:spacing w:afterLines="120" w:after="288" w:line="240" w:lineRule="auto"/>
        <w:rPr>
          <w:rFonts w:cs="Calibri"/>
        </w:rPr>
      </w:pPr>
    </w:p>
    <w:p w14:paraId="548DEA0B" w14:textId="63587B2A" w:rsidR="009227C4" w:rsidRPr="009227C4" w:rsidRDefault="00A916EB" w:rsidP="009227C4">
      <w:pPr>
        <w:pStyle w:val="Titre1"/>
      </w:pPr>
      <w:bookmarkStart w:id="10" w:name="_Toc203319341"/>
      <w:r w:rsidRPr="00284C59">
        <w:t>Volatilité</w:t>
      </w:r>
      <w:bookmarkEnd w:id="10"/>
      <w:r w:rsidRPr="00284C59">
        <w:t xml:space="preserve"> </w:t>
      </w:r>
    </w:p>
    <w:p w14:paraId="4033CB1C" w14:textId="0042770A" w:rsidR="00B47396" w:rsidRPr="009B7DB1" w:rsidRDefault="00A916EB" w:rsidP="00E31E33">
      <w:pPr>
        <w:pStyle w:val="Paragraphedeliste"/>
        <w:numPr>
          <w:ilvl w:val="0"/>
          <w:numId w:val="22"/>
        </w:numPr>
      </w:pPr>
      <w:r w:rsidRPr="009B7DB1">
        <w:t xml:space="preserve">Je vais raisonner en volatilité </w:t>
      </w:r>
      <w:r w:rsidR="00C947DD" w:rsidRPr="009B7DB1">
        <w:t>annualisée</w:t>
      </w:r>
      <w:r w:rsidR="008756FF" w:rsidRPr="009B7DB1">
        <w:t>.</w:t>
      </w:r>
    </w:p>
    <w:p w14:paraId="4F84FF58" w14:textId="26B6B91C" w:rsidR="00A916EB" w:rsidRPr="00284C59" w:rsidRDefault="0017794C" w:rsidP="00E31E33">
      <w:pPr>
        <w:pStyle w:val="Paragraphedeliste"/>
        <w:numPr>
          <w:ilvl w:val="0"/>
          <w:numId w:val="22"/>
        </w:numPr>
      </w:pPr>
      <w:r w:rsidRPr="00284C59">
        <w:t>Le</w:t>
      </w:r>
      <w:r w:rsidR="007B0867" w:rsidRPr="00284C59">
        <w:t xml:space="preserve"> drawdown ne sera pas utilisé comme critère</w:t>
      </w:r>
      <w:r w:rsidR="0065321A" w:rsidRPr="00284C59">
        <w:t>.</w:t>
      </w:r>
      <w:r w:rsidR="00A916EB" w:rsidRPr="00284C59">
        <w:t xml:space="preserve"> </w:t>
      </w:r>
    </w:p>
    <w:p w14:paraId="01D18381" w14:textId="4AE81C12" w:rsidR="004D622D" w:rsidRDefault="00474F0D" w:rsidP="00E31E33">
      <w:pPr>
        <w:pStyle w:val="Paragraphedeliste"/>
        <w:numPr>
          <w:ilvl w:val="0"/>
          <w:numId w:val="22"/>
        </w:numPr>
      </w:pPr>
      <w:r w:rsidRPr="00284C59">
        <w:t>J’utiliserai une mesure d’écart type annualisé</w:t>
      </w:r>
      <w:r w:rsidR="0017794C">
        <w:t>e</w:t>
      </w:r>
      <w:r w:rsidRPr="00284C59">
        <w:t xml:space="preserve"> des rendements sur </w:t>
      </w:r>
      <w:r w:rsidR="005B49D3" w:rsidRPr="00284C59">
        <w:t>36 mois</w:t>
      </w:r>
      <w:r w:rsidR="003E3853" w:rsidRPr="00284C59">
        <w:t>.</w:t>
      </w:r>
    </w:p>
    <w:p w14:paraId="2760EA9B" w14:textId="77777777" w:rsidR="0017794C" w:rsidRPr="0017794C" w:rsidRDefault="0017794C" w:rsidP="0017794C">
      <w:pPr>
        <w:spacing w:afterLines="120" w:after="288" w:line="240" w:lineRule="auto"/>
        <w:rPr>
          <w:rFonts w:cs="Calibri"/>
        </w:rPr>
      </w:pPr>
    </w:p>
    <w:p w14:paraId="3152F69F" w14:textId="6087BDDE" w:rsidR="00A916EB" w:rsidRPr="00284C59" w:rsidRDefault="007A717F" w:rsidP="009B7DB1">
      <w:pPr>
        <w:pStyle w:val="Titre1"/>
      </w:pPr>
      <w:bookmarkStart w:id="11" w:name="_Toc203319342"/>
      <w:r w:rsidRPr="00284C59">
        <w:t>Connaissance du marché</w:t>
      </w:r>
      <w:bookmarkEnd w:id="11"/>
    </w:p>
    <w:p w14:paraId="4744212C" w14:textId="77777777" w:rsidR="006B4116" w:rsidRPr="00284C59" w:rsidRDefault="007A717F" w:rsidP="00E31E33">
      <w:pPr>
        <w:pStyle w:val="Paragraphedeliste"/>
        <w:numPr>
          <w:ilvl w:val="0"/>
          <w:numId w:val="23"/>
        </w:numPr>
      </w:pPr>
      <w:r w:rsidRPr="00284C59">
        <w:t xml:space="preserve">Intermédiaire, pas de trading de haute fréquence mais du rééquilibrage au besoin chaque </w:t>
      </w:r>
      <w:r w:rsidR="00112926" w:rsidRPr="00284C59">
        <w:t>mois</w:t>
      </w:r>
      <w:r w:rsidRPr="00284C59">
        <w:t>.</w:t>
      </w:r>
    </w:p>
    <w:p w14:paraId="34A97D25" w14:textId="618FEF5D" w:rsidR="006B4116" w:rsidRPr="00284C59" w:rsidRDefault="007A717F" w:rsidP="00E31E33">
      <w:pPr>
        <w:pStyle w:val="Paragraphedeliste"/>
        <w:numPr>
          <w:ilvl w:val="0"/>
          <w:numId w:val="23"/>
        </w:numPr>
      </w:pPr>
      <w:r w:rsidRPr="00284C59">
        <w:t>Nous pourrons utiliser des produits dérivés dans un cadre</w:t>
      </w:r>
      <w:r w:rsidR="004443B9" w:rsidRPr="00284C59">
        <w:t xml:space="preserve"> de couverture</w:t>
      </w:r>
      <w:r w:rsidR="00552A7F" w:rsidRPr="00284C59">
        <w:t xml:space="preserve"> de risque de marché ou de change.</w:t>
      </w:r>
      <w:r w:rsidR="005A5870" w:rsidRPr="00284C59">
        <w:t xml:space="preserve"> Aucune utilisation de dérivé si la valeur liquidative n’excède pas 10 000 </w:t>
      </w:r>
      <w:r w:rsidR="00C5593E" w:rsidRPr="00284C59">
        <w:t xml:space="preserve">$ </w:t>
      </w:r>
      <w:r w:rsidR="005A5870" w:rsidRPr="00284C59">
        <w:t>CAD</w:t>
      </w:r>
      <w:r w:rsidR="008756FF" w:rsidRPr="00284C59">
        <w:t>.</w:t>
      </w:r>
    </w:p>
    <w:p w14:paraId="5E52E7F8" w14:textId="2835E955" w:rsidR="00255F2F" w:rsidRPr="00284C59" w:rsidRDefault="006B4116" w:rsidP="00E31E33">
      <w:pPr>
        <w:pStyle w:val="Paragraphedeliste"/>
        <w:numPr>
          <w:ilvl w:val="0"/>
          <w:numId w:val="23"/>
        </w:numPr>
      </w:pPr>
      <w:r w:rsidRPr="00284C59">
        <w:t>L</w:t>
      </w:r>
      <w:r w:rsidR="00242DD6" w:rsidRPr="00284C59">
        <w:t>es positions prises avec les dérivés ne devront pas</w:t>
      </w:r>
      <w:r w:rsidR="0082366D" w:rsidRPr="00284C59">
        <w:t xml:space="preserve"> </w:t>
      </w:r>
      <w:r w:rsidR="004F7CA0" w:rsidRPr="00284C59">
        <w:t>amplifier le risque du portefeuille.</w:t>
      </w:r>
    </w:p>
    <w:p w14:paraId="303110B4" w14:textId="2BAB412B" w:rsidR="006B4116" w:rsidRPr="00284C59" w:rsidRDefault="00703748" w:rsidP="00E31E33">
      <w:pPr>
        <w:pStyle w:val="Paragraphedeliste"/>
        <w:numPr>
          <w:ilvl w:val="0"/>
          <w:numId w:val="23"/>
        </w:numPr>
      </w:pPr>
      <w:r w:rsidRPr="00284C59">
        <w:t>Aucun effet de levier économique</w:t>
      </w:r>
    </w:p>
    <w:p w14:paraId="1FBA8C1A" w14:textId="116509DA" w:rsidR="0070571B" w:rsidRPr="00284C59" w:rsidRDefault="0070571B" w:rsidP="00E31E33">
      <w:pPr>
        <w:pStyle w:val="Paragraphedeliste"/>
        <w:numPr>
          <w:ilvl w:val="0"/>
          <w:numId w:val="23"/>
        </w:numPr>
      </w:pPr>
      <w:r w:rsidRPr="00284C59">
        <w:t>Le delta net est de</w:t>
      </w:r>
      <w:r w:rsidR="00006CF4" w:rsidRPr="00284C59">
        <w:t xml:space="preserve"> plus/moins 10% du NAV.</w:t>
      </w:r>
    </w:p>
    <w:p w14:paraId="15208055" w14:textId="4F4230D9" w:rsidR="00CA5914" w:rsidRPr="00284C59" w:rsidRDefault="006C3539" w:rsidP="00E31E33">
      <w:pPr>
        <w:pStyle w:val="Paragraphedeliste"/>
        <w:numPr>
          <w:ilvl w:val="0"/>
          <w:numId w:val="23"/>
        </w:numPr>
      </w:pPr>
      <w:r w:rsidRPr="00284C59">
        <w:t>Chaque instrument dérivé ne pourra pas excéder 3 mois</w:t>
      </w:r>
      <w:r w:rsidR="00DE5C74" w:rsidRPr="00284C59">
        <w:t>. Arrive à échéance dans 3 mois ou est roulé dans les 3 jours ouvrables.</w:t>
      </w:r>
    </w:p>
    <w:p w14:paraId="63F6915A" w14:textId="7259D35D" w:rsidR="007A717F" w:rsidRDefault="00DE5C74" w:rsidP="00E31E33">
      <w:pPr>
        <w:pStyle w:val="Paragraphedeliste"/>
        <w:numPr>
          <w:ilvl w:val="0"/>
          <w:numId w:val="23"/>
        </w:numPr>
      </w:pPr>
      <w:r w:rsidRPr="00284C59">
        <w:t xml:space="preserve">Les contrats FX </w:t>
      </w:r>
      <w:r w:rsidR="002554F3">
        <w:t>CAD</w:t>
      </w:r>
      <w:r w:rsidRPr="00284C59">
        <w:t>-</w:t>
      </w:r>
      <w:r w:rsidR="002554F3">
        <w:t>USD</w:t>
      </w:r>
      <w:r w:rsidRPr="00284C59">
        <w:t xml:space="preserve"> et </w:t>
      </w:r>
      <w:r w:rsidR="002554F3">
        <w:t>USD</w:t>
      </w:r>
      <w:r w:rsidRPr="00284C59">
        <w:t>-</w:t>
      </w:r>
      <w:r w:rsidR="002554F3">
        <w:t>CAD</w:t>
      </w:r>
      <w:r w:rsidRPr="00284C59">
        <w:t xml:space="preserve"> sont tolérés </w:t>
      </w:r>
      <w:r w:rsidR="004F617A" w:rsidRPr="00284C59">
        <w:t>ou les produits sur indice actions US ou CAD</w:t>
      </w:r>
      <w:r w:rsidR="00F82BA7" w:rsidRPr="00284C59">
        <w:t>.</w:t>
      </w:r>
    </w:p>
    <w:p w14:paraId="5DBCBE33" w14:textId="77777777" w:rsidR="0017794C" w:rsidRDefault="0017794C" w:rsidP="0017794C">
      <w:pPr>
        <w:spacing w:afterLines="120" w:after="288" w:line="240" w:lineRule="auto"/>
        <w:rPr>
          <w:rFonts w:cs="Calibri"/>
        </w:rPr>
      </w:pPr>
    </w:p>
    <w:p w14:paraId="6126C184" w14:textId="77777777" w:rsidR="0017794C" w:rsidRPr="0017794C" w:rsidRDefault="0017794C" w:rsidP="0017794C">
      <w:pPr>
        <w:spacing w:afterLines="120" w:after="288" w:line="240" w:lineRule="auto"/>
        <w:rPr>
          <w:rFonts w:cs="Calibri"/>
        </w:rPr>
      </w:pPr>
    </w:p>
    <w:p w14:paraId="32C95F2B" w14:textId="7F11578E" w:rsidR="00B35900" w:rsidRPr="00284C59" w:rsidRDefault="00B35900" w:rsidP="009B7DB1">
      <w:pPr>
        <w:pStyle w:val="Titre1"/>
      </w:pPr>
      <w:bookmarkStart w:id="12" w:name="_Toc203319343"/>
      <w:r w:rsidRPr="00284C59">
        <w:t>Liquidité vs bloqué</w:t>
      </w:r>
      <w:bookmarkEnd w:id="12"/>
    </w:p>
    <w:p w14:paraId="095FE15B" w14:textId="69DEB366" w:rsidR="00AB07A2" w:rsidRPr="00284C59" w:rsidRDefault="00C91570" w:rsidP="00E31E33">
      <w:pPr>
        <w:pStyle w:val="Paragraphedeliste"/>
        <w:numPr>
          <w:ilvl w:val="0"/>
          <w:numId w:val="24"/>
        </w:numPr>
      </w:pPr>
      <w:r w:rsidRPr="00284C59">
        <w:t>Minimum 90 % liquide. Possibilité d’atteindre un maximum de 10 % de placements illiquides</w:t>
      </w:r>
      <w:r w:rsidR="008756FF" w:rsidRPr="00284C59">
        <w:t>.</w:t>
      </w:r>
    </w:p>
    <w:p w14:paraId="4D494A02" w14:textId="7EB42C5A" w:rsidR="00260E35" w:rsidRPr="00284C59" w:rsidRDefault="00260E35" w:rsidP="00E31E33">
      <w:pPr>
        <w:pStyle w:val="Paragraphedeliste"/>
        <w:numPr>
          <w:ilvl w:val="0"/>
          <w:numId w:val="24"/>
        </w:numPr>
      </w:pPr>
      <w:r w:rsidRPr="00284C59">
        <w:t xml:space="preserve">Le portefeuille pourra intégrer des titres, des </w:t>
      </w:r>
      <w:proofErr w:type="spellStart"/>
      <w:r w:rsidRPr="00284C59">
        <w:t>ETFs</w:t>
      </w:r>
      <w:proofErr w:type="spellEnd"/>
      <w:r w:rsidRPr="00284C59">
        <w:t>, de l’obligataire ou du placement moins liquides, selon ce qui est le plus adéquat à l’IPS après analyse</w:t>
      </w:r>
      <w:r w:rsidR="0026652F" w:rsidRPr="00284C59">
        <w:t>.</w:t>
      </w:r>
    </w:p>
    <w:p w14:paraId="5DF15723" w14:textId="523A60D9" w:rsidR="00E31E33" w:rsidRDefault="00D235E8" w:rsidP="00E31E33">
      <w:pPr>
        <w:pStyle w:val="Paragraphedeliste"/>
        <w:numPr>
          <w:ilvl w:val="0"/>
          <w:numId w:val="24"/>
        </w:numPr>
      </w:pPr>
      <w:r w:rsidRPr="00284C59">
        <w:t xml:space="preserve">Nous considèrerons qu’un titre est liquide si celui-ci est vendable en </w:t>
      </w:r>
      <w:r w:rsidR="00512164" w:rsidRPr="00284C59">
        <w:t xml:space="preserve">2 jours ouvrables </w:t>
      </w:r>
      <w:r w:rsidR="00D85C74" w:rsidRPr="00284C59">
        <w:t>et que le spread</w:t>
      </w:r>
      <w:r w:rsidR="00E31E33">
        <w:t xml:space="preserve"> (T+2).</w:t>
      </w:r>
    </w:p>
    <w:p w14:paraId="613A1C2C" w14:textId="72F11BBC" w:rsidR="00AB07A2" w:rsidRDefault="00D85C74" w:rsidP="00E31E33">
      <w:pPr>
        <w:pStyle w:val="Paragraphedeliste"/>
        <w:numPr>
          <w:ilvl w:val="0"/>
          <w:numId w:val="24"/>
        </w:numPr>
      </w:pPr>
      <w:proofErr w:type="spellStart"/>
      <w:proofErr w:type="gramStart"/>
      <w:r w:rsidRPr="00284C59">
        <w:t>bid</w:t>
      </w:r>
      <w:proofErr w:type="gramEnd"/>
      <w:r w:rsidRPr="00284C59">
        <w:t>-ask</w:t>
      </w:r>
      <w:proofErr w:type="spellEnd"/>
      <w:r w:rsidRPr="00284C59">
        <w:t xml:space="preserve"> est inférieur ou égale à 0,3 %</w:t>
      </w:r>
      <w:r w:rsidR="008756FF" w:rsidRPr="00284C59">
        <w:t>.</w:t>
      </w:r>
    </w:p>
    <w:p w14:paraId="79302E42" w14:textId="77777777" w:rsidR="0017794C" w:rsidRPr="0017794C" w:rsidRDefault="0017794C" w:rsidP="0017794C">
      <w:pPr>
        <w:spacing w:afterLines="120" w:after="288" w:line="240" w:lineRule="auto"/>
        <w:rPr>
          <w:rFonts w:cs="Calibri"/>
        </w:rPr>
      </w:pPr>
    </w:p>
    <w:p w14:paraId="366545E0" w14:textId="07056FE5" w:rsidR="00B35900" w:rsidRPr="00284C59" w:rsidRDefault="00AB07A2" w:rsidP="009B7DB1">
      <w:pPr>
        <w:pStyle w:val="Titre1"/>
      </w:pPr>
      <w:bookmarkStart w:id="13" w:name="_Toc203319344"/>
      <w:r w:rsidRPr="00284C59">
        <w:t>Contraintes légales / fiscales</w:t>
      </w:r>
      <w:bookmarkEnd w:id="13"/>
      <w:r w:rsidR="00C91570" w:rsidRPr="00284C59">
        <w:t xml:space="preserve"> </w:t>
      </w:r>
    </w:p>
    <w:p w14:paraId="1A620B54" w14:textId="58E7282D" w:rsidR="00AD1B93" w:rsidRPr="00284C59" w:rsidRDefault="009316D8" w:rsidP="00E31E33">
      <w:pPr>
        <w:pStyle w:val="Paragraphedeliste"/>
        <w:numPr>
          <w:ilvl w:val="0"/>
          <w:numId w:val="25"/>
        </w:numPr>
      </w:pPr>
      <w:r w:rsidRPr="00284C59">
        <w:t>Je suis imposé au Canada. La devise principale est le CAD mais le portefeuille peut aussi intégrer des titres en USD</w:t>
      </w:r>
      <w:r w:rsidR="00444E14" w:rsidRPr="00284C59">
        <w:t xml:space="preserve"> (maximum 60%)</w:t>
      </w:r>
      <w:r w:rsidRPr="00284C59">
        <w:t>.</w:t>
      </w:r>
      <w:r w:rsidR="001641AD" w:rsidRPr="00284C59">
        <w:t xml:space="preserve"> </w:t>
      </w:r>
      <w:r w:rsidR="00AD1B93" w:rsidRPr="00284C59">
        <w:t>L’imposition du placement et les frais de courtages devront être optimisés.</w:t>
      </w:r>
    </w:p>
    <w:p w14:paraId="3C52AC30" w14:textId="41E00E5A" w:rsidR="00C464A7" w:rsidRPr="00284C59" w:rsidRDefault="00C464A7" w:rsidP="00E31E33">
      <w:pPr>
        <w:pStyle w:val="Paragraphedeliste"/>
        <w:numPr>
          <w:ilvl w:val="0"/>
          <w:numId w:val="25"/>
        </w:numPr>
      </w:pPr>
      <w:r w:rsidRPr="00284C59">
        <w:t xml:space="preserve">Le placement sera réalisé dans un </w:t>
      </w:r>
      <w:r w:rsidR="003739C9" w:rsidRPr="00284C59">
        <w:t>compte CELI</w:t>
      </w:r>
      <w:r w:rsidR="00D5605F" w:rsidRPr="00284C59">
        <w:t>. Mes droits de cotisation cette année sont de 43 547$.</w:t>
      </w:r>
    </w:p>
    <w:p w14:paraId="6E17EC0E" w14:textId="7DF7E2CD" w:rsidR="00AD1B93" w:rsidRPr="00284C59" w:rsidRDefault="00CF74D8" w:rsidP="00E31E33">
      <w:pPr>
        <w:pStyle w:val="Paragraphedeliste"/>
        <w:numPr>
          <w:ilvl w:val="0"/>
          <w:numId w:val="25"/>
        </w:numPr>
      </w:pPr>
      <w:r w:rsidRPr="00284C59">
        <w:t xml:space="preserve">TER pondéré inférieur ou égal </w:t>
      </w:r>
      <w:r w:rsidR="00DF622F" w:rsidRPr="00284C59">
        <w:t xml:space="preserve">à </w:t>
      </w:r>
      <w:r w:rsidR="00DF622F" w:rsidRPr="00E31E33">
        <w:rPr>
          <w:u w:val="single"/>
        </w:rPr>
        <w:t>0,25%</w:t>
      </w:r>
      <w:r w:rsidR="0093386A" w:rsidRPr="00E31E33">
        <w:rPr>
          <w:u w:val="single"/>
        </w:rPr>
        <w:t>.</w:t>
      </w:r>
    </w:p>
    <w:p w14:paraId="74F40292" w14:textId="0932D68C" w:rsidR="00DF622F" w:rsidRPr="00284C59" w:rsidRDefault="00DF622F" w:rsidP="00E31E33">
      <w:pPr>
        <w:pStyle w:val="Paragraphedeliste"/>
        <w:numPr>
          <w:ilvl w:val="0"/>
          <w:numId w:val="25"/>
        </w:numPr>
      </w:pPr>
      <w:r w:rsidRPr="00284C59">
        <w:t>TCO</w:t>
      </w:r>
      <w:r w:rsidR="00A96C91" w:rsidRPr="00284C59">
        <w:t xml:space="preserve"> inférieur ou égal à </w:t>
      </w:r>
      <w:r w:rsidR="00A96C91" w:rsidRPr="00E31E33">
        <w:rPr>
          <w:u w:val="single"/>
        </w:rPr>
        <w:t>0,4</w:t>
      </w:r>
      <w:r w:rsidR="00C201B7" w:rsidRPr="00E31E33">
        <w:rPr>
          <w:u w:val="single"/>
        </w:rPr>
        <w:t>0 % par an</w:t>
      </w:r>
      <w:r w:rsidR="00C201B7" w:rsidRPr="00284C59">
        <w:t xml:space="preserve"> sur la base de </w:t>
      </w:r>
      <w:r w:rsidR="00DF4E07" w:rsidRPr="00284C59">
        <w:t>12 rééquilibrage</w:t>
      </w:r>
      <w:r w:rsidR="00D96E33" w:rsidRPr="00284C59">
        <w:t>s ou moins</w:t>
      </w:r>
      <w:r w:rsidR="00B71174" w:rsidRPr="00284C59">
        <w:t xml:space="preserve">. </w:t>
      </w:r>
    </w:p>
    <w:p w14:paraId="627940BF" w14:textId="255B2DCE" w:rsidR="00B71174" w:rsidRPr="00284C59" w:rsidRDefault="00B71174" w:rsidP="00E31E33">
      <w:pPr>
        <w:pStyle w:val="Paragraphedeliste"/>
        <w:numPr>
          <w:ilvl w:val="0"/>
          <w:numId w:val="25"/>
        </w:numPr>
      </w:pPr>
      <w:r w:rsidRPr="00284C59">
        <w:t xml:space="preserve">Le TCO inclue </w:t>
      </w:r>
      <w:r w:rsidR="00B66F42" w:rsidRPr="00284C59">
        <w:t>FX et commissions.</w:t>
      </w:r>
    </w:p>
    <w:p w14:paraId="7AAD58D8" w14:textId="383A67BF" w:rsidR="000F1A27" w:rsidRDefault="00E61167" w:rsidP="00E31E33">
      <w:pPr>
        <w:pStyle w:val="Paragraphedeliste"/>
        <w:numPr>
          <w:ilvl w:val="0"/>
          <w:numId w:val="25"/>
        </w:numPr>
      </w:pPr>
      <w:r w:rsidRPr="00284C59">
        <w:t>Pour les ETF avec un TER de + de 0,50% le choix devra être documenté</w:t>
      </w:r>
      <w:r w:rsidR="008756FF" w:rsidRPr="00284C59">
        <w:t>.</w:t>
      </w:r>
      <w:r w:rsidRPr="00284C59">
        <w:t xml:space="preserve"> </w:t>
      </w:r>
    </w:p>
    <w:p w14:paraId="10408B10" w14:textId="77777777" w:rsidR="0017794C" w:rsidRPr="0017794C" w:rsidRDefault="0017794C" w:rsidP="0017794C">
      <w:pPr>
        <w:spacing w:afterLines="120" w:after="288" w:line="240" w:lineRule="auto"/>
        <w:rPr>
          <w:rFonts w:cs="Calibri"/>
        </w:rPr>
      </w:pPr>
    </w:p>
    <w:p w14:paraId="2A65B922" w14:textId="56A875E9" w:rsidR="000F1A27" w:rsidRPr="00284C59" w:rsidRDefault="00744A07" w:rsidP="009B7DB1">
      <w:pPr>
        <w:pStyle w:val="Titre1"/>
      </w:pPr>
      <w:bookmarkStart w:id="14" w:name="_Toc203319345"/>
      <w:r w:rsidRPr="00284C59">
        <w:t xml:space="preserve">Frais de change et </w:t>
      </w:r>
      <w:r w:rsidR="00593559" w:rsidRPr="00284C59">
        <w:t>commission</w:t>
      </w:r>
      <w:r w:rsidRPr="00284C59">
        <w:t xml:space="preserve"> de courtier</w:t>
      </w:r>
      <w:bookmarkEnd w:id="14"/>
      <w:r w:rsidRPr="00284C59">
        <w:t xml:space="preserve"> </w:t>
      </w:r>
    </w:p>
    <w:p w14:paraId="2E9134CE" w14:textId="010BFB46" w:rsidR="000F1A27" w:rsidRDefault="00593559" w:rsidP="00E31E33">
      <w:r w:rsidRPr="00284C59">
        <w:t>Les hypothèses détaillées de commissions et frais de change sont maintenus dans un document</w:t>
      </w:r>
      <w:r w:rsidR="00261BE6" w:rsidRPr="00284C59">
        <w:t xml:space="preserve"> de référence séparé (</w:t>
      </w:r>
      <w:r w:rsidR="009608DA" w:rsidRPr="00284C59">
        <w:t>voir</w:t>
      </w:r>
      <w:proofErr w:type="gramStart"/>
      <w:r w:rsidR="009608DA" w:rsidRPr="00284C59">
        <w:t xml:space="preserve"> «</w:t>
      </w:r>
      <w:proofErr w:type="spellStart"/>
      <w:r w:rsidR="00261BE6" w:rsidRPr="00284C59">
        <w:t>Cost</w:t>
      </w:r>
      <w:proofErr w:type="spellEnd"/>
      <w:proofErr w:type="gramEnd"/>
      <w:r w:rsidR="00261BE6" w:rsidRPr="00284C59">
        <w:t xml:space="preserve"> Assumptions »)</w:t>
      </w:r>
      <w:r w:rsidR="001E5B07" w:rsidRPr="00284C59">
        <w:t>. Ce document justifiera le choix du courtier et sera mis à jour à chaque modification de tarification du courtier retenu</w:t>
      </w:r>
      <w:r w:rsidR="008D2E8A" w:rsidRPr="00284C59">
        <w:t>.</w:t>
      </w:r>
    </w:p>
    <w:p w14:paraId="0242E8C1" w14:textId="720AE687" w:rsidR="004360A8" w:rsidRDefault="004360A8" w:rsidP="00284C59">
      <w:pPr>
        <w:spacing w:afterLines="120" w:after="288" w:line="240" w:lineRule="auto"/>
        <w:rPr>
          <w:rFonts w:cs="Calibri"/>
        </w:rPr>
      </w:pPr>
    </w:p>
    <w:p w14:paraId="12E3031C" w14:textId="77777777" w:rsidR="004360A8" w:rsidRDefault="004360A8" w:rsidP="00284C59">
      <w:pPr>
        <w:spacing w:afterLines="120" w:after="288" w:line="240" w:lineRule="auto"/>
        <w:rPr>
          <w:rFonts w:cs="Calibri"/>
        </w:rPr>
      </w:pPr>
    </w:p>
    <w:p w14:paraId="1BFAA6A5" w14:textId="77777777" w:rsidR="004360A8" w:rsidRDefault="004360A8" w:rsidP="00284C59">
      <w:pPr>
        <w:spacing w:afterLines="120" w:after="288" w:line="240" w:lineRule="auto"/>
        <w:rPr>
          <w:rFonts w:cs="Calibri"/>
        </w:rPr>
      </w:pPr>
    </w:p>
    <w:p w14:paraId="70AE9907" w14:textId="77777777" w:rsidR="004360A8" w:rsidRDefault="004360A8" w:rsidP="00284C59">
      <w:pPr>
        <w:spacing w:afterLines="120" w:after="288" w:line="240" w:lineRule="auto"/>
        <w:rPr>
          <w:rFonts w:cs="Calibri"/>
        </w:rPr>
      </w:pPr>
    </w:p>
    <w:p w14:paraId="5C068D84" w14:textId="77777777" w:rsidR="004360A8" w:rsidRPr="00284C59" w:rsidRDefault="004360A8" w:rsidP="00284C59">
      <w:pPr>
        <w:spacing w:afterLines="120" w:after="288" w:line="240" w:lineRule="auto"/>
        <w:rPr>
          <w:rFonts w:cs="Calibri"/>
        </w:rPr>
      </w:pPr>
    </w:p>
    <w:p w14:paraId="30491495" w14:textId="78EBC238" w:rsidR="00AD1B93" w:rsidRPr="00284C59" w:rsidRDefault="009B7DB1" w:rsidP="009B7DB1">
      <w:pPr>
        <w:pStyle w:val="Titre1"/>
      </w:pPr>
      <w:bookmarkStart w:id="15" w:name="_Toc203319346"/>
      <w:r>
        <w:lastRenderedPageBreak/>
        <w:t>ESG et exclusions</w:t>
      </w:r>
      <w:bookmarkEnd w:id="15"/>
      <w:r>
        <w:t xml:space="preserve"> </w:t>
      </w:r>
    </w:p>
    <w:p w14:paraId="001AB9DB" w14:textId="77777777" w:rsidR="0093386A" w:rsidRPr="00284C59" w:rsidRDefault="00BB19E6" w:rsidP="00E31E33">
      <w:pPr>
        <w:pStyle w:val="Paragraphedeliste"/>
        <w:numPr>
          <w:ilvl w:val="0"/>
          <w:numId w:val="26"/>
        </w:numPr>
      </w:pPr>
      <w:r w:rsidRPr="00284C59">
        <w:t xml:space="preserve">Les compagnies de l’industrie du Tabac, de l’alcool seront </w:t>
      </w:r>
      <w:r w:rsidR="007C6C02" w:rsidRPr="00284C59">
        <w:t>exclues</w:t>
      </w:r>
      <w:r w:rsidRPr="00284C59">
        <w:t xml:space="preserve">. </w:t>
      </w:r>
    </w:p>
    <w:p w14:paraId="55E93FF8" w14:textId="4830B130" w:rsidR="00AD1B93" w:rsidRPr="00284C59" w:rsidRDefault="007C6C02" w:rsidP="00E31E33">
      <w:pPr>
        <w:pStyle w:val="Paragraphedeliste"/>
        <w:numPr>
          <w:ilvl w:val="0"/>
          <w:numId w:val="26"/>
        </w:numPr>
      </w:pPr>
      <w:r w:rsidRPr="00284C59">
        <w:t xml:space="preserve">Le score ESG du placement devra se situer </w:t>
      </w:r>
      <w:r w:rsidR="0093386A" w:rsidRPr="00284C59">
        <w:t xml:space="preserve">au-dessus de 6/10 en tout </w:t>
      </w:r>
      <w:r w:rsidR="00B66F42" w:rsidRPr="00284C59">
        <w:t>temps.</w:t>
      </w:r>
    </w:p>
    <w:p w14:paraId="724D06AE" w14:textId="0E3CBFAF" w:rsidR="0093386A" w:rsidRPr="00284C59" w:rsidRDefault="001265D2" w:rsidP="00E31E33">
      <w:pPr>
        <w:pStyle w:val="Paragraphedeliste"/>
        <w:numPr>
          <w:ilvl w:val="0"/>
          <w:numId w:val="26"/>
        </w:numPr>
      </w:pPr>
      <w:r w:rsidRPr="00284C59">
        <w:t>Le score sera calculé à partir de l’é</w:t>
      </w:r>
      <w:r w:rsidR="005A5870" w:rsidRPr="00284C59">
        <w:t>va</w:t>
      </w:r>
      <w:r w:rsidRPr="00284C59">
        <w:t xml:space="preserve">luation MSCI ESG </w:t>
      </w:r>
      <w:proofErr w:type="spellStart"/>
      <w:r w:rsidRPr="00284C59">
        <w:t>quality</w:t>
      </w:r>
      <w:proofErr w:type="spellEnd"/>
      <w:r w:rsidRPr="00284C59">
        <w:t xml:space="preserve"> pondéré.</w:t>
      </w:r>
    </w:p>
    <w:p w14:paraId="3E29588C" w14:textId="7CF6F4B8" w:rsidR="000F1A27" w:rsidRPr="00284C59" w:rsidRDefault="001265D2" w:rsidP="00E31E33">
      <w:pPr>
        <w:pStyle w:val="Paragraphedeliste"/>
        <w:numPr>
          <w:ilvl w:val="0"/>
          <w:numId w:val="26"/>
        </w:numPr>
      </w:pPr>
      <w:r w:rsidRPr="00284C59">
        <w:t xml:space="preserve">Le score ESG du portefeuille sera calculé </w:t>
      </w:r>
      <w:r w:rsidR="005A5870" w:rsidRPr="00284C59">
        <w:t>tous les mois.</w:t>
      </w:r>
    </w:p>
    <w:p w14:paraId="377F8706" w14:textId="06338378" w:rsidR="00B66F42" w:rsidRPr="00284C59" w:rsidRDefault="00B66F42" w:rsidP="00E31E33">
      <w:pPr>
        <w:pStyle w:val="Paragraphedeliste"/>
        <w:numPr>
          <w:ilvl w:val="0"/>
          <w:numId w:val="26"/>
        </w:numPr>
      </w:pPr>
      <w:r w:rsidRPr="00284C59">
        <w:t>Si le score ESG</w:t>
      </w:r>
      <w:r w:rsidR="005F0FF6" w:rsidRPr="00284C59">
        <w:t xml:space="preserve"> tombe en-dessous de 6/10 pendant plus de </w:t>
      </w:r>
      <w:r w:rsidR="003E3853" w:rsidRPr="00284C59">
        <w:t xml:space="preserve">30 jours </w:t>
      </w:r>
      <w:r w:rsidR="005F0FF6" w:rsidRPr="00284C59">
        <w:t>ouvrable</w:t>
      </w:r>
      <w:r w:rsidR="003E3853" w:rsidRPr="00284C59">
        <w:t>s</w:t>
      </w:r>
      <w:r w:rsidR="00E40822" w:rsidRPr="00284C59">
        <w:t>, une revue sera éditée afin d</w:t>
      </w:r>
      <w:r w:rsidR="00914882" w:rsidRPr="00284C59">
        <w:t xml:space="preserve">’expliciter l’origine de ce changement </w:t>
      </w:r>
      <w:r w:rsidR="00B80C33" w:rsidRPr="00284C59">
        <w:t xml:space="preserve">et un rééquilibrage pourra être considéré </w:t>
      </w:r>
      <w:r w:rsidR="00F862CD" w:rsidRPr="00284C59">
        <w:t>si le changement n’est pas temporaire et semble structurel.</w:t>
      </w:r>
    </w:p>
    <w:p w14:paraId="7913BDB9" w14:textId="1749F088" w:rsidR="0017794C" w:rsidRDefault="003E3853" w:rsidP="004360A8">
      <w:pPr>
        <w:pStyle w:val="Paragraphedeliste"/>
        <w:numPr>
          <w:ilvl w:val="0"/>
          <w:numId w:val="26"/>
        </w:numPr>
      </w:pPr>
      <w:r w:rsidRPr="00284C59">
        <w:t>Si en</w:t>
      </w:r>
      <w:r w:rsidR="00E31E33">
        <w:t xml:space="preserve"> </w:t>
      </w:r>
      <w:r w:rsidRPr="00284C59">
        <w:t>dessous de 5 sur 10</w:t>
      </w:r>
      <w:r w:rsidR="00A63E02" w:rsidRPr="00284C59">
        <w:t xml:space="preserve"> pendant 1 semaine ouvrable</w:t>
      </w:r>
      <w:r w:rsidRPr="00284C59">
        <w:t xml:space="preserve">, revue exceptionnelle </w:t>
      </w:r>
      <w:r w:rsidR="00A63E02" w:rsidRPr="00284C59">
        <w:t>immédiate.</w:t>
      </w:r>
    </w:p>
    <w:p w14:paraId="4D968D37" w14:textId="77777777" w:rsidR="004360A8" w:rsidRPr="004360A8" w:rsidRDefault="004360A8" w:rsidP="004360A8"/>
    <w:p w14:paraId="2F9D8D23" w14:textId="38B6ACBD" w:rsidR="00666107" w:rsidRPr="00284C59" w:rsidRDefault="00D1222D" w:rsidP="009B7DB1">
      <w:pPr>
        <w:pStyle w:val="Titre1"/>
      </w:pPr>
      <w:bookmarkStart w:id="16" w:name="_Toc203319347"/>
      <w:proofErr w:type="spellStart"/>
      <w:r w:rsidRPr="00284C59">
        <w:t>Reporting</w:t>
      </w:r>
      <w:proofErr w:type="spellEnd"/>
      <w:r w:rsidRPr="00284C59">
        <w:t xml:space="preserve"> et revue</w:t>
      </w:r>
      <w:bookmarkEnd w:id="16"/>
      <w:r w:rsidRPr="00284C59">
        <w:t xml:space="preserve"> </w:t>
      </w:r>
    </w:p>
    <w:p w14:paraId="667D956A" w14:textId="0B781ACC" w:rsidR="00D1222D" w:rsidRPr="00284C59" w:rsidRDefault="00D1222D" w:rsidP="00E31E33">
      <w:pPr>
        <w:pStyle w:val="Paragraphedeliste"/>
        <w:numPr>
          <w:ilvl w:val="0"/>
          <w:numId w:val="27"/>
        </w:numPr>
      </w:pPr>
      <w:proofErr w:type="spellStart"/>
      <w:r w:rsidRPr="00284C59">
        <w:t>Reporting</w:t>
      </w:r>
      <w:proofErr w:type="spellEnd"/>
      <w:r w:rsidRPr="00284C59">
        <w:t xml:space="preserve"> </w:t>
      </w:r>
      <w:r w:rsidR="005A7384" w:rsidRPr="00284C59">
        <w:t xml:space="preserve">mensuel </w:t>
      </w:r>
      <w:r w:rsidR="000E4100" w:rsidRPr="00284C59">
        <w:t>qui parait à chaque deuxième semaine de chaque mois</w:t>
      </w:r>
      <w:r w:rsidR="000D66F1" w:rsidRPr="00284C59">
        <w:t>.</w:t>
      </w:r>
      <w:r w:rsidR="000E4100" w:rsidRPr="00284C59">
        <w:t xml:space="preserve"> </w:t>
      </w:r>
    </w:p>
    <w:p w14:paraId="12B3BFF0" w14:textId="19A8C287" w:rsidR="005A7384" w:rsidRPr="00284C59" w:rsidRDefault="005A7384" w:rsidP="00E31E33">
      <w:pPr>
        <w:pStyle w:val="Paragraphedeliste"/>
        <w:numPr>
          <w:ilvl w:val="0"/>
          <w:numId w:val="27"/>
        </w:numPr>
      </w:pPr>
      <w:r w:rsidRPr="00284C59">
        <w:t xml:space="preserve">Revue formelle de l’IPS </w:t>
      </w:r>
      <w:r w:rsidR="000C1757" w:rsidRPr="00284C59">
        <w:t xml:space="preserve">annuelle, </w:t>
      </w:r>
      <w:r w:rsidR="000E4100" w:rsidRPr="00284C59">
        <w:t xml:space="preserve">qui parait </w:t>
      </w:r>
      <w:r w:rsidR="000C1757" w:rsidRPr="00284C59">
        <w:t>entre le 1</w:t>
      </w:r>
      <w:r w:rsidR="000C1757" w:rsidRPr="00E31E33">
        <w:rPr>
          <w:vertAlign w:val="superscript"/>
        </w:rPr>
        <w:t>er</w:t>
      </w:r>
      <w:r w:rsidR="000C1757" w:rsidRPr="00284C59">
        <w:t xml:space="preserve"> et le 15 août de chaque année</w:t>
      </w:r>
      <w:r w:rsidR="000D66F1" w:rsidRPr="00284C59">
        <w:t>.</w:t>
      </w:r>
    </w:p>
    <w:p w14:paraId="3615C696" w14:textId="53480D50" w:rsidR="00E85E4A" w:rsidRPr="00284C59" w:rsidRDefault="00E85E4A" w:rsidP="00E31E33">
      <w:pPr>
        <w:pStyle w:val="Paragraphedeliste"/>
        <w:numPr>
          <w:ilvl w:val="0"/>
          <w:numId w:val="27"/>
        </w:numPr>
      </w:pPr>
      <w:proofErr w:type="spellStart"/>
      <w:r w:rsidRPr="00284C59">
        <w:t>Reporting</w:t>
      </w:r>
      <w:proofErr w:type="spellEnd"/>
      <w:r w:rsidRPr="00284C59">
        <w:t xml:space="preserve"> exceptionnel si le score ESG tombe en-dessous de 6/10 </w:t>
      </w:r>
      <w:r w:rsidR="003E3853" w:rsidRPr="00284C59">
        <w:t>pendant plus de 30 jours ouvrable.</w:t>
      </w:r>
    </w:p>
    <w:p w14:paraId="0B3CAE31" w14:textId="258B4A19" w:rsidR="00A63E02" w:rsidRPr="00284C59" w:rsidRDefault="00A63E02" w:rsidP="00E31E33">
      <w:pPr>
        <w:pStyle w:val="Paragraphedeliste"/>
        <w:numPr>
          <w:ilvl w:val="0"/>
          <w:numId w:val="27"/>
        </w:numPr>
      </w:pPr>
      <w:proofErr w:type="spellStart"/>
      <w:r w:rsidRPr="00284C59">
        <w:t>Reporting</w:t>
      </w:r>
      <w:proofErr w:type="spellEnd"/>
      <w:r w:rsidRPr="00284C59">
        <w:t xml:space="preserve"> exceptionnel et immédiat si le score ESG tombe en-dessous de 5/10 pendant une semaine ouvrable.</w:t>
      </w:r>
    </w:p>
    <w:p w14:paraId="07CF3DBA" w14:textId="77777777" w:rsidR="00666107" w:rsidRPr="00284C59" w:rsidRDefault="00666107" w:rsidP="00284C59">
      <w:pPr>
        <w:spacing w:afterLines="120" w:after="288" w:line="240" w:lineRule="auto"/>
        <w:rPr>
          <w:rFonts w:cs="Calibri"/>
        </w:rPr>
      </w:pPr>
    </w:p>
    <w:sectPr w:rsidR="00666107" w:rsidRPr="00284C59" w:rsidSect="00284C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6AED9" w14:textId="77777777" w:rsidR="0096369B" w:rsidRDefault="0096369B" w:rsidP="00284C59">
      <w:pPr>
        <w:spacing w:after="0" w:line="240" w:lineRule="auto"/>
      </w:pPr>
      <w:r>
        <w:separator/>
      </w:r>
    </w:p>
  </w:endnote>
  <w:endnote w:type="continuationSeparator" w:id="0">
    <w:p w14:paraId="1F38BD6A" w14:textId="77777777" w:rsidR="0096369B" w:rsidRDefault="0096369B" w:rsidP="0028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2110546080"/>
      <w:docPartObj>
        <w:docPartGallery w:val="Page Numbers (Bottom of Page)"/>
        <w:docPartUnique/>
      </w:docPartObj>
    </w:sdtPr>
    <w:sdtContent>
      <w:p w14:paraId="7F2D76C7" w14:textId="4A33C3AD" w:rsidR="00284C59" w:rsidRDefault="00284C59" w:rsidP="00B521C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B121145" w14:textId="77777777" w:rsidR="00284C59" w:rsidRDefault="00284C59" w:rsidP="00284C5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2048671452"/>
      <w:docPartObj>
        <w:docPartGallery w:val="Page Numbers (Bottom of Page)"/>
        <w:docPartUnique/>
      </w:docPartObj>
    </w:sdtPr>
    <w:sdtContent>
      <w:p w14:paraId="0072BEF9" w14:textId="0C6B6618" w:rsidR="00284C59" w:rsidRDefault="00284C59" w:rsidP="00B521CF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3</w:t>
        </w:r>
        <w:r>
          <w:rPr>
            <w:rStyle w:val="Numrodepage"/>
          </w:rPr>
          <w:fldChar w:fldCharType="end"/>
        </w:r>
      </w:p>
    </w:sdtContent>
  </w:sdt>
  <w:p w14:paraId="0B060176" w14:textId="6B302628" w:rsidR="00284C59" w:rsidRDefault="00284C59" w:rsidP="00284C5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1D15C" w14:textId="77777777" w:rsidR="0096369B" w:rsidRDefault="0096369B" w:rsidP="00284C59">
      <w:pPr>
        <w:spacing w:after="0" w:line="240" w:lineRule="auto"/>
      </w:pPr>
      <w:r>
        <w:separator/>
      </w:r>
    </w:p>
  </w:footnote>
  <w:footnote w:type="continuationSeparator" w:id="0">
    <w:p w14:paraId="4D38C75F" w14:textId="77777777" w:rsidR="0096369B" w:rsidRDefault="0096369B" w:rsidP="0028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8772" w14:textId="77777777" w:rsidR="009B7DB1" w:rsidRDefault="009B7DB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39A7E" w14:textId="77777777" w:rsidR="009B7DB1" w:rsidRDefault="009B7DB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0FFE1" w14:textId="77777777" w:rsidR="009B7DB1" w:rsidRDefault="009B7D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4811"/>
    <w:multiLevelType w:val="hybridMultilevel"/>
    <w:tmpl w:val="09683EEA"/>
    <w:lvl w:ilvl="0" w:tplc="76A4E214">
      <w:start w:val="15"/>
      <w:numFmt w:val="bullet"/>
      <w:lvlText w:val="-"/>
      <w:lvlJc w:val="left"/>
      <w:pPr>
        <w:ind w:left="106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068B"/>
    <w:multiLevelType w:val="hybridMultilevel"/>
    <w:tmpl w:val="4754DB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45060"/>
    <w:multiLevelType w:val="hybridMultilevel"/>
    <w:tmpl w:val="78D049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1569"/>
    <w:multiLevelType w:val="hybridMultilevel"/>
    <w:tmpl w:val="F9B4FD26"/>
    <w:lvl w:ilvl="0" w:tplc="76A4E214">
      <w:start w:val="15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86E41"/>
    <w:multiLevelType w:val="hybridMultilevel"/>
    <w:tmpl w:val="04C0B0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B1371"/>
    <w:multiLevelType w:val="hybridMultilevel"/>
    <w:tmpl w:val="0E38D2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907B9"/>
    <w:multiLevelType w:val="hybridMultilevel"/>
    <w:tmpl w:val="E85CC712"/>
    <w:lvl w:ilvl="0" w:tplc="76A4E214">
      <w:start w:val="15"/>
      <w:numFmt w:val="bullet"/>
      <w:lvlText w:val="-"/>
      <w:lvlJc w:val="left"/>
      <w:pPr>
        <w:ind w:left="106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C5C4F"/>
    <w:multiLevelType w:val="hybridMultilevel"/>
    <w:tmpl w:val="D44029D0"/>
    <w:lvl w:ilvl="0" w:tplc="0C0C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C4556"/>
    <w:multiLevelType w:val="hybridMultilevel"/>
    <w:tmpl w:val="87CC21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2DB6"/>
    <w:multiLevelType w:val="hybridMultilevel"/>
    <w:tmpl w:val="A0263C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02336"/>
    <w:multiLevelType w:val="hybridMultilevel"/>
    <w:tmpl w:val="8FE02A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B5AE4"/>
    <w:multiLevelType w:val="hybridMultilevel"/>
    <w:tmpl w:val="422850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F1A81"/>
    <w:multiLevelType w:val="hybridMultilevel"/>
    <w:tmpl w:val="0D9A37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07691"/>
    <w:multiLevelType w:val="hybridMultilevel"/>
    <w:tmpl w:val="E8E2BE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66A5C"/>
    <w:multiLevelType w:val="hybridMultilevel"/>
    <w:tmpl w:val="11E620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E1480"/>
    <w:multiLevelType w:val="hybridMultilevel"/>
    <w:tmpl w:val="38FA62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43129"/>
    <w:multiLevelType w:val="hybridMultilevel"/>
    <w:tmpl w:val="76E49C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54A75"/>
    <w:multiLevelType w:val="hybridMultilevel"/>
    <w:tmpl w:val="4DDA1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85B2D"/>
    <w:multiLevelType w:val="hybridMultilevel"/>
    <w:tmpl w:val="406A95B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E7322"/>
    <w:multiLevelType w:val="hybridMultilevel"/>
    <w:tmpl w:val="4FC831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07F3C"/>
    <w:multiLevelType w:val="hybridMultilevel"/>
    <w:tmpl w:val="D0E0DC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D73A3"/>
    <w:multiLevelType w:val="hybridMultilevel"/>
    <w:tmpl w:val="21E48B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B613C"/>
    <w:multiLevelType w:val="hybridMultilevel"/>
    <w:tmpl w:val="1EA62C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72AFC"/>
    <w:multiLevelType w:val="hybridMultilevel"/>
    <w:tmpl w:val="89669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63495"/>
    <w:multiLevelType w:val="hybridMultilevel"/>
    <w:tmpl w:val="F29AA84E"/>
    <w:lvl w:ilvl="0" w:tplc="DEBC62C0">
      <w:start w:val="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9245C"/>
    <w:multiLevelType w:val="hybridMultilevel"/>
    <w:tmpl w:val="22EC33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A2575"/>
    <w:multiLevelType w:val="hybridMultilevel"/>
    <w:tmpl w:val="696E21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772546">
    <w:abstractNumId w:val="17"/>
  </w:num>
  <w:num w:numId="2" w16cid:durableId="1365519020">
    <w:abstractNumId w:val="13"/>
  </w:num>
  <w:num w:numId="3" w16cid:durableId="1936207975">
    <w:abstractNumId w:val="8"/>
  </w:num>
  <w:num w:numId="4" w16cid:durableId="396440975">
    <w:abstractNumId w:val="24"/>
  </w:num>
  <w:num w:numId="5" w16cid:durableId="971591222">
    <w:abstractNumId w:val="3"/>
  </w:num>
  <w:num w:numId="6" w16cid:durableId="1422680937">
    <w:abstractNumId w:val="0"/>
  </w:num>
  <w:num w:numId="7" w16cid:durableId="270433230">
    <w:abstractNumId w:val="7"/>
  </w:num>
  <w:num w:numId="8" w16cid:durableId="503859995">
    <w:abstractNumId w:val="1"/>
  </w:num>
  <w:num w:numId="9" w16cid:durableId="2018339352">
    <w:abstractNumId w:val="20"/>
  </w:num>
  <w:num w:numId="10" w16cid:durableId="1604727421">
    <w:abstractNumId w:val="9"/>
  </w:num>
  <w:num w:numId="11" w16cid:durableId="365444657">
    <w:abstractNumId w:val="6"/>
  </w:num>
  <w:num w:numId="12" w16cid:durableId="1930768292">
    <w:abstractNumId w:val="16"/>
  </w:num>
  <w:num w:numId="13" w16cid:durableId="958873087">
    <w:abstractNumId w:val="4"/>
  </w:num>
  <w:num w:numId="14" w16cid:durableId="1395005527">
    <w:abstractNumId w:val="2"/>
  </w:num>
  <w:num w:numId="15" w16cid:durableId="1072504919">
    <w:abstractNumId w:val="23"/>
  </w:num>
  <w:num w:numId="16" w16cid:durableId="2137483395">
    <w:abstractNumId w:val="11"/>
  </w:num>
  <w:num w:numId="17" w16cid:durableId="1803884388">
    <w:abstractNumId w:val="25"/>
  </w:num>
  <w:num w:numId="18" w16cid:durableId="987173519">
    <w:abstractNumId w:val="10"/>
  </w:num>
  <w:num w:numId="19" w16cid:durableId="1828394661">
    <w:abstractNumId w:val="26"/>
  </w:num>
  <w:num w:numId="20" w16cid:durableId="643386532">
    <w:abstractNumId w:val="21"/>
  </w:num>
  <w:num w:numId="21" w16cid:durableId="322466582">
    <w:abstractNumId w:val="18"/>
  </w:num>
  <w:num w:numId="22" w16cid:durableId="2071806244">
    <w:abstractNumId w:val="12"/>
  </w:num>
  <w:num w:numId="23" w16cid:durableId="651369779">
    <w:abstractNumId w:val="22"/>
  </w:num>
  <w:num w:numId="24" w16cid:durableId="1412392104">
    <w:abstractNumId w:val="14"/>
  </w:num>
  <w:num w:numId="25" w16cid:durableId="1824620265">
    <w:abstractNumId w:val="5"/>
  </w:num>
  <w:num w:numId="26" w16cid:durableId="397437937">
    <w:abstractNumId w:val="15"/>
  </w:num>
  <w:num w:numId="27" w16cid:durableId="1048827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96"/>
    <w:rsid w:val="00006CF4"/>
    <w:rsid w:val="00012B46"/>
    <w:rsid w:val="00021532"/>
    <w:rsid w:val="0003738D"/>
    <w:rsid w:val="00051735"/>
    <w:rsid w:val="0009310C"/>
    <w:rsid w:val="000946B0"/>
    <w:rsid w:val="000B39CB"/>
    <w:rsid w:val="000C1757"/>
    <w:rsid w:val="000D66F1"/>
    <w:rsid w:val="000E4100"/>
    <w:rsid w:val="000F1A27"/>
    <w:rsid w:val="00110691"/>
    <w:rsid w:val="00112926"/>
    <w:rsid w:val="00125B86"/>
    <w:rsid w:val="001265D2"/>
    <w:rsid w:val="00160603"/>
    <w:rsid w:val="001641AD"/>
    <w:rsid w:val="0017794C"/>
    <w:rsid w:val="00181B84"/>
    <w:rsid w:val="0019575B"/>
    <w:rsid w:val="001D0E5A"/>
    <w:rsid w:val="001E5B07"/>
    <w:rsid w:val="001F72BD"/>
    <w:rsid w:val="00222F86"/>
    <w:rsid w:val="00242DD6"/>
    <w:rsid w:val="00245FFC"/>
    <w:rsid w:val="002554F3"/>
    <w:rsid w:val="00255F2F"/>
    <w:rsid w:val="00260E35"/>
    <w:rsid w:val="00261BE6"/>
    <w:rsid w:val="002658F1"/>
    <w:rsid w:val="0026652F"/>
    <w:rsid w:val="00284C59"/>
    <w:rsid w:val="002A4649"/>
    <w:rsid w:val="002E659E"/>
    <w:rsid w:val="00302E57"/>
    <w:rsid w:val="00364BFA"/>
    <w:rsid w:val="00371A29"/>
    <w:rsid w:val="003739C9"/>
    <w:rsid w:val="003935BD"/>
    <w:rsid w:val="003E3853"/>
    <w:rsid w:val="004360A8"/>
    <w:rsid w:val="004443B9"/>
    <w:rsid w:val="00444E14"/>
    <w:rsid w:val="00456019"/>
    <w:rsid w:val="00474F0D"/>
    <w:rsid w:val="00495C02"/>
    <w:rsid w:val="004A1B0C"/>
    <w:rsid w:val="004C182D"/>
    <w:rsid w:val="004D622D"/>
    <w:rsid w:val="004E3EE8"/>
    <w:rsid w:val="004F617A"/>
    <w:rsid w:val="004F7CA0"/>
    <w:rsid w:val="00512164"/>
    <w:rsid w:val="00523950"/>
    <w:rsid w:val="005354F0"/>
    <w:rsid w:val="005509ED"/>
    <w:rsid w:val="00552A7F"/>
    <w:rsid w:val="00576427"/>
    <w:rsid w:val="0058339F"/>
    <w:rsid w:val="00593559"/>
    <w:rsid w:val="005A5870"/>
    <w:rsid w:val="005A7384"/>
    <w:rsid w:val="005B3FF2"/>
    <w:rsid w:val="005B49D3"/>
    <w:rsid w:val="005D759A"/>
    <w:rsid w:val="005E321C"/>
    <w:rsid w:val="005F0FF6"/>
    <w:rsid w:val="005F287A"/>
    <w:rsid w:val="00617A27"/>
    <w:rsid w:val="0065321A"/>
    <w:rsid w:val="00666107"/>
    <w:rsid w:val="006B4116"/>
    <w:rsid w:val="006C3539"/>
    <w:rsid w:val="006E1101"/>
    <w:rsid w:val="006F7308"/>
    <w:rsid w:val="00703748"/>
    <w:rsid w:val="0070571B"/>
    <w:rsid w:val="00705FC6"/>
    <w:rsid w:val="00717E3D"/>
    <w:rsid w:val="00717EC7"/>
    <w:rsid w:val="0072017C"/>
    <w:rsid w:val="00744A07"/>
    <w:rsid w:val="00746DD9"/>
    <w:rsid w:val="007A717F"/>
    <w:rsid w:val="007B0867"/>
    <w:rsid w:val="007C6C02"/>
    <w:rsid w:val="007F61A0"/>
    <w:rsid w:val="0082366D"/>
    <w:rsid w:val="00834996"/>
    <w:rsid w:val="0086486B"/>
    <w:rsid w:val="008756FF"/>
    <w:rsid w:val="008B73D3"/>
    <w:rsid w:val="008C0956"/>
    <w:rsid w:val="008D2E8A"/>
    <w:rsid w:val="009000D1"/>
    <w:rsid w:val="00914882"/>
    <w:rsid w:val="00917407"/>
    <w:rsid w:val="009227C4"/>
    <w:rsid w:val="009316D8"/>
    <w:rsid w:val="0093386A"/>
    <w:rsid w:val="0094655D"/>
    <w:rsid w:val="009608DA"/>
    <w:rsid w:val="00961FE1"/>
    <w:rsid w:val="0096369B"/>
    <w:rsid w:val="009755E0"/>
    <w:rsid w:val="00983088"/>
    <w:rsid w:val="009A42A2"/>
    <w:rsid w:val="009B7DB1"/>
    <w:rsid w:val="00A0207D"/>
    <w:rsid w:val="00A04DD3"/>
    <w:rsid w:val="00A63E02"/>
    <w:rsid w:val="00A86F33"/>
    <w:rsid w:val="00A903BE"/>
    <w:rsid w:val="00A916EB"/>
    <w:rsid w:val="00A96C91"/>
    <w:rsid w:val="00AA65CC"/>
    <w:rsid w:val="00AB07A2"/>
    <w:rsid w:val="00AD1B93"/>
    <w:rsid w:val="00AD56E7"/>
    <w:rsid w:val="00B16E28"/>
    <w:rsid w:val="00B3522E"/>
    <w:rsid w:val="00B35900"/>
    <w:rsid w:val="00B373F8"/>
    <w:rsid w:val="00B47396"/>
    <w:rsid w:val="00B66F42"/>
    <w:rsid w:val="00B71174"/>
    <w:rsid w:val="00B80C33"/>
    <w:rsid w:val="00B945CB"/>
    <w:rsid w:val="00BB19E6"/>
    <w:rsid w:val="00C201B7"/>
    <w:rsid w:val="00C25E8A"/>
    <w:rsid w:val="00C30D2D"/>
    <w:rsid w:val="00C464A7"/>
    <w:rsid w:val="00C473E7"/>
    <w:rsid w:val="00C5593E"/>
    <w:rsid w:val="00C6349A"/>
    <w:rsid w:val="00C73162"/>
    <w:rsid w:val="00C73A78"/>
    <w:rsid w:val="00C73CED"/>
    <w:rsid w:val="00C91570"/>
    <w:rsid w:val="00C947DD"/>
    <w:rsid w:val="00CA5914"/>
    <w:rsid w:val="00CA7ECE"/>
    <w:rsid w:val="00CB6CB1"/>
    <w:rsid w:val="00CF74D8"/>
    <w:rsid w:val="00D1222D"/>
    <w:rsid w:val="00D202BC"/>
    <w:rsid w:val="00D235E8"/>
    <w:rsid w:val="00D5605F"/>
    <w:rsid w:val="00D85C74"/>
    <w:rsid w:val="00D90A1A"/>
    <w:rsid w:val="00D96E33"/>
    <w:rsid w:val="00DE5C74"/>
    <w:rsid w:val="00DF4E07"/>
    <w:rsid w:val="00DF622F"/>
    <w:rsid w:val="00E26E6F"/>
    <w:rsid w:val="00E31A9A"/>
    <w:rsid w:val="00E31E33"/>
    <w:rsid w:val="00E40822"/>
    <w:rsid w:val="00E53B26"/>
    <w:rsid w:val="00E61167"/>
    <w:rsid w:val="00E85E4A"/>
    <w:rsid w:val="00EA1E67"/>
    <w:rsid w:val="00EB101C"/>
    <w:rsid w:val="00F3169D"/>
    <w:rsid w:val="00F37C74"/>
    <w:rsid w:val="00F82BA7"/>
    <w:rsid w:val="00F8428D"/>
    <w:rsid w:val="00F862CD"/>
    <w:rsid w:val="00FE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902E7"/>
  <w15:chartTrackingRefBased/>
  <w15:docId w15:val="{69665C64-D665-1B44-93E8-745AC8B2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33"/>
    <w:pPr>
      <w:spacing w:after="120" w:line="276" w:lineRule="auto"/>
    </w:pPr>
    <w:rPr>
      <w:rFonts w:ascii="Calibri" w:hAnsi="Calibri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3169D"/>
    <w:pPr>
      <w:keepNext/>
      <w:keepLines/>
      <w:spacing w:before="240"/>
      <w:outlineLvl w:val="0"/>
    </w:pPr>
    <w:rPr>
      <w:rFonts w:eastAsiaTheme="majorEastAsia" w:cstheme="majorBidi"/>
      <w:b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169D"/>
    <w:pPr>
      <w:keepNext/>
      <w:keepLines/>
      <w:spacing w:before="120"/>
      <w:outlineLvl w:val="1"/>
    </w:pPr>
    <w:rPr>
      <w:rFonts w:eastAsiaTheme="majorEastAsia" w:cstheme="majorBidi"/>
      <w:b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4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4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4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4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4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4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4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69D"/>
    <w:rPr>
      <w:rFonts w:ascii="Calibri" w:eastAsiaTheme="majorEastAsia" w:hAnsi="Calibri" w:cstheme="majorBidi"/>
      <w:b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3169D"/>
    <w:rPr>
      <w:rFonts w:ascii="Calibri" w:eastAsiaTheme="majorEastAsia" w:hAnsi="Calibri" w:cstheme="majorBidi"/>
      <w:b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4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499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499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499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499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499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499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4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4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4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4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4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499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499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499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4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499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499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00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284C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4C59"/>
  </w:style>
  <w:style w:type="character" w:styleId="Numrodepage">
    <w:name w:val="page number"/>
    <w:basedOn w:val="Policepardfaut"/>
    <w:uiPriority w:val="99"/>
    <w:semiHidden/>
    <w:unhideWhenUsed/>
    <w:rsid w:val="00284C59"/>
  </w:style>
  <w:style w:type="character" w:styleId="Accentuationlgre">
    <w:name w:val="Subtle Emphasis"/>
    <w:basedOn w:val="Policepardfaut"/>
    <w:uiPriority w:val="19"/>
    <w:qFormat/>
    <w:rsid w:val="00284C59"/>
    <w:rPr>
      <w:i/>
      <w:iCs/>
      <w:color w:val="404040" w:themeColor="text1" w:themeTint="BF"/>
    </w:rPr>
  </w:style>
  <w:style w:type="table" w:styleId="Grilledutableau">
    <w:name w:val="Table Grid"/>
    <w:basedOn w:val="TableauNormal"/>
    <w:uiPriority w:val="39"/>
    <w:rsid w:val="00364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364B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364BF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364BFA"/>
    <w:pPr>
      <w:spacing w:before="480" w:after="0"/>
      <w:outlineLvl w:val="9"/>
    </w:pPr>
    <w:rPr>
      <w:rFonts w:asciiTheme="majorHAnsi" w:hAnsiTheme="majorHAnsi"/>
      <w:b w:val="0"/>
      <w:bCs/>
      <w:kern w:val="0"/>
      <w:sz w:val="28"/>
      <w:szCs w:val="28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64BFA"/>
    <w:pPr>
      <w:spacing w:before="120" w:after="0"/>
    </w:pPr>
    <w:rPr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364BFA"/>
    <w:pPr>
      <w:spacing w:before="120" w:after="0"/>
      <w:ind w:left="240"/>
    </w:pPr>
    <w:rPr>
      <w:b/>
      <w:bCs/>
      <w:szCs w:val="22"/>
    </w:rPr>
  </w:style>
  <w:style w:type="character" w:styleId="Hyperlien">
    <w:name w:val="Hyperlink"/>
    <w:basedOn w:val="Policepardfaut"/>
    <w:uiPriority w:val="99"/>
    <w:unhideWhenUsed/>
    <w:rsid w:val="00364BFA"/>
    <w:rPr>
      <w:color w:val="46788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364BFA"/>
    <w:pPr>
      <w:spacing w:after="0"/>
      <w:ind w:left="48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364BFA"/>
    <w:pPr>
      <w:spacing w:after="0"/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364BFA"/>
    <w:pPr>
      <w:spacing w:after="0"/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364BFA"/>
    <w:pPr>
      <w:spacing w:after="0"/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364BFA"/>
    <w:pPr>
      <w:spacing w:after="0"/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364BFA"/>
    <w:pPr>
      <w:spacing w:after="0"/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364BFA"/>
    <w:pPr>
      <w:spacing w:after="0"/>
      <w:ind w:left="1920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1D0E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0E5A"/>
  </w:style>
  <w:style w:type="table" w:styleId="TableauListe1Clair">
    <w:name w:val="List Table 1 Light"/>
    <w:basedOn w:val="TableauNormal"/>
    <w:uiPriority w:val="46"/>
    <w:rsid w:val="009B7D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7794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7794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779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069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9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8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27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608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20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06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7244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5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38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608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01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8D6C6C-FA77-9149-934D-313967E4A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1220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Kazi Aoual</dc:creator>
  <cp:keywords/>
  <dc:description/>
  <cp:lastModifiedBy>Neil Kazi Aoual</cp:lastModifiedBy>
  <cp:revision>159</cp:revision>
  <dcterms:created xsi:type="dcterms:W3CDTF">2025-07-13T17:00:00Z</dcterms:created>
  <dcterms:modified xsi:type="dcterms:W3CDTF">2025-07-13T21:16:00Z</dcterms:modified>
</cp:coreProperties>
</file>