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6E"/>
          <w:sz w:val="56"/>
        </w:rPr>
        <w:t>P&amp;P Pipe Products</w:t>
      </w:r>
    </w:p>
    <w:p>
      <w:pPr>
        <w:jc w:val="center"/>
      </w:pPr>
      <w:r>
        <w:rPr>
          <w:color w:val="1E5CA8"/>
          <w:sz w:val="32"/>
        </w:rPr>
        <w:t>Software Development — New Features &amp; Modules</w:t>
      </w:r>
    </w:p>
    <w:p/>
    <w:p>
      <w:pPr>
        <w:jc w:val="center"/>
      </w:pPr>
      <w:r>
        <w:rPr>
          <w:i/>
          <w:color w:val="556688"/>
          <w:sz w:val="26"/>
        </w:rPr>
        <w:t>Requirement &amp; Delivery Document</w:t>
      </w:r>
    </w:p>
    <w:p/>
    <w:p/>
    <w:p>
      <w:pPr>
        <w:jc w:val="center"/>
      </w:pPr>
      <w:r>
        <w:rPr>
          <w:color w:val="556688"/>
          <w:sz w:val="22"/>
        </w:rPr>
        <w:t>Date: 08 July 2026</w:t>
      </w:r>
    </w:p>
    <w:p>
      <w:r>
        <w:br w:type="page"/>
      </w:r>
    </w:p>
    <w:p>
      <w:r>
        <w:rPr>
          <w:b/>
          <w:color w:val="1A3A6E"/>
          <w:sz w:val="32"/>
        </w:rPr>
        <w:t>Introduction</w:t>
      </w:r>
    </w:p>
    <w:p>
      <w:pPr>
        <w:spacing w:before="40" w:after="40"/>
        <w:pBdr>
          <w:bottom w:val="single" w:sz="6" w:space="1" w:color="C0C8D8"/>
        </w:pBdr>
      </w:pPr>
    </w:p>
    <w:p>
      <w:pPr>
        <w:spacing w:after="80"/>
      </w:pPr>
      <w:r>
        <w:rPr>
          <w:b w:val="0"/>
          <w:i w:val="0"/>
          <w:sz w:val="22"/>
        </w:rPr>
        <w:t>This document describes the new features, modules, and enhancements developed and delivered for the P&amp;P Pipe Products production and sales management system. Each section covers one requirement: what was built, where it lives in the application, and the key business rules it enforces.</w:t>
      </w:r>
    </w:p>
    <w:p/>
    <w:p>
      <w:pPr>
        <w:spacing w:after="80"/>
      </w:pPr>
      <w:r>
        <w:rPr>
          <w:b/>
          <w:i w:val="0"/>
          <w:sz w:val="22"/>
        </w:rPr>
        <w:t>All items listed below are fully implemented and deployed.</w:t>
      </w:r>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3A6E"/>
          </w:tcPr>
          <w:p>
            <w:r>
              <w:rPr>
                <w:b/>
                <w:color w:val="FFFFFF"/>
              </w:rPr>
              <w:t>Requirement</w:t>
            </w:r>
          </w:p>
        </w:tc>
        <w:tc>
          <w:tcPr>
            <w:tcW w:type="dxa" w:w="3022"/>
            <w:shd w:val="clear" w:color="auto" w:fill="1A3A6E"/>
          </w:tcPr>
          <w:p>
            <w:r>
              <w:rPr>
                <w:b/>
                <w:color w:val="FFFFFF"/>
              </w:rPr>
              <w:t>Module / Page</w:t>
            </w:r>
          </w:p>
        </w:tc>
        <w:tc>
          <w:tcPr>
            <w:tcW w:type="dxa" w:w="3022"/>
            <w:shd w:val="clear" w:color="auto" w:fill="1A3A6E"/>
          </w:tcPr>
          <w:p>
            <w:r>
              <w:rPr>
                <w:b/>
                <w:color w:val="FFFFFF"/>
              </w:rPr>
              <w:t>Status</w:t>
            </w:r>
          </w:p>
        </w:tc>
      </w:tr>
      <w:tr>
        <w:tc>
          <w:tcPr>
            <w:tcW w:type="dxa" w:w="3022"/>
            <w:shd w:val="clear" w:color="auto" w:fill="F0F4FA"/>
          </w:tcPr>
          <w:p>
            <w:r>
              <w:t>REQ-001</w:t>
            </w:r>
          </w:p>
        </w:tc>
        <w:tc>
          <w:tcPr>
            <w:tcW w:type="dxa" w:w="3022"/>
            <w:shd w:val="clear" w:color="auto" w:fill="F0F4FA"/>
          </w:tcPr>
          <w:p>
            <w:r>
              <w:t>Sales Order — Meters Field &amp; Qty Auto-Calculation</w:t>
            </w:r>
          </w:p>
        </w:tc>
        <w:tc>
          <w:tcPr>
            <w:tcW w:type="dxa" w:w="3022"/>
            <w:shd w:val="clear" w:color="auto" w:fill="F0F4FA"/>
          </w:tcPr>
          <w:p>
            <w:r>
              <w:t>✅ Implemented</w:t>
            </w:r>
          </w:p>
        </w:tc>
      </w:tr>
      <w:tr>
        <w:tc>
          <w:tcPr>
            <w:tcW w:type="dxa" w:w="3022"/>
            <w:shd w:val="clear" w:color="auto" w:fill="FFFFFF"/>
          </w:tcPr>
          <w:p>
            <w:r>
              <w:t>REQ-002</w:t>
            </w:r>
          </w:p>
        </w:tc>
        <w:tc>
          <w:tcPr>
            <w:tcW w:type="dxa" w:w="3022"/>
            <w:shd w:val="clear" w:color="auto" w:fill="FFFFFF"/>
          </w:tcPr>
          <w:p>
            <w:r>
              <w:t>Transport Report Redesign</w:t>
            </w:r>
          </w:p>
        </w:tc>
        <w:tc>
          <w:tcPr>
            <w:tcW w:type="dxa" w:w="3022"/>
            <w:shd w:val="clear" w:color="auto" w:fill="FFFFFF"/>
          </w:tcPr>
          <w:p>
            <w:r>
              <w:t>✅ Implemented</w:t>
            </w:r>
          </w:p>
        </w:tc>
      </w:tr>
      <w:tr>
        <w:tc>
          <w:tcPr>
            <w:tcW w:type="dxa" w:w="3022"/>
            <w:shd w:val="clear" w:color="auto" w:fill="F0F4FA"/>
          </w:tcPr>
          <w:p>
            <w:r>
              <w:t>REQ-003</w:t>
            </w:r>
          </w:p>
        </w:tc>
        <w:tc>
          <w:tcPr>
            <w:tcW w:type="dxa" w:w="3022"/>
            <w:shd w:val="clear" w:color="auto" w:fill="F0F4FA"/>
          </w:tcPr>
          <w:p>
            <w:r>
              <w:t>TDS Outward — Vendor Payment Tax Deductions</w:t>
            </w:r>
          </w:p>
        </w:tc>
        <w:tc>
          <w:tcPr>
            <w:tcW w:type="dxa" w:w="3022"/>
            <w:shd w:val="clear" w:color="auto" w:fill="F0F4FA"/>
          </w:tcPr>
          <w:p>
            <w:r>
              <w:t>✅ Implemented</w:t>
            </w:r>
          </w:p>
        </w:tc>
      </w:tr>
      <w:tr>
        <w:tc>
          <w:tcPr>
            <w:tcW w:type="dxa" w:w="3022"/>
            <w:shd w:val="clear" w:color="auto" w:fill="FFFFFF"/>
          </w:tcPr>
          <w:p>
            <w:r>
              <w:t>REQ-004</w:t>
            </w:r>
          </w:p>
        </w:tc>
        <w:tc>
          <w:tcPr>
            <w:tcW w:type="dxa" w:w="3022"/>
            <w:shd w:val="clear" w:color="auto" w:fill="FFFFFF"/>
          </w:tcPr>
          <w:p>
            <w:r>
              <w:t>Production Order — On Hold Status</w:t>
            </w:r>
          </w:p>
        </w:tc>
        <w:tc>
          <w:tcPr>
            <w:tcW w:type="dxa" w:w="3022"/>
            <w:shd w:val="clear" w:color="auto" w:fill="FFFFFF"/>
          </w:tcPr>
          <w:p>
            <w:r>
              <w:t>✅ Implemented</w:t>
            </w:r>
          </w:p>
        </w:tc>
      </w:tr>
      <w:tr>
        <w:tc>
          <w:tcPr>
            <w:tcW w:type="dxa" w:w="3022"/>
            <w:shd w:val="clear" w:color="auto" w:fill="F0F4FA"/>
          </w:tcPr>
          <w:p>
            <w:r>
              <w:t>REQ-005</w:t>
            </w:r>
          </w:p>
        </w:tc>
        <w:tc>
          <w:tcPr>
            <w:tcW w:type="dxa" w:w="3022"/>
            <w:shd w:val="clear" w:color="auto" w:fill="F0F4FA"/>
          </w:tcPr>
          <w:p>
            <w:r>
              <w:t>TDS Inward — Customer Tax Deductions Tracking</w:t>
            </w:r>
          </w:p>
        </w:tc>
        <w:tc>
          <w:tcPr>
            <w:tcW w:type="dxa" w:w="3022"/>
            <w:shd w:val="clear" w:color="auto" w:fill="F0F4FA"/>
          </w:tcPr>
          <w:p>
            <w:r>
              <w:t>✅ Implemented</w:t>
            </w:r>
          </w:p>
        </w:tc>
      </w:tr>
      <w:tr>
        <w:tc>
          <w:tcPr>
            <w:tcW w:type="dxa" w:w="3022"/>
            <w:shd w:val="clear" w:color="auto" w:fill="FFFFFF"/>
          </w:tcPr>
          <w:p>
            <w:r>
              <w:t>REQ-006</w:t>
            </w:r>
          </w:p>
        </w:tc>
        <w:tc>
          <w:tcPr>
            <w:tcW w:type="dxa" w:w="3022"/>
            <w:shd w:val="clear" w:color="auto" w:fill="FFFFFF"/>
          </w:tcPr>
          <w:p>
            <w:r>
              <w:t>Third-Party Pipe Purchase Module</w:t>
            </w:r>
          </w:p>
        </w:tc>
        <w:tc>
          <w:tcPr>
            <w:tcW w:type="dxa" w:w="3022"/>
            <w:shd w:val="clear" w:color="auto" w:fill="FFFFFF"/>
          </w:tcPr>
          <w:p>
            <w:r>
              <w:t>✅ Implemented</w:t>
            </w:r>
          </w:p>
        </w:tc>
      </w:tr>
      <w:tr>
        <w:tc>
          <w:tcPr>
            <w:tcW w:type="dxa" w:w="3022"/>
            <w:shd w:val="clear" w:color="auto" w:fill="F0F4FA"/>
          </w:tcPr>
          <w:p>
            <w:r>
              <w:t>REQ-007</w:t>
            </w:r>
          </w:p>
        </w:tc>
        <w:tc>
          <w:tcPr>
            <w:tcW w:type="dxa" w:w="3022"/>
            <w:shd w:val="clear" w:color="auto" w:fill="F0F4FA"/>
          </w:tcPr>
          <w:p>
            <w:r>
              <w:t>6.5m Pipe Configuration Support</w:t>
            </w:r>
          </w:p>
        </w:tc>
        <w:tc>
          <w:tcPr>
            <w:tcW w:type="dxa" w:w="3022"/>
            <w:shd w:val="clear" w:color="auto" w:fill="F0F4FA"/>
          </w:tcPr>
          <w:p>
            <w:r>
              <w:t>✅ Implemented</w:t>
            </w:r>
          </w:p>
        </w:tc>
      </w:tr>
      <w:tr>
        <w:tc>
          <w:tcPr>
            <w:tcW w:type="dxa" w:w="3022"/>
            <w:shd w:val="clear" w:color="auto" w:fill="FFFFFF"/>
          </w:tcPr>
          <w:p>
            <w:r>
              <w:t>REQ-008</w:t>
            </w:r>
          </w:p>
        </w:tc>
        <w:tc>
          <w:tcPr>
            <w:tcW w:type="dxa" w:w="3022"/>
            <w:shd w:val="clear" w:color="auto" w:fill="FFFFFF"/>
          </w:tcPr>
          <w:p>
            <w:r>
              <w:t>Extra Large Bed Type for Demoulding &amp; Spinning</w:t>
            </w:r>
          </w:p>
        </w:tc>
        <w:tc>
          <w:tcPr>
            <w:tcW w:type="dxa" w:w="3022"/>
            <w:shd w:val="clear" w:color="auto" w:fill="FFFFFF"/>
          </w:tcPr>
          <w:p>
            <w:r>
              <w:t>✅ Implemented</w:t>
            </w:r>
          </w:p>
        </w:tc>
      </w:tr>
      <w:tr>
        <w:tc>
          <w:tcPr>
            <w:tcW w:type="dxa" w:w="3022"/>
            <w:shd w:val="clear" w:color="auto" w:fill="F0F4FA"/>
          </w:tcPr>
          <w:p>
            <w:r>
              <w:t>REQ-009</w:t>
            </w:r>
          </w:p>
        </w:tc>
        <w:tc>
          <w:tcPr>
            <w:tcW w:type="dxa" w:w="3022"/>
            <w:shd w:val="clear" w:color="auto" w:fill="F0F4FA"/>
          </w:tcPr>
          <w:p>
            <w:r>
              <w:t>Fabrication Stage — Remove Spurious Banner</w:t>
            </w:r>
          </w:p>
        </w:tc>
        <w:tc>
          <w:tcPr>
            <w:tcW w:type="dxa" w:w="3022"/>
            <w:shd w:val="clear" w:color="auto" w:fill="F0F4FA"/>
          </w:tcPr>
          <w:p>
            <w:r>
              <w:t>✅ Implemented</w:t>
            </w:r>
          </w:p>
        </w:tc>
      </w:tr>
    </w:tbl>
    <w:p/>
    <w:p>
      <w:r>
        <w:br w:type="page"/>
      </w:r>
    </w:p>
    <w:p>
      <w:pPr>
        <w:spacing w:before="120" w:after="40"/>
      </w:pPr>
      <w:r>
        <w:rPr>
          <w:b/>
          <w:color w:val="1E5CA8"/>
          <w:sz w:val="30"/>
        </w:rPr>
        <w:t xml:space="preserve">REQ-001  </w:t>
      </w:r>
      <w:r>
        <w:rPr>
          <w:b/>
          <w:color w:val="1A1A2E"/>
          <w:sz w:val="30"/>
        </w:rPr>
        <w:t>Sales Order — Meters Field &amp; Pipe Qty Auto-Calculation</w:t>
      </w:r>
    </w:p>
    <w:p>
      <w:pPr>
        <w:spacing w:after="120"/>
      </w:pPr>
      <w:r>
        <w:rPr>
          <w:i/>
          <w:color w:val="556688"/>
          <w:sz w:val="20"/>
        </w:rPr>
        <w:t>Page: /sales-orders/new   |   Status: ✅ Implemented</w:t>
      </w:r>
    </w:p>
    <w:p>
      <w:pPr>
        <w:spacing w:after="80"/>
      </w:pPr>
      <w:r>
        <w:rPr>
          <w:b w:val="0"/>
          <w:i w:val="0"/>
          <w:sz w:val="22"/>
        </w:rPr>
        <w:t>When creating or editing a Sales Order, operators frequently think in terms of pipe length (metres of pipeline to lay) rather than number of pipes. This feature eliminates manual calculation.</w:t>
      </w:r>
    </w:p>
    <w:p>
      <w:pPr>
        <w:spacing w:after="80"/>
      </w:pPr>
      <w:r>
        <w:rPr>
          <w:b/>
          <w:i w:val="0"/>
          <w:sz w:val="22"/>
        </w:rPr>
        <w:t>What was built:</w:t>
      </w:r>
    </w:p>
    <w:p>
      <w:pPr>
        <w:pStyle w:val="ListBullet"/>
        <w:spacing w:after="60"/>
        <w:ind w:left="567"/>
      </w:pPr>
      <w:r>
        <w:rPr>
          <w:sz w:val="22"/>
        </w:rPr>
        <w:t>A Meters input field is shown alongside the Quantity field for every pipe-type line item in a Sales Order.</w:t>
      </w:r>
    </w:p>
    <w:p>
      <w:pPr>
        <w:pStyle w:val="ListBullet"/>
        <w:spacing w:after="60"/>
        <w:ind w:left="567"/>
      </w:pPr>
      <w:r>
        <w:rPr>
          <w:sz w:val="22"/>
        </w:rPr>
        <w:t>Conversion formula: 1 pipe = 5.25 metres. Entering a metre value auto-calculates the quantity using ⌈metres ÷ 5.25⌉.</w:t>
      </w:r>
    </w:p>
    <w:p>
      <w:pPr>
        <w:pStyle w:val="ListBullet"/>
        <w:spacing w:after="60"/>
        <w:ind w:left="567"/>
      </w:pPr>
      <w:r>
        <w:rPr>
          <w:sz w:val="22"/>
        </w:rPr>
        <w:t>The quantity can still be adjusted manually via the − / + controls; the metres field updates accordingly.</w:t>
      </w:r>
    </w:p>
    <w:p>
      <w:pPr>
        <w:pStyle w:val="ListBullet"/>
        <w:spacing w:after="60"/>
        <w:ind w:left="567"/>
      </w:pPr>
      <w:r>
        <w:rPr>
          <w:sz w:val="22"/>
        </w:rPr>
        <w:t>Non-pipe product rows show "—" in the metres column — the field is pipe-specific.</w:t>
      </w:r>
    </w:p>
    <w:p>
      <w:pPr>
        <w:pStyle w:val="ListBullet"/>
        <w:spacing w:after="60"/>
        <w:ind w:left="567"/>
      </w:pPr>
      <w:r>
        <w:rPr>
          <w:sz w:val="22"/>
        </w:rPr>
        <w:t>The Discount column was removed from the Order Items table to simplify the interface.</w:t>
      </w:r>
    </w:p>
    <w:p>
      <w:pPr>
        <w:spacing w:before="40" w:after="40"/>
        <w:pBdr>
          <w:bottom w:val="single" w:sz="6" w:space="1" w:color="C0C8D8"/>
        </w:pBdr>
      </w:pPr>
    </w:p>
    <w:p/>
    <w:p>
      <w:pPr>
        <w:spacing w:before="120" w:after="40"/>
      </w:pPr>
      <w:r>
        <w:rPr>
          <w:b/>
          <w:color w:val="1E5CA8"/>
          <w:sz w:val="30"/>
        </w:rPr>
        <w:t xml:space="preserve">REQ-002  </w:t>
      </w:r>
      <w:r>
        <w:rPr>
          <w:b/>
          <w:color w:val="1A1A2E"/>
          <w:sz w:val="30"/>
        </w:rPr>
        <w:t>Transport Report Redesign</w:t>
      </w:r>
    </w:p>
    <w:p>
      <w:pPr>
        <w:spacing w:after="120"/>
      </w:pPr>
      <w:r>
        <w:rPr>
          <w:i/>
          <w:color w:val="556688"/>
          <w:sz w:val="20"/>
        </w:rPr>
        <w:t>Page: /reports/transport   |   Status: ✅ Implemented</w:t>
      </w:r>
    </w:p>
    <w:p>
      <w:pPr>
        <w:spacing w:after="80"/>
      </w:pPr>
      <w:r>
        <w:rPr>
          <w:b w:val="0"/>
          <w:i w:val="0"/>
          <w:sz w:val="22"/>
        </w:rPr>
        <w:t>The transport report was restructured to provide a clearer, more useful breakdown of dispatch activity by transporter and by customer.</w:t>
      </w:r>
    </w:p>
    <w:p>
      <w:pPr>
        <w:spacing w:after="80"/>
      </w:pPr>
      <w:r>
        <w:rPr>
          <w:b/>
          <w:i w:val="0"/>
          <w:sz w:val="22"/>
        </w:rPr>
        <w:t>What was built:</w:t>
      </w:r>
    </w:p>
    <w:p>
      <w:pPr>
        <w:pStyle w:val="ListBullet"/>
        <w:spacing w:after="60"/>
        <w:ind w:left="567"/>
      </w:pPr>
      <w:r>
        <w:rPr>
          <w:sz w:val="22"/>
        </w:rPr>
        <w:t>Tabs renamed: "By Vendor" → Transporter, "By Customer" → Customer for clarity.</w:t>
      </w:r>
    </w:p>
    <w:p>
      <w:pPr>
        <w:pStyle w:val="ListBullet"/>
        <w:spacing w:after="60"/>
        <w:ind w:left="567"/>
      </w:pPr>
      <w:r>
        <w:rPr>
          <w:sz w:val="22"/>
        </w:rPr>
        <w:t>Transporter tab now shows a 3-level hierarchy per transporter card:</w:t>
      </w:r>
    </w:p>
    <w:p>
      <w:pPr>
        <w:pStyle w:val="ListBullet"/>
        <w:spacing w:after="40"/>
        <w:ind w:left="1134"/>
      </w:pPr>
      <w:r>
        <w:t>Truck-wise summary strip — truck number, total trips, total pipes.</w:t>
      </w:r>
    </w:p>
    <w:p>
      <w:pPr>
        <w:pStyle w:val="ListBullet"/>
        <w:spacing w:after="40"/>
        <w:ind w:left="1134"/>
      </w:pPr>
      <w:r>
        <w:t>Site-by-site breakdown below each truck.</w:t>
      </w:r>
    </w:p>
    <w:p>
      <w:pPr>
        <w:pStyle w:val="ListBullet"/>
        <w:spacing w:after="40"/>
        <w:ind w:left="1134"/>
      </w:pPr>
      <w:r>
        <w:t>Per-site trip table: Truck No., Pipe Name, Qty, Destination, Date.</w:t>
      </w:r>
    </w:p>
    <w:p>
      <w:pPr>
        <w:pStyle w:val="ListBullet"/>
        <w:spacing w:after="60"/>
        <w:ind w:left="567"/>
      </w:pPr>
      <w:r>
        <w:rPr>
          <w:sz w:val="22"/>
        </w:rPr>
        <w:t>Site sub-header badge shows "Total trips = N" for quick scanning.</w:t>
      </w:r>
    </w:p>
    <w:p>
      <w:pPr>
        <w:pStyle w:val="ListBullet"/>
        <w:spacing w:after="60"/>
        <w:ind w:left="567"/>
      </w:pPr>
      <w:r>
        <w:rPr>
          <w:sz w:val="22"/>
        </w:rPr>
        <w:t>Table headings and truck number badges displayed in black for improved readability.</w:t>
      </w:r>
    </w:p>
    <w:p>
      <w:pPr>
        <w:spacing w:before="40" w:after="40"/>
        <w:pBdr>
          <w:bottom w:val="single" w:sz="6" w:space="1" w:color="C0C8D8"/>
        </w:pBdr>
      </w:pPr>
    </w:p>
    <w:p/>
    <w:p>
      <w:pPr>
        <w:spacing w:before="120" w:after="40"/>
      </w:pPr>
      <w:r>
        <w:rPr>
          <w:b/>
          <w:color w:val="1E5CA8"/>
          <w:sz w:val="30"/>
        </w:rPr>
        <w:t xml:space="preserve">REQ-003  </w:t>
      </w:r>
      <w:r>
        <w:rPr>
          <w:b/>
          <w:color w:val="1A1A2E"/>
          <w:sz w:val="30"/>
        </w:rPr>
        <w:t>TDS Outward — Tax Deducted at Source on Vendor Payments</w:t>
      </w:r>
    </w:p>
    <w:p>
      <w:pPr>
        <w:spacing w:after="120"/>
      </w:pPr>
      <w:r>
        <w:rPr>
          <w:i/>
          <w:color w:val="556688"/>
          <w:sz w:val="20"/>
        </w:rPr>
        <w:t>Page: /reports/tds  |  /settings → TDS Sections   |   Status: ✅ Implemented</w:t>
      </w:r>
    </w:p>
    <w:p>
      <w:pPr>
        <w:spacing w:after="80"/>
      </w:pPr>
      <w:r>
        <w:rPr>
          <w:b w:val="0"/>
          <w:i w:val="0"/>
          <w:sz w:val="22"/>
        </w:rPr>
        <w:t>When the company pays vendors above threshold amounts, it must deduct TDS and remit it to the government. This module enables tracking and reporting of all outward TDS obligations.</w:t>
      </w:r>
    </w:p>
    <w:p>
      <w:pPr>
        <w:spacing w:after="80"/>
      </w:pPr>
      <w:r>
        <w:rPr>
          <w:b/>
          <w:i w:val="0"/>
          <w:sz w:val="22"/>
        </w:rPr>
        <w:t>TDS Sections Master (Settings):</w:t>
      </w:r>
    </w:p>
    <w:p>
      <w:pPr>
        <w:pStyle w:val="ListBullet"/>
        <w:spacing w:after="60"/>
        <w:ind w:left="567"/>
      </w:pPr>
      <w:r>
        <w:rPr>
          <w:sz w:val="22"/>
        </w:rPr>
        <w:t>Configurable list of TDS sections (194C, 194J, 194I, 194H, etc.) with description, rate (%), and threshold limit (₹).</w:t>
      </w:r>
    </w:p>
    <w:p>
      <w:pPr>
        <w:pStyle w:val="ListBullet"/>
        <w:spacing w:after="60"/>
        <w:ind w:left="567"/>
      </w:pPr>
      <w:r>
        <w:rPr>
          <w:sz w:val="22"/>
        </w:rPr>
        <w:t>"Add Defaults" button seeds all common sections in one click.</w:t>
      </w:r>
    </w:p>
    <w:p>
      <w:pPr>
        <w:pStyle w:val="ListBullet"/>
        <w:spacing w:after="60"/>
        <w:ind w:left="567"/>
      </w:pPr>
      <w:r>
        <w:rPr>
          <w:sz w:val="22"/>
        </w:rPr>
        <w:t>Full create / edit / delete support.</w:t>
      </w:r>
    </w:p>
    <w:p>
      <w:pPr>
        <w:spacing w:after="80"/>
      </w:pPr>
      <w:r>
        <w:rPr>
          <w:b/>
          <w:i w:val="0"/>
          <w:sz w:val="22"/>
        </w:rPr>
        <w:t>TDS Deduction on Vendor Payments:</w:t>
      </w:r>
    </w:p>
    <w:p>
      <w:pPr>
        <w:pStyle w:val="ListBullet"/>
        <w:spacing w:after="60"/>
        <w:ind w:left="567"/>
      </w:pPr>
      <w:r>
        <w:rPr>
          <w:sz w:val="22"/>
        </w:rPr>
        <w:t>Vendor payment form accepts TDS section and TDS amount per payment.</w:t>
      </w:r>
    </w:p>
    <w:p>
      <w:pPr>
        <w:pStyle w:val="ListBullet"/>
        <w:spacing w:after="60"/>
        <w:ind w:left="567"/>
      </w:pPr>
      <w:r>
        <w:rPr>
          <w:sz w:val="22"/>
        </w:rPr>
        <w:t>Each payment with TDS creates a tds_deductions record storing: supplier, section, base amount, rate, TDS amount, financial year, deposit status.</w:t>
      </w:r>
    </w:p>
    <w:p>
      <w:pPr>
        <w:spacing w:after="80"/>
      </w:pPr>
      <w:r>
        <w:rPr>
          <w:b/>
          <w:i w:val="0"/>
          <w:sz w:val="22"/>
        </w:rPr>
        <w:t>TDS Outward Report:</w:t>
      </w:r>
    </w:p>
    <w:p>
      <w:pPr>
        <w:pStyle w:val="ListBullet"/>
        <w:spacing w:after="60"/>
        <w:ind w:left="567"/>
      </w:pPr>
      <w:r>
        <w:rPr>
          <w:sz w:val="22"/>
        </w:rPr>
        <w:t>Date range filter with quick presets.</w:t>
      </w:r>
    </w:p>
    <w:p>
      <w:pPr>
        <w:pStyle w:val="ListBullet"/>
        <w:spacing w:after="60"/>
        <w:ind w:left="567"/>
      </w:pPr>
      <w:r>
        <w:rPr>
          <w:sz w:val="22"/>
        </w:rPr>
        <w:t>Summary cards: Total Base Amount, Total TDS Deducted, Sections count, Parties count.</w:t>
      </w:r>
    </w:p>
    <w:p>
      <w:pPr>
        <w:pStyle w:val="ListBullet"/>
        <w:spacing w:after="60"/>
        <w:ind w:left="567"/>
      </w:pPr>
      <w:r>
        <w:rPr>
          <w:sz w:val="22"/>
        </w:rPr>
        <w:t>By Section view: section code, rate, transaction count, base amount, TDS deducted, deposited vs pending.</w:t>
      </w:r>
    </w:p>
    <w:p>
      <w:pPr>
        <w:pStyle w:val="ListBullet"/>
        <w:spacing w:after="60"/>
        <w:ind w:left="567"/>
      </w:pPr>
      <w:r>
        <w:rPr>
          <w:sz w:val="22"/>
        </w:rPr>
        <w:t>By Party view: vendor name, PAN, section, totals — pending amounts highlighted in red.</w:t>
      </w:r>
    </w:p>
    <w:p>
      <w:pPr>
        <w:pStyle w:val="ListBullet"/>
        <w:spacing w:after="60"/>
        <w:ind w:left="567"/>
      </w:pPr>
      <w:r>
        <w:rPr>
          <w:sz w:val="22"/>
        </w:rPr>
        <w:t>TDS Payable GL account auto-appears in the Ledger Report when any TDS has been deducted.</w:t>
      </w:r>
    </w:p>
    <w:p>
      <w:pPr>
        <w:spacing w:before="40" w:after="40"/>
        <w:pBdr>
          <w:bottom w:val="single" w:sz="6" w:space="1" w:color="C0C8D8"/>
        </w:pBdr>
      </w:pPr>
    </w:p>
    <w:p/>
    <w:p>
      <w:pPr>
        <w:spacing w:before="120" w:after="40"/>
      </w:pPr>
      <w:r>
        <w:rPr>
          <w:b/>
          <w:color w:val="1E5CA8"/>
          <w:sz w:val="30"/>
        </w:rPr>
        <w:t xml:space="preserve">REQ-004  </w:t>
      </w:r>
      <w:r>
        <w:rPr>
          <w:b/>
          <w:color w:val="1A1A2E"/>
          <w:sz w:val="30"/>
        </w:rPr>
        <w:t>Production Order — On Hold Status</w:t>
      </w:r>
    </w:p>
    <w:p>
      <w:pPr>
        <w:spacing w:after="120"/>
      </w:pPr>
      <w:r>
        <w:rPr>
          <w:i/>
          <w:color w:val="556688"/>
          <w:sz w:val="20"/>
        </w:rPr>
        <w:t>Page: /production/orders  |  /production/orders/{id}   |   Status: ✅ Implemented</w:t>
      </w:r>
    </w:p>
    <w:p>
      <w:pPr>
        <w:spacing w:after="80"/>
      </w:pPr>
      <w:r>
        <w:rPr>
          <w:b w:val="0"/>
          <w:i w:val="0"/>
          <w:sz w:val="22"/>
        </w:rPr>
        <w:t>Production orders can now be placed "On Hold" when work must be paused — due to client delay, material shortage, or any other reason — without cancelling the order.</w:t>
      </w:r>
    </w:p>
    <w:p>
      <w:pPr>
        <w:spacing w:after="80"/>
      </w:pPr>
      <w:r>
        <w:rPr>
          <w:b/>
          <w:i w:val="0"/>
          <w:sz w:val="22"/>
        </w:rPr>
        <w:t>Status lifecycle:</w:t>
      </w:r>
    </w:p>
    <w:p>
      <w:pPr>
        <w:pStyle w:val="ListBullet"/>
        <w:spacing w:after="60"/>
        <w:ind w:left="567"/>
      </w:pPr>
      <w:r>
        <w:rPr>
          <w:sz w:val="22"/>
        </w:rPr>
        <w:t>DRAFT → PLANNED → IN_PROGRESS → ON_HOLD → IN_PROGRESS (resume) or CANCELLED.</w:t>
      </w:r>
    </w:p>
    <w:p>
      <w:pPr>
        <w:pStyle w:val="ListBullet"/>
        <w:spacing w:after="60"/>
        <w:ind w:left="567"/>
      </w:pPr>
      <w:r>
        <w:rPr>
          <w:sz w:val="22"/>
        </w:rPr>
        <w:t>Holding captures: reason text, timestamp, and a snapshot of pipes completed at that point.</w:t>
      </w:r>
    </w:p>
    <w:p>
      <w:pPr>
        <w:spacing w:after="80"/>
      </w:pPr>
      <w:r>
        <w:rPr>
          <w:b/>
          <w:i w:val="0"/>
          <w:sz w:val="22"/>
        </w:rPr>
        <w:t>Production Orders list:</w:t>
      </w:r>
    </w:p>
    <w:p>
      <w:pPr>
        <w:pStyle w:val="ListBullet"/>
        <w:spacing w:after="60"/>
        <w:ind w:left="567"/>
      </w:pPr>
      <w:r>
        <w:rPr>
          <w:sz w:val="22"/>
        </w:rPr>
        <w:t>"On Hold" filter button and count badge (highlighted in orange when &gt; 0) in the status summary bar.</w:t>
      </w:r>
    </w:p>
    <w:p>
      <w:pPr>
        <w:pStyle w:val="ListBullet"/>
        <w:spacing w:after="60"/>
        <w:ind w:left="567"/>
      </w:pPr>
      <w:r>
        <w:rPr>
          <w:sz w:val="22"/>
        </w:rPr>
        <w:t>ON_HOLD rows shown with orange highlight, hold reason, and "X / Y pipes completed" progress.</w:t>
      </w:r>
    </w:p>
    <w:p>
      <w:pPr>
        <w:pStyle w:val="ListBullet"/>
        <w:spacing w:after="60"/>
        <w:ind w:left="567"/>
      </w:pPr>
      <w:r>
        <w:rPr>
          <w:sz w:val="22"/>
        </w:rPr>
        <w:t>Hold button on IN_PROGRESS rows → opens modal to capture reason and live progress snapshot.</w:t>
      </w:r>
    </w:p>
    <w:p>
      <w:pPr>
        <w:pStyle w:val="ListBullet"/>
        <w:spacing w:after="60"/>
        <w:ind w:left="567"/>
      </w:pPr>
      <w:r>
        <w:rPr>
          <w:sz w:val="22"/>
        </w:rPr>
        <w:t>Resume button on ON_HOLD rows → returns order to IN_PROGRESS and clears hold data.</w:t>
      </w:r>
    </w:p>
    <w:p>
      <w:pPr>
        <w:spacing w:after="80"/>
      </w:pPr>
      <w:r>
        <w:rPr>
          <w:b/>
          <w:i w:val="0"/>
          <w:sz w:val="22"/>
        </w:rPr>
        <w:t>Production Order detail page:</w:t>
      </w:r>
    </w:p>
    <w:p>
      <w:pPr>
        <w:pStyle w:val="ListBullet"/>
        <w:spacing w:after="60"/>
        <w:ind w:left="567"/>
      </w:pPr>
      <w:r>
        <w:rPr>
          <w:sz w:val="22"/>
        </w:rPr>
        <w:t>Orange hold info banner showing reason, quantity snapshot, and hold date.</w:t>
      </w:r>
    </w:p>
    <w:p>
      <w:pPr>
        <w:pStyle w:val="ListBullet"/>
        <w:spacing w:after="60"/>
        <w:ind w:left="567"/>
      </w:pPr>
      <w:r>
        <w:rPr>
          <w:sz w:val="22"/>
        </w:rPr>
        <w:t>Hold / Resume actions available directly in the page header.</w:t>
      </w:r>
    </w:p>
    <w:p>
      <w:pPr>
        <w:spacing w:before="40" w:after="40"/>
        <w:pBdr>
          <w:bottom w:val="single" w:sz="6" w:space="1" w:color="C0C8D8"/>
        </w:pBdr>
      </w:pPr>
    </w:p>
    <w:p/>
    <w:p>
      <w:pPr>
        <w:spacing w:before="120" w:after="40"/>
      </w:pPr>
      <w:r>
        <w:rPr>
          <w:b/>
          <w:color w:val="1E5CA8"/>
          <w:sz w:val="30"/>
        </w:rPr>
        <w:t xml:space="preserve">REQ-005  </w:t>
      </w:r>
      <w:r>
        <w:rPr>
          <w:b/>
          <w:color w:val="1A1A2E"/>
          <w:sz w:val="30"/>
        </w:rPr>
        <w:t>TDS Inward — Customer Tax Deductions Tracking</w:t>
      </w:r>
    </w:p>
    <w:p>
      <w:pPr>
        <w:spacing w:after="120"/>
      </w:pPr>
      <w:r>
        <w:rPr>
          <w:i/>
          <w:color w:val="556688"/>
          <w:sz w:val="20"/>
        </w:rPr>
        <w:t>Page: /reports/tds → TDS Inward tab   |   Status: ✅ Implemented</w:t>
      </w:r>
    </w:p>
    <w:p>
      <w:pPr>
        <w:spacing w:after="80"/>
      </w:pPr>
      <w:r>
        <w:rPr>
          <w:b w:val="0"/>
          <w:i w:val="0"/>
          <w:sz w:val="22"/>
        </w:rPr>
        <w:t>Large customers (Tata Projects, NHAI, municipal bodies, etc.) deduct TDS from payment amounts and deposit it to the government on behalf of the company. This module tracks those deductions so the company can claim them as credit in its Income Tax Return via Form 26AS / Form 16A.</w:t>
      </w:r>
    </w:p>
    <w:p>
      <w:pPr>
        <w:spacing w:after="80"/>
      </w:pPr>
      <w:r>
        <w:rPr>
          <w:b/>
          <w:i w:val="0"/>
          <w:sz w:val="22"/>
        </w:rPr>
        <w:t>What was built:</w:t>
      </w:r>
    </w:p>
    <w:p>
      <w:pPr>
        <w:pStyle w:val="ListBullet"/>
        <w:spacing w:after="60"/>
        <w:ind w:left="567"/>
      </w:pPr>
      <w:r>
        <w:rPr>
          <w:sz w:val="22"/>
        </w:rPr>
        <w:t>A dedicated TDS Inward tab in the TDS report.</w:t>
      </w:r>
    </w:p>
    <w:p>
      <w:pPr>
        <w:pStyle w:val="ListBullet"/>
        <w:spacing w:after="60"/>
        <w:ind w:left="567"/>
      </w:pPr>
      <w:r>
        <w:rPr>
          <w:sz w:val="22"/>
        </w:rPr>
        <w:t>Add Entry form: Customer Name, Invoice No., TDS Section, Payment Date, Base Amount — TDS rate auto-fills from the section master, TDS amount auto-computes.</w:t>
      </w:r>
    </w:p>
    <w:p>
      <w:pPr>
        <w:pStyle w:val="ListBullet"/>
        <w:spacing w:after="60"/>
        <w:ind w:left="567"/>
      </w:pPr>
      <w:r>
        <w:rPr>
          <w:sz w:val="22"/>
        </w:rPr>
        <w:t>Status tracking: PENDING (deducted, not yet in 26AS) → RECEIVED (confirmed in Form 26AS).</w:t>
      </w:r>
    </w:p>
    <w:p>
      <w:pPr>
        <w:pStyle w:val="ListBullet"/>
        <w:spacing w:after="60"/>
        <w:ind w:left="567"/>
      </w:pPr>
      <w:r>
        <w:rPr>
          <w:sz w:val="22"/>
        </w:rPr>
        <w:t>"Mark as Received" action for pending entries, recording the confirmation date.</w:t>
      </w:r>
    </w:p>
    <w:p>
      <w:pPr>
        <w:pStyle w:val="ListBullet"/>
        <w:spacing w:after="60"/>
        <w:ind w:left="567"/>
      </w:pPr>
      <w:r>
        <w:rPr>
          <w:sz w:val="22"/>
        </w:rPr>
        <w:t>Summary cards: Total Base, Total TDS Inward, Received in 26AS, Pending.</w:t>
      </w:r>
    </w:p>
    <w:p>
      <w:pPr>
        <w:pStyle w:val="ListBullet"/>
        <w:spacing w:after="60"/>
        <w:ind w:left="567"/>
      </w:pPr>
      <w:r>
        <w:rPr>
          <w:sz w:val="22"/>
        </w:rPr>
        <w:t>By Customer Summary: grouped table showing base, TDS, received, and pending per customer and section.</w:t>
      </w:r>
    </w:p>
    <w:p>
      <w:pPr>
        <w:spacing w:before="40" w:after="40"/>
        <w:pBdr>
          <w:bottom w:val="single" w:sz="6" w:space="1" w:color="C0C8D8"/>
        </w:pBdr>
      </w:pPr>
    </w:p>
    <w:p/>
    <w:p>
      <w:pPr>
        <w:spacing w:before="120" w:after="40"/>
      </w:pPr>
      <w:r>
        <w:rPr>
          <w:b/>
          <w:color w:val="1E5CA8"/>
          <w:sz w:val="30"/>
        </w:rPr>
        <w:t xml:space="preserve">REQ-006  </w:t>
      </w:r>
      <w:r>
        <w:rPr>
          <w:b/>
          <w:color w:val="1A1A2E"/>
          <w:sz w:val="30"/>
        </w:rPr>
        <w:t>Third-Party Pipe Purchase Module</w:t>
      </w:r>
    </w:p>
    <w:p>
      <w:pPr>
        <w:spacing w:after="120"/>
      </w:pPr>
      <w:r>
        <w:rPr>
          <w:i/>
          <w:color w:val="556688"/>
          <w:sz w:val="20"/>
        </w:rPr>
        <w:t>Page: /business/pipe-purchases   |   Status: ✅ Implemented</w:t>
      </w:r>
    </w:p>
    <w:p>
      <w:pPr>
        <w:spacing w:after="80"/>
      </w:pPr>
      <w:r>
        <w:rPr>
          <w:b w:val="0"/>
          <w:i w:val="0"/>
          <w:sz w:val="22"/>
        </w:rPr>
        <w:t>Pipes are sometimes purchased directly from external vendors rather than manufactured in-house. This module tracks such purchases separately and automatically credits the finished-goods inventory without affecting raw material consumption or contractor payments.</w:t>
      </w:r>
    </w:p>
    <w:p>
      <w:pPr>
        <w:spacing w:after="80"/>
      </w:pPr>
      <w:r>
        <w:rPr>
          <w:b/>
          <w:i w:val="0"/>
          <w:sz w:val="22"/>
        </w:rPr>
        <w:t>Business rules enforced:</w:t>
      </w:r>
    </w:p>
    <w:p>
      <w:pPr>
        <w:pStyle w:val="ListBullet"/>
        <w:spacing w:after="60"/>
        <w:ind w:left="567"/>
      </w:pPr>
      <w:r>
        <w:rPr>
          <w:sz w:val="22"/>
        </w:rPr>
        <w:t>Raw material inventory (cement, steel, aggregate) is NOT reduced — these pipes arrive ready-made.</w:t>
      </w:r>
    </w:p>
    <w:p>
      <w:pPr>
        <w:pStyle w:val="ListBullet"/>
        <w:spacing w:after="60"/>
        <w:ind w:left="567"/>
      </w:pPr>
      <w:r>
        <w:rPr>
          <w:sz w:val="22"/>
        </w:rPr>
        <w:t>No contractor payment records are created — this is a vendor invoice, not manufacturing work.</w:t>
      </w:r>
    </w:p>
    <w:p>
      <w:pPr>
        <w:pStyle w:val="ListBullet"/>
        <w:spacing w:after="60"/>
        <w:ind w:left="567"/>
      </w:pPr>
      <w:r>
        <w:rPr>
          <w:sz w:val="22"/>
        </w:rPr>
        <w:t>Only the finished-pipe inventory quantity is credited, making the pipes available for dispatch and invoicing immediately.</w:t>
      </w:r>
    </w:p>
    <w:p>
      <w:pPr>
        <w:spacing w:after="80"/>
      </w:pPr>
      <w:r>
        <w:rPr>
          <w:b/>
          <w:i w:val="0"/>
          <w:sz w:val="22"/>
        </w:rPr>
        <w:t>Data captured per purchase:</w:t>
      </w:r>
    </w:p>
    <w:p>
      <w:pPr>
        <w:pStyle w:val="ListBullet"/>
        <w:spacing w:after="60"/>
        <w:ind w:left="567"/>
      </w:pPr>
      <w:r>
        <w:rPr>
          <w:sz w:val="22"/>
        </w:rPr>
        <w:t>Vendor name (with optional link to vendor master), Pipe type, Invoice number, Purchase date.</w:t>
      </w:r>
    </w:p>
    <w:p>
      <w:pPr>
        <w:pStyle w:val="ListBullet"/>
        <w:spacing w:after="60"/>
        <w:ind w:left="567"/>
      </w:pPr>
      <w:r>
        <w:rPr>
          <w:sz w:val="22"/>
        </w:rPr>
        <w:t>Quantity (pieces), Unit rate (₹) — total amount auto-computes as qty × rate.</w:t>
      </w:r>
    </w:p>
    <w:p>
      <w:pPr>
        <w:pStyle w:val="ListBullet"/>
        <w:spacing w:after="60"/>
        <w:ind w:left="567"/>
      </w:pPr>
      <w:r>
        <w:rPr>
          <w:sz w:val="22"/>
        </w:rPr>
        <w:t>Notes field for any additional remarks.</w:t>
      </w:r>
    </w:p>
    <w:p>
      <w:pPr>
        <w:spacing w:after="80"/>
      </w:pPr>
      <w:r>
        <w:rPr>
          <w:b/>
          <w:i w:val="0"/>
          <w:sz w:val="22"/>
        </w:rPr>
        <w:t>Inventory behaviour:</w:t>
      </w:r>
    </w:p>
    <w:p>
      <w:pPr>
        <w:pStyle w:val="ListBullet"/>
        <w:spacing w:after="60"/>
        <w:ind w:left="567"/>
      </w:pPr>
      <w:r>
        <w:rPr>
          <w:sz w:val="22"/>
        </w:rPr>
        <w:t>On create: inventory quantity credited immediately.</w:t>
      </w:r>
    </w:p>
    <w:p>
      <w:pPr>
        <w:pStyle w:val="ListBullet"/>
        <w:spacing w:after="60"/>
        <w:ind w:left="567"/>
      </w:pPr>
      <w:r>
        <w:rPr>
          <w:sz w:val="22"/>
        </w:rPr>
        <w:t>On delete: inventory credit is fully reversed.</w:t>
      </w:r>
    </w:p>
    <w:p>
      <w:pPr>
        <w:pStyle w:val="ListBullet"/>
        <w:spacing w:after="60"/>
        <w:ind w:left="567"/>
      </w:pPr>
      <w:r>
        <w:rPr>
          <w:sz w:val="22"/>
        </w:rPr>
        <w:t>On edit: delta applied for quantity changes; full reversal + re-credit on pipe name change.</w:t>
      </w:r>
    </w:p>
    <w:p>
      <w:pPr>
        <w:spacing w:after="80"/>
      </w:pPr>
      <w:r>
        <w:rPr>
          <w:b/>
          <w:i w:val="0"/>
          <w:sz w:val="22"/>
        </w:rPr>
        <w:t>Purchase Log &amp; Analytics:</w:t>
      </w:r>
    </w:p>
    <w:p>
      <w:pPr>
        <w:pStyle w:val="ListBullet"/>
        <w:spacing w:after="60"/>
        <w:ind w:left="567"/>
      </w:pPr>
      <w:r>
        <w:rPr>
          <w:sz w:val="22"/>
        </w:rPr>
        <w:t>Summary cards: Total Purchases, Total Qty (pcs), Total Value (₹), Pipe Types, Vendors.</w:t>
      </w:r>
    </w:p>
    <w:p>
      <w:pPr>
        <w:pStyle w:val="ListBullet"/>
        <w:spacing w:after="60"/>
        <w:ind w:left="567"/>
      </w:pPr>
      <w:r>
        <w:rPr>
          <w:sz w:val="22"/>
        </w:rPr>
        <w:t>Purchase Log table with date range filter and quick presets.</w:t>
      </w:r>
    </w:p>
    <w:p>
      <w:pPr>
        <w:pStyle w:val="ListBullet"/>
        <w:spacing w:after="60"/>
        <w:ind w:left="567"/>
      </w:pPr>
      <w:r>
        <w:rPr>
          <w:sz w:val="22"/>
        </w:rPr>
        <w:t>Purchases by Vendor panel grouping pipe types and amounts per vendor.</w:t>
      </w:r>
    </w:p>
    <w:p>
      <w:pPr>
        <w:pStyle w:val="ListBullet"/>
        <w:spacing w:after="60"/>
        <w:ind w:left="567"/>
      </w:pPr>
      <w:r>
        <w:rPr>
          <w:sz w:val="22"/>
        </w:rPr>
        <w:t>Bar chart (Qty by Vendor) and pie chart (Qty by Pipe Type) — toggled via "Show Charts" button.</w:t>
      </w:r>
    </w:p>
    <w:p>
      <w:pPr>
        <w:pStyle w:val="ListBullet"/>
        <w:spacing w:after="60"/>
        <w:ind w:left="567"/>
      </w:pPr>
      <w:r>
        <w:rPr>
          <w:sz w:val="22"/>
        </w:rPr>
        <w:t>Delete with confirmation — toast message confirms inventory reversal.</w:t>
      </w:r>
    </w:p>
    <w:p>
      <w:pPr>
        <w:spacing w:before="40" w:after="40"/>
        <w:pBdr>
          <w:bottom w:val="single" w:sz="6" w:space="1" w:color="C0C8D8"/>
        </w:pBdr>
      </w:pPr>
    </w:p>
    <w:p/>
    <w:p>
      <w:pPr>
        <w:spacing w:before="120" w:after="40"/>
      </w:pPr>
      <w:r>
        <w:rPr>
          <w:b/>
          <w:color w:val="1E5CA8"/>
          <w:sz w:val="30"/>
        </w:rPr>
        <w:t xml:space="preserve">REQ-007  </w:t>
      </w:r>
      <w:r>
        <w:rPr>
          <w:b/>
          <w:color w:val="1A1A2E"/>
          <w:sz w:val="30"/>
        </w:rPr>
        <w:t>6.5m Pipe Configuration Support</w:t>
      </w:r>
    </w:p>
    <w:p>
      <w:pPr>
        <w:spacing w:after="120"/>
      </w:pPr>
      <w:r>
        <w:rPr>
          <w:i/>
          <w:color w:val="556688"/>
          <w:sz w:val="20"/>
        </w:rPr>
        <w:t>Page: /production/pipe-configs  |  /production/entry  |  Mobile app   |   Status: ✅ Implemented</w:t>
      </w:r>
    </w:p>
    <w:p>
      <w:pPr>
        <w:spacing w:after="80"/>
      </w:pPr>
      <w:r>
        <w:rPr>
          <w:b w:val="0"/>
          <w:i w:val="0"/>
          <w:sz w:val="22"/>
        </w:rPr>
        <w:t>A second standard pipe length — 6.5 metres — was added alongside the existing 5.25m pipes. All quantities were scaled from the 5.25m values using the formula: 6.5m qty = 5.25m qty × 1.24.</w:t>
      </w:r>
    </w:p>
    <w:p>
      <w:pPr>
        <w:spacing w:after="80"/>
      </w:pPr>
      <w:r>
        <w:rPr>
          <w:b/>
          <w:i w:val="0"/>
          <w:sz w:val="22"/>
        </w:rPr>
        <w:t>What was built:</w:t>
      </w:r>
    </w:p>
    <w:p>
      <w:pPr>
        <w:pStyle w:val="ListBullet"/>
        <w:spacing w:after="60"/>
        <w:ind w:left="567"/>
      </w:pPr>
      <w:r>
        <w:rPr>
          <w:sz w:val="22"/>
        </w:rPr>
        <w:t>460 pipe configurations seeded in total: 230 for 5.25m and 230 for 6.5m, covering all diameters and pressure classes.</w:t>
      </w:r>
    </w:p>
    <w:p>
      <w:pPr>
        <w:pStyle w:val="ListBullet"/>
        <w:spacing w:after="60"/>
        <w:ind w:left="567"/>
      </w:pPr>
      <w:r>
        <w:rPr>
          <w:sz w:val="22"/>
        </w:rPr>
        <w:t>Pipe Configs page (/production/pipe-configs): Length filter dropdown (All / 5.25m / 6.5m); configs displayed in two colour-coded sections — blue for 5.25m, violet for 6.5m.</w:t>
      </w:r>
    </w:p>
    <w:p>
      <w:pPr>
        <w:pStyle w:val="ListBullet"/>
        <w:spacing w:after="60"/>
        <w:ind w:left="567"/>
      </w:pPr>
      <w:r>
        <w:rPr>
          <w:sz w:val="22"/>
        </w:rPr>
        <w:t>Production Entry dropdown now shows pipe length alongside diameter and pressure class (e.g. 350mm · 10kg · 6.5m).</w:t>
      </w:r>
    </w:p>
    <w:p>
      <w:pPr>
        <w:spacing w:after="80"/>
      </w:pPr>
      <w:r>
        <w:rPr>
          <w:b/>
          <w:i w:val="0"/>
          <w:sz w:val="22"/>
        </w:rPr>
        <w:t>Mobile app:</w:t>
      </w:r>
    </w:p>
    <w:p>
      <w:pPr>
        <w:pStyle w:val="ListBullet"/>
        <w:spacing w:after="60"/>
        <w:ind w:left="567"/>
      </w:pPr>
      <w:r>
        <w:rPr>
          <w:sz w:val="22"/>
        </w:rPr>
        <w:t>Order cards in the DEMOULDING entry list show a pipe length badge (blue for 5.25m, violet for 6.5m).</w:t>
      </w:r>
    </w:p>
    <w:p>
      <w:pPr>
        <w:pStyle w:val="ListBullet"/>
        <w:spacing w:after="60"/>
        <w:ind w:left="567"/>
      </w:pPr>
      <w:r>
        <w:rPr>
          <w:sz w:val="22"/>
        </w:rPr>
        <w:t>When a 6.5m pipe order is selected, bed type is automatically set to LARGE_BED and the selector is locked with an explanatory label — unlocks when all 6.5m orders are deselected.</w:t>
      </w:r>
    </w:p>
    <w:p>
      <w:pPr>
        <w:spacing w:before="40" w:after="40"/>
        <w:pBdr>
          <w:bottom w:val="single" w:sz="6" w:space="1" w:color="C0C8D8"/>
        </w:pBdr>
      </w:pPr>
    </w:p>
    <w:p/>
    <w:p>
      <w:pPr>
        <w:spacing w:before="120" w:after="40"/>
      </w:pPr>
      <w:r>
        <w:rPr>
          <w:b/>
          <w:color w:val="1E5CA8"/>
          <w:sz w:val="30"/>
        </w:rPr>
        <w:t xml:space="preserve">REQ-008  </w:t>
      </w:r>
      <w:r>
        <w:rPr>
          <w:b/>
          <w:color w:val="1A1A2E"/>
          <w:sz w:val="30"/>
        </w:rPr>
        <w:t>Extra Large Bed Type for Demoulding &amp; Spinning</w:t>
      </w:r>
    </w:p>
    <w:p>
      <w:pPr>
        <w:spacing w:after="120"/>
      </w:pPr>
      <w:r>
        <w:rPr>
          <w:i/>
          <w:color w:val="556688"/>
          <w:sz w:val="20"/>
        </w:rPr>
        <w:t>Page: /production/entry  |  Business Settings → Spinning Rates  |  Mobile app   |   Status: ✅ Implemented</w:t>
      </w:r>
    </w:p>
    <w:p>
      <w:pPr>
        <w:spacing w:after="80"/>
      </w:pPr>
      <w:r>
        <w:rPr>
          <w:b w:val="0"/>
          <w:i w:val="0"/>
          <w:sz w:val="22"/>
        </w:rPr>
        <w:t>A third bed size — Extra Large — was added to the production system alongside Small Bed and Large Bed, to accommodate larger pipe configurations on the production floor.</w:t>
      </w:r>
    </w:p>
    <w:p>
      <w:pPr>
        <w:spacing w:after="80"/>
      </w:pPr>
      <w:r>
        <w:rPr>
          <w:b/>
          <w:i w:val="0"/>
          <w:sz w:val="22"/>
        </w:rPr>
        <w:t>What was built:</w:t>
      </w:r>
    </w:p>
    <w:p>
      <w:pPr>
        <w:pStyle w:val="ListBullet"/>
        <w:spacing w:after="60"/>
        <w:ind w:left="567"/>
      </w:pPr>
      <w:r>
        <w:rPr>
          <w:sz w:val="22"/>
        </w:rPr>
        <w:t>EXTRA_LARGE_BED accepted as a valid bed type in all DEMOULDING and SPINNING production entries.</w:t>
      </w:r>
    </w:p>
    <w:p>
      <w:pPr>
        <w:pStyle w:val="ListBullet"/>
        <w:spacing w:after="60"/>
        <w:ind w:left="567"/>
      </w:pPr>
      <w:r>
        <w:rPr>
          <w:sz w:val="22"/>
        </w:rPr>
        <w:t>Bed type selector on the production entry form (web and mobile) shows three options: Small / Large / Extra Large.</w:t>
      </w:r>
    </w:p>
    <w:p>
      <w:pPr>
        <w:pStyle w:val="ListBullet"/>
        <w:spacing w:after="60"/>
        <w:ind w:left="567"/>
      </w:pPr>
      <w:r>
        <w:rPr>
          <w:sz w:val="22"/>
        </w:rPr>
        <w:t>Spinning Report: "Extra Large Bed" count added to the summary strip; green badge for Extra Large rows.</w:t>
      </w:r>
    </w:p>
    <w:p>
      <w:pPr>
        <w:pStyle w:val="ListBullet"/>
        <w:spacing w:after="60"/>
        <w:ind w:left="567"/>
      </w:pPr>
      <w:r>
        <w:rPr>
          <w:sz w:val="22"/>
        </w:rPr>
        <w:t>Production Reports: green badge for Extra Large Bed rows in the entry list.</w:t>
      </w:r>
    </w:p>
    <w:p>
      <w:pPr>
        <w:pStyle w:val="ListBullet"/>
        <w:spacing w:after="60"/>
        <w:ind w:left="567"/>
      </w:pPr>
      <w:r>
        <w:rPr>
          <w:sz w:val="22"/>
        </w:rPr>
        <w:t>Business Settings → Spinning Rates: "Extra Large Bed (₹/pipe)" column added — rate can be configured per pipe diameter.</w:t>
      </w:r>
    </w:p>
    <w:p>
      <w:pPr>
        <w:spacing w:before="40" w:after="40"/>
        <w:pBdr>
          <w:bottom w:val="single" w:sz="6" w:space="1" w:color="C0C8D8"/>
        </w:pBdr>
      </w:pPr>
    </w:p>
    <w:p/>
    <w:p>
      <w:pPr>
        <w:spacing w:before="120" w:after="40"/>
      </w:pPr>
      <w:r>
        <w:rPr>
          <w:b/>
          <w:color w:val="1E5CA8"/>
          <w:sz w:val="30"/>
        </w:rPr>
        <w:t xml:space="preserve">REQ-009  </w:t>
      </w:r>
      <w:r>
        <w:rPr>
          <w:b/>
          <w:color w:val="1A1A2E"/>
          <w:sz w:val="30"/>
        </w:rPr>
        <w:t>Production Entry — Remove Spurious "Previous Stage" Banner</w:t>
      </w:r>
    </w:p>
    <w:p>
      <w:pPr>
        <w:spacing w:after="120"/>
      </w:pPr>
      <w:r>
        <w:rPr>
          <w:i/>
          <w:color w:val="556688"/>
          <w:sz w:val="20"/>
        </w:rPr>
        <w:t>Page: /production/entry   |   Status: ✅ Implemented</w:t>
      </w:r>
    </w:p>
    <w:p>
      <w:pPr>
        <w:spacing w:after="80"/>
      </w:pPr>
      <w:r>
        <w:rPr>
          <w:b w:val="0"/>
          <w:i w:val="0"/>
          <w:sz w:val="22"/>
        </w:rPr>
        <w:t>A misleading information banner was appearing on the production entry screen when the Fabrication stage (the very first stage in the production process) was selected. The banner incorrectly stated that a prior "Fabrication" stage had been completed — referencing the stage itself as its own predecessor.</w:t>
      </w:r>
    </w:p>
    <w:p>
      <w:pPr>
        <w:spacing w:after="80"/>
      </w:pPr>
      <w:r>
        <w:rPr>
          <w:b/>
          <w:i w:val="0"/>
          <w:sz w:val="22"/>
        </w:rPr>
        <w:t>Root cause &amp; fix:</w:t>
      </w:r>
    </w:p>
    <w:p>
      <w:pPr>
        <w:pStyle w:val="ListBullet"/>
        <w:spacing w:after="60"/>
        <w:ind w:left="567"/>
      </w:pPr>
      <w:r>
        <w:rPr>
          <w:sz w:val="22"/>
        </w:rPr>
        <w:t>The backend "Get Prior Stage Completed" endpoint was returning the order's planned quantity labelled as a Fabrication completion when the selected stage was index 0 (Fabrication), instead of returning nothing.</w:t>
      </w:r>
    </w:p>
    <w:p>
      <w:pPr>
        <w:pStyle w:val="ListBullet"/>
        <w:spacing w:after="60"/>
        <w:ind w:left="567"/>
      </w:pPr>
      <w:r>
        <w:rPr>
          <w:sz w:val="22"/>
        </w:rPr>
        <w:t>Fixed: when stage index is 0, the endpoint now returns an empty response. The banner is suppressed automatically on the frontend.</w:t>
      </w:r>
    </w:p>
    <w:p>
      <w:pPr>
        <w:spacing w:before="40" w:after="40"/>
        <w:pBdr>
          <w:bottom w:val="single" w:sz="6" w:space="1" w:color="C0C8D8"/>
        </w:pBdr>
      </w:pPr>
    </w:p>
    <w:p/>
    <w:p>
      <w:r>
        <w:br w:type="page"/>
      </w:r>
    </w:p>
    <w:p>
      <w:r>
        <w:rPr>
          <w:b/>
          <w:color w:val="1A3A6E"/>
          <w:sz w:val="32"/>
        </w:rPr>
        <w:t>Delivery Summary</w:t>
      </w:r>
    </w:p>
    <w:p>
      <w:pPr>
        <w:spacing w:before="40" w:after="40"/>
        <w:pBdr>
          <w:bottom w:val="single" w:sz="6" w:space="1" w:color="C0C8D8"/>
        </w:pBdr>
      </w:pPr>
    </w:p>
    <w:p>
      <w:pPr>
        <w:spacing w:after="80"/>
      </w:pPr>
      <w:r>
        <w:rPr>
          <w:b w:val="0"/>
          <w:i w:val="0"/>
          <w:sz w:val="22"/>
        </w:rPr>
        <w:t>All nine requirements listed in this document have been fully implemented, tested, and deployed to the production server at system.pppipeproducts.com.</w:t>
      </w:r>
    </w:p>
    <w:p/>
    <w:p>
      <w:pPr>
        <w:spacing w:after="80"/>
      </w:pPr>
      <w:r>
        <w:rPr>
          <w:b/>
          <w:i w:val="0"/>
          <w:sz w:val="22"/>
        </w:rPr>
        <w:t>The system covers the following core areas:</w:t>
      </w:r>
    </w:p>
    <w:p>
      <w:pPr>
        <w:pStyle w:val="ListBullet"/>
        <w:spacing w:after="60"/>
        <w:ind w:left="567"/>
      </w:pPr>
      <w:r>
        <w:rPr>
          <w:sz w:val="22"/>
        </w:rPr>
        <w:t>Sales &amp; Order Management — Sales Orders with metre-based pipe quantity calculation</w:t>
      </w:r>
    </w:p>
    <w:p>
      <w:pPr>
        <w:pStyle w:val="ListBullet"/>
        <w:spacing w:after="60"/>
        <w:ind w:left="567"/>
      </w:pPr>
      <w:r>
        <w:rPr>
          <w:sz w:val="22"/>
        </w:rPr>
        <w:t>Production Management — Order lifecycle (On Hold), bed types, pipe lengths, entry-stage validation</w:t>
      </w:r>
    </w:p>
    <w:p>
      <w:pPr>
        <w:pStyle w:val="ListBullet"/>
        <w:spacing w:after="60"/>
        <w:ind w:left="567"/>
      </w:pPr>
      <w:r>
        <w:rPr>
          <w:sz w:val="22"/>
        </w:rPr>
        <w:t>Inventory Management — Third-party pipe purchases with automatic inventory crediting</w:t>
      </w:r>
    </w:p>
    <w:p>
      <w:pPr>
        <w:pStyle w:val="ListBullet"/>
        <w:spacing w:after="60"/>
        <w:ind w:left="567"/>
      </w:pPr>
      <w:r>
        <w:rPr>
          <w:sz w:val="22"/>
        </w:rPr>
        <w:t>Finance &amp; Compliance — TDS Outward (vendor deductions) and TDS Inward (customer deductions) tracking</w:t>
      </w:r>
    </w:p>
    <w:p>
      <w:pPr>
        <w:pStyle w:val="ListBullet"/>
        <w:spacing w:after="60"/>
        <w:ind w:left="567"/>
      </w:pPr>
      <w:r>
        <w:rPr>
          <w:sz w:val="22"/>
        </w:rPr>
        <w:t>Reporting — Transport report, TDS reports, Spinning reports with Extra Large Bed support</w:t>
      </w:r>
    </w:p>
    <w:p>
      <w:pPr>
        <w:pStyle w:val="ListBullet"/>
        <w:spacing w:after="60"/>
        <w:ind w:left="567"/>
      </w:pPr>
      <w:r>
        <w:rPr>
          <w:sz w:val="22"/>
        </w:rPr>
        <w:t>Mobile App — Pipe length badges, bed-type auto-lock, Extra Large Bed button</w:t>
      </w:r>
    </w:p>
    <w:p/>
    <w:p>
      <w:pPr>
        <w:spacing w:after="80"/>
      </w:pPr>
      <w:r>
        <w:rPr>
          <w:b w:val="0"/>
          <w:i/>
          <w:color w:val="556688"/>
          <w:sz w:val="22"/>
        </w:rPr>
        <w:t>For any queries regarding this document or the delivered features, please contact the development team.</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