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BE0011"/>
          <w:sz w:val="20"/>
          <w:szCs w:val="20"/>
        </w:rPr>
        <w:t xml:space="preserve">myspanishnlv.com</w:t>
      </w:r>
    </w:p>
    <w:p>
      <w:pPr>
        <w:spacing w:after="160" w:before="0"/>
      </w:pPr>
      <w:r>
        <w:rPr>
          <w:rFonts w:ascii="Arial" w:cs="Arial" w:eastAsia="Arial" w:hAnsi="Arial"/>
          <w:b/>
          <w:bCs/>
          <w:color w:val="0C1930"/>
          <w:sz w:val="52"/>
          <w:szCs w:val="52"/>
        </w:rPr>
        <w:t xml:space="preserve">Blog SEO Audit Report</w:t>
      </w:r>
    </w:p>
    <w:p>
      <w:pPr>
        <w:spacing w:after="80"/>
      </w:pPr>
      <w:r>
        <w:rPr>
          <w:rFonts w:ascii="Arial" w:cs="Arial" w:eastAsia="Arial" w:hAnsi="Arial"/>
          <w:color w:val="1A3A5C"/>
          <w:sz w:val="24"/>
          <w:szCs w:val="24"/>
        </w:rPr>
        <w:t xml:space="preserve">April 2026  •  236 blog pages audited and updated</w:t>
      </w:r>
    </w:p>
    <w:p>
      <w:pPr>
        <w:pBdr>
          <w:bottom w:val="single" w:color="DDDDDD" w:sz="6"/>
        </w:pBdr>
        <w:spacing w:after="240" w:before="240"/>
      </w:pPr>
      <w:r>
        <w:t xml:space="preserve"/>
      </w:r>
    </w:p>
    <w:p>
      <w:pPr>
        <w:pStyle w:val="Heading1"/>
        <w:spacing w:after="160" w:before="400"/>
      </w:pPr>
      <w:r>
        <w:rPr>
          <w:rFonts w:ascii="Arial" w:cs="Arial" w:eastAsia="Arial" w:hAnsi="Arial"/>
          <w:b/>
          <w:bCs/>
          <w:color w:val="0C1930"/>
          <w:sz w:val="36"/>
          <w:szCs w:val="36"/>
        </w:rPr>
        <w:t xml:space="preserve">Executive Summary</w:t>
      </w:r>
    </w:p>
    <w:p>
      <w:pPr>
        <w:spacing w:after="160"/>
      </w:pPr>
      <w:r>
        <w:rPr>
          <w:rFonts w:ascii="Arial" w:cs="Arial" w:eastAsia="Arial" w:hAnsi="Arial"/>
          <w:color w:val="1A1A1A"/>
          <w:sz w:val="22"/>
          <w:szCs w:val="22"/>
        </w:rPr>
        <w:t xml:space="preserve">Two phases of automated processing have been applied to all 236 live blog pages on myspanishnlv.com. This report summarises what was fixed, the current state of the blog, and the priority actions required before organic rankings can be fully maximised.</w:t>
      </w:r>
    </w:p>
    <w:p>
      <w:pPr>
        <w:pBdr>
          <w:bottom w:val="single" w:color="DDDDDD" w:sz="6"/>
        </w:pBdr>
        <w:spacing w:after="240" w:before="240"/>
      </w:pPr>
      <w:r>
        <w:t xml:space="preserve"/>
      </w:r>
    </w:p>
    <w:p>
      <w:pPr>
        <w:pStyle w:val="Heading1"/>
        <w:spacing w:after="160" w:before="400"/>
      </w:pPr>
      <w:r>
        <w:rPr>
          <w:rFonts w:ascii="Arial" w:cs="Arial" w:eastAsia="Arial" w:hAnsi="Arial"/>
          <w:b/>
          <w:bCs/>
          <w:color w:val="0C1930"/>
          <w:sz w:val="36"/>
          <w:szCs w:val="36"/>
        </w:rPr>
        <w:t xml:space="preserve">Phase 1 — Layout &amp; Structure Rebuild (Completed)</w:t>
      </w:r>
    </w:p>
    <w:p>
      <w:pPr>
        <w:spacing w:after="160"/>
      </w:pPr>
      <w:r>
        <w:rPr>
          <w:rFonts w:ascii="Arial" w:cs="Arial" w:eastAsia="Arial" w:hAnsi="Arial"/>
          <w:color w:val="1A1A1A"/>
          <w:sz w:val="22"/>
          <w:szCs w:val="22"/>
        </w:rPr>
        <w:t xml:space="preserve">All 236 blog pages were rebuilt from a broken state into a consistent, brand-aligned template.</w:t>
      </w:r>
    </w:p>
    <w:p>
      <w:pPr>
        <w:pStyle w:val="Heading2"/>
        <w:spacing w:after="160" w:before="240"/>
      </w:pPr>
      <w:r>
        <w:rPr>
          <w:rFonts w:ascii="Arial" w:cs="Arial" w:eastAsia="Arial" w:hAnsi="Arial"/>
          <w:b/>
          <w:bCs/>
          <w:color w:val="0C1930"/>
          <w:sz w:val="28"/>
          <w:szCs w:val="28"/>
        </w:rPr>
        <w:t xml:space="preserve">What Was Fixed</w:t>
      </w:r>
    </w:p>
    <w:p>
      <w:pPr>
        <w:pStyle w:val="ListParagraph"/>
        <w:numPr>
          <w:ilvl w:val="0"/>
          <w:numId w:val="2"/>
        </w:numPr>
        <w:spacing w:after="80"/>
      </w:pPr>
      <w:r>
        <w:rPr>
          <w:rFonts w:ascii="Arial" w:cs="Arial" w:eastAsia="Arial" w:hAnsi="Arial"/>
          <w:color w:val="1A1A1A"/>
          <w:sz w:val="22"/>
          <w:szCs w:val="22"/>
        </w:rPr>
        <w:t xml:space="preserve">Multiple footers (some pages had 2–3) → single footer on every page</w:t>
      </w:r>
    </w:p>
    <w:p>
      <w:pPr>
        <w:pStyle w:val="ListParagraph"/>
        <w:numPr>
          <w:ilvl w:val="0"/>
          <w:numId w:val="2"/>
        </w:numPr>
        <w:spacing w:after="80"/>
      </w:pPr>
      <w:r>
        <w:rPr>
          <w:rFonts w:ascii="Arial" w:cs="Arial" w:eastAsia="Arial" w:hAnsi="Arial"/>
          <w:color w:val="1A1A1A"/>
          <w:sz w:val="22"/>
          <w:szCs w:val="22"/>
        </w:rPr>
        <w:t xml:space="preserve">Raw markdown headings (## H2 text) in article body → proper &lt;h2&gt; HTML tags</w:t>
      </w:r>
    </w:p>
    <w:p>
      <w:pPr>
        <w:pStyle w:val="ListParagraph"/>
        <w:numPr>
          <w:ilvl w:val="0"/>
          <w:numId w:val="2"/>
        </w:numPr>
        <w:spacing w:after="80"/>
      </w:pPr>
      <w:r>
        <w:rPr>
          <w:rFonts w:ascii="Arial" w:cs="Arial" w:eastAsia="Arial" w:hAnsi="Arial"/>
          <w:color w:val="1A1A1A"/>
          <w:sz w:val="22"/>
          <w:szCs w:val="22"/>
        </w:rPr>
        <w:t xml:space="preserve">Broken &lt;section class="content-section"&gt; wrappers → clean article layout</w:t>
      </w:r>
    </w:p>
    <w:p>
      <w:pPr>
        <w:pStyle w:val="ListParagraph"/>
        <w:numPr>
          <w:ilvl w:val="0"/>
          <w:numId w:val="2"/>
        </w:numPr>
        <w:spacing w:after="80"/>
      </w:pPr>
      <w:r>
        <w:rPr>
          <w:rFonts w:ascii="Arial" w:cs="Arial" w:eastAsia="Arial" w:hAnsi="Arial"/>
          <w:color w:val="1A1A1A"/>
          <w:sz w:val="22"/>
          <w:szCs w:val="22"/>
        </w:rPr>
        <w:t xml:space="preserve">Duplicate content and repeated CTA boxes removed</w:t>
      </w:r>
    </w:p>
    <w:p>
      <w:pPr>
        <w:pStyle w:val="ListParagraph"/>
        <w:numPr>
          <w:ilvl w:val="0"/>
          <w:numId w:val="2"/>
        </w:numPr>
        <w:spacing w:after="80"/>
      </w:pPr>
      <w:r>
        <w:rPr>
          <w:rFonts w:ascii="Arial" w:cs="Arial" w:eastAsia="Arial" w:hAnsi="Arial"/>
          <w:color w:val="1A1A1A"/>
          <w:sz w:val="22"/>
          <w:szCs w:val="22"/>
        </w:rPr>
        <w:t xml:space="preserve">Empty &lt;div&gt; boxes causing blank visual gaps → removed</w:t>
      </w:r>
    </w:p>
    <w:p>
      <w:pPr>
        <w:pStyle w:val="ListParagraph"/>
        <w:numPr>
          <w:ilvl w:val="0"/>
          <w:numId w:val="2"/>
        </w:numPr>
        <w:spacing w:after="80"/>
      </w:pPr>
      <w:r>
        <w:rPr>
          <w:rFonts w:ascii="Arial" w:cs="Arial" w:eastAsia="Arial" w:hAnsi="Arial"/>
          <w:color w:val="1A1A1A"/>
          <w:sz w:val="22"/>
          <w:szCs w:val="22"/>
        </w:rPr>
        <w:t xml:space="preserve">Bare text nodes not wrapped in &lt;p&gt; tags → fixed</w:t>
      </w:r>
    </w:p>
    <w:p>
      <w:pPr>
        <w:pStyle w:val="ListParagraph"/>
        <w:numPr>
          <w:ilvl w:val="0"/>
          <w:numId w:val="2"/>
        </w:numPr>
        <w:spacing w:after="80"/>
      </w:pPr>
      <w:r>
        <w:rPr>
          <w:rFonts w:ascii="Arial" w:cs="Arial" w:eastAsia="Arial" w:hAnsi="Arial"/>
          <w:color w:val="1A1A1A"/>
          <w:sz w:val="22"/>
          <w:szCs w:val="22"/>
        </w:rPr>
        <w:t xml:space="preserve">Email corrected: hola@myspanishvisa.com → hola@myspanishnlv.com (everywhere)</w:t>
      </w:r>
    </w:p>
    <w:p>
      <w:pPr>
        <w:pStyle w:val="ListParagraph"/>
        <w:numPr>
          <w:ilvl w:val="0"/>
          <w:numId w:val="2"/>
        </w:numPr>
        <w:spacing w:after="80"/>
      </w:pPr>
      <w:r>
        <w:rPr>
          <w:rFonts w:ascii="Arial" w:cs="Arial" w:eastAsia="Arial" w:hAnsi="Arial"/>
          <w:color w:val="1A1A1A"/>
          <w:sz w:val="22"/>
          <w:szCs w:val="22"/>
        </w:rPr>
        <w:t xml:space="preserve">Hero section: H1 now accompanied by a descriptive sentence</w:t>
      </w:r>
    </w:p>
    <w:p>
      <w:pPr>
        <w:pStyle w:val="ListParagraph"/>
        <w:numPr>
          <w:ilvl w:val="0"/>
          <w:numId w:val="2"/>
        </w:numPr>
        <w:spacing w:after="80"/>
      </w:pPr>
      <w:r>
        <w:rPr>
          <w:rFonts w:ascii="Arial" w:cs="Arial" w:eastAsia="Arial" w:hAnsi="Arial"/>
          <w:color w:val="1A1A1A"/>
          <w:sz w:val="22"/>
          <w:szCs w:val="22"/>
        </w:rPr>
        <w:t xml:space="preserve">FAQ moved to full-width below the two-column grid (no longer inside sticky sidebar)</w:t>
      </w:r>
    </w:p>
    <w:p>
      <w:pPr>
        <w:pStyle w:val="ListParagraph"/>
        <w:numPr>
          <w:ilvl w:val="0"/>
          <w:numId w:val="2"/>
        </w:numPr>
        <w:spacing w:after="80"/>
      </w:pPr>
      <w:r>
        <w:rPr>
          <w:rFonts w:ascii="Arial" w:cs="Arial" w:eastAsia="Arial" w:hAnsi="Arial"/>
          <w:color w:val="1A1A1A"/>
          <w:sz w:val="22"/>
          <w:szCs w:val="22"/>
        </w:rPr>
        <w:t xml:space="preserve">Sticky sidebar correctly stops at FAQ</w:t>
      </w:r>
    </w:p>
    <w:p>
      <w:pPr>
        <w:spacing w:after="240"/>
      </w:pPr>
    </w:p>
    <w:p>
      <w:pPr>
        <w:pStyle w:val="Heading2"/>
        <w:spacing w:after="160" w:before="240"/>
      </w:pPr>
      <w:r>
        <w:rPr>
          <w:rFonts w:ascii="Arial" w:cs="Arial" w:eastAsia="Arial" w:hAnsi="Arial"/>
          <w:b/>
          <w:bCs/>
          <w:color w:val="0C1930"/>
          <w:sz w:val="28"/>
          <w:szCs w:val="28"/>
        </w:rPr>
        <w:t xml:space="preserve">Phase 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180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Before</w:t>
            </w:r>
          </w:p>
        </w:tc>
        <w:tc>
          <w:tcPr>
            <w:tcW w:type="dxa" w:w="180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After</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Pages with multiple footers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 ✓</w:t>
            </w:r>
          </w:p>
        </w:tc>
      </w:tr>
      <w:tr>
        <w:tc>
          <w:tcPr>
            <w:tcW w:type="dxa" w:w="5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Raw markdown headings in body</w:t>
            </w:r>
          </w:p>
        </w:tc>
        <w:tc>
          <w:tcPr>
            <w:tcW w:type="dxa" w:w="1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All</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 ✓</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Broken section wrappers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All</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 ✓</w:t>
            </w:r>
          </w:p>
        </w:tc>
      </w:tr>
      <w:tr>
        <w:tc>
          <w:tcPr>
            <w:tcW w:type="dxa" w:w="5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Empty &lt;div&gt; blank boxes</w:t>
            </w:r>
          </w:p>
        </w:tc>
        <w:tc>
          <w:tcPr>
            <w:tcW w:type="dxa" w:w="1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Many</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 ✓</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Wrong email address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All</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 ✓</w:t>
            </w:r>
          </w:p>
        </w:tc>
      </w:tr>
      <w:tr>
        <w:tc>
          <w:tcPr>
            <w:tcW w:type="dxa" w:w="5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Pages without hero description</w:t>
            </w:r>
          </w:p>
        </w:tc>
        <w:tc>
          <w:tcPr>
            <w:tcW w:type="dxa" w:w="1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All</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 ✓</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FAQ incorrectly inside grid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All</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 ✓</w:t>
            </w:r>
          </w:p>
        </w:tc>
      </w:tr>
    </w:tbl>
    <w:p>
      <w:pPr>
        <w:spacing w:after="320"/>
      </w:pPr>
    </w:p>
    <w:p>
      <w:pPr>
        <w:pBdr>
          <w:bottom w:val="single" w:color="DDDDDD" w:sz="6"/>
        </w:pBdr>
        <w:spacing w:after="240" w:before="240"/>
      </w:pPr>
      <w:r>
        <w:t xml:space="preserve"/>
      </w:r>
    </w:p>
    <w:p>
      <w:pPr>
        <w:pStyle w:val="Heading1"/>
        <w:spacing w:after="160" w:before="400"/>
      </w:pPr>
      <w:r>
        <w:rPr>
          <w:rFonts w:ascii="Arial" w:cs="Arial" w:eastAsia="Arial" w:hAnsi="Arial"/>
          <w:b/>
          <w:bCs/>
          <w:color w:val="0C1930"/>
          <w:sz w:val="36"/>
          <w:szCs w:val="36"/>
        </w:rPr>
        <w:t xml:space="preserve">Phase 2 — SEO Meta &amp; Content Cleanup (Completed)</w:t>
      </w:r>
    </w:p>
    <w:p>
      <w:pPr>
        <w:spacing w:after="160"/>
      </w:pPr>
      <w:r>
        <w:rPr>
          <w:rFonts w:ascii="Arial" w:cs="Arial" w:eastAsia="Arial" w:hAnsi="Arial"/>
          <w:color w:val="1A1A1A"/>
          <w:sz w:val="22"/>
          <w:szCs w:val="22"/>
        </w:rPr>
        <w:t xml:space="preserve">A second pass over all 236 pages fixed title tags, generated real meta descriptions from article content, and removed boilerplate filler sections.</w:t>
      </w:r>
    </w:p>
    <w:p>
      <w:pPr>
        <w:pStyle w:val="Heading2"/>
        <w:spacing w:after="160" w:before="240"/>
      </w:pPr>
      <w:r>
        <w:rPr>
          <w:rFonts w:ascii="Arial" w:cs="Arial" w:eastAsia="Arial" w:hAnsi="Arial"/>
          <w:b/>
          <w:bCs/>
          <w:color w:val="0C1930"/>
          <w:sz w:val="28"/>
          <w:szCs w:val="28"/>
        </w:rPr>
        <w:t xml:space="preserve">What Was Fixed</w:t>
      </w:r>
    </w:p>
    <w:p>
      <w:pPr>
        <w:pStyle w:val="ListParagraph"/>
        <w:numPr>
          <w:ilvl w:val="0"/>
          <w:numId w:val="2"/>
        </w:numPr>
        <w:spacing w:after="80"/>
      </w:pPr>
      <w:r>
        <w:rPr>
          <w:rFonts w:ascii="Arial" w:cs="Arial" w:eastAsia="Arial" w:hAnsi="Arial"/>
          <w:color w:val="1A1A1A"/>
          <w:sz w:val="22"/>
          <w:szCs w:val="22"/>
        </w:rPr>
        <w:t xml:space="preserve">Title tags: 207 were over 65 characters → all now ≤65 chars</w:t>
      </w:r>
    </w:p>
    <w:p>
      <w:pPr>
        <w:pStyle w:val="ListParagraph"/>
        <w:numPr>
          <w:ilvl w:val="0"/>
          <w:numId w:val="2"/>
        </w:numPr>
        <w:spacing w:after="80"/>
      </w:pPr>
      <w:r>
        <w:rPr>
          <w:rFonts w:ascii="Arial" w:cs="Arial" w:eastAsia="Arial" w:hAnsi="Arial"/>
          <w:color w:val="1A1A1A"/>
          <w:sz w:val="22"/>
          <w:szCs w:val="22"/>
        </w:rPr>
        <w:t xml:space="preserve">Meta descriptions: all 236 were generic 'Complete guide to…' fallbacks → now drawn from real article content</w:t>
      </w:r>
    </w:p>
    <w:p>
      <w:pPr>
        <w:pStyle w:val="ListParagraph"/>
        <w:numPr>
          <w:ilvl w:val="0"/>
          <w:numId w:val="2"/>
        </w:numPr>
        <w:spacing w:after="80"/>
      </w:pPr>
      <w:r>
        <w:rPr>
          <w:rFonts w:ascii="Arial" w:cs="Arial" w:eastAsia="Arial" w:hAnsi="Arial"/>
          <w:color w:val="1A1A1A"/>
          <w:sz w:val="22"/>
          <w:szCs w:val="22"/>
        </w:rPr>
        <w:t xml:space="preserve">og:title, og:description, twitter:title, twitter:description updated to match</w:t>
      </w:r>
    </w:p>
    <w:p>
      <w:pPr>
        <w:pStyle w:val="ListParagraph"/>
        <w:numPr>
          <w:ilvl w:val="0"/>
          <w:numId w:val="2"/>
        </w:numPr>
        <w:spacing w:after="80"/>
      </w:pPr>
      <w:r>
        <w:rPr>
          <w:rFonts w:ascii="Arial" w:cs="Arial" w:eastAsia="Arial" w:hAnsi="Arial"/>
          <w:color w:val="1A1A1A"/>
          <w:sz w:val="22"/>
          <w:szCs w:val="22"/>
        </w:rPr>
        <w:t xml:space="preserve">JSON-LD headline and description fields updated</w:t>
      </w:r>
    </w:p>
    <w:p>
      <w:pPr>
        <w:pStyle w:val="ListParagraph"/>
        <w:numPr>
          <w:ilvl w:val="0"/>
          <w:numId w:val="2"/>
        </w:numPr>
        <w:spacing w:after="80"/>
      </w:pPr>
      <w:r>
        <w:rPr>
          <w:rFonts w:ascii="Arial" w:cs="Arial" w:eastAsia="Arial" w:hAnsi="Arial"/>
          <w:color w:val="1A1A1A"/>
          <w:sz w:val="22"/>
          <w:szCs w:val="22"/>
        </w:rPr>
        <w:t xml:space="preserve">22 pages had boilerplate filler sections removed (see list below)</w:t>
      </w:r>
    </w:p>
    <w:p>
      <w:pPr>
        <w:spacing w:after="240"/>
      </w:pPr>
    </w:p>
    <w:p>
      <w:pPr>
        <w:pStyle w:val="Heading2"/>
        <w:spacing w:after="160" w:before="240"/>
      </w:pPr>
      <w:r>
        <w:rPr>
          <w:rFonts w:ascii="Arial" w:cs="Arial" w:eastAsia="Arial" w:hAnsi="Arial"/>
          <w:b/>
          <w:bCs/>
          <w:color w:val="0C1930"/>
          <w:sz w:val="28"/>
          <w:szCs w:val="28"/>
        </w:rPr>
        <w:t xml:space="preserve">Phase 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180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Before</w:t>
            </w:r>
          </w:p>
        </w:tc>
        <w:tc>
          <w:tcPr>
            <w:tcW w:type="dxa" w:w="180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After</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Title tags ≤65 characters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34/236</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236/236 ✓</w:t>
            </w:r>
          </w:p>
        </w:tc>
      </w:tr>
      <w:tr>
        <w:tc>
          <w:tcPr>
            <w:tcW w:type="dxa" w:w="5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Real meta descriptions (≥80 chars)</w:t>
            </w:r>
          </w:p>
        </w:tc>
        <w:tc>
          <w:tcPr>
            <w:tcW w:type="dxa" w:w="1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0/236</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236/236 ✓</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Generic/placeholder descriptions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236/236</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0/236 ✓</w:t>
            </w:r>
          </w:p>
        </w:tc>
      </w:tr>
      <w:tr>
        <w:tc>
          <w:tcPr>
            <w:tcW w:type="dxa" w:w="5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Pages with boilerplate filler sections</w:t>
            </w:r>
          </w:p>
        </w:tc>
        <w:tc>
          <w:tcPr>
            <w:tcW w:type="dxa" w:w="1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22/236</w:t>
            </w:r>
          </w:p>
        </w:tc>
        <w:tc>
          <w:tcPr>
            <w:tcW w:type="dxa" w:w="1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0/236 ✓</w:t>
            </w:r>
          </w:p>
        </w:tc>
      </w:tr>
    </w:tbl>
    <w:p>
      <w:pPr>
        <w:spacing w:after="320"/>
      </w:pPr>
    </w:p>
    <w:p>
      <w:pPr>
        <w:pStyle w:val="Heading2"/>
        <w:spacing w:after="160" w:before="240"/>
      </w:pPr>
      <w:r>
        <w:rPr>
          <w:rFonts w:ascii="Arial" w:cs="Arial" w:eastAsia="Arial" w:hAnsi="Arial"/>
          <w:b/>
          <w:bCs/>
          <w:color w:val="0C1930"/>
          <w:sz w:val="28"/>
          <w:szCs w:val="28"/>
        </w:rPr>
        <w:t xml:space="preserve">Pages That Had Filler Content Removed</w:t>
      </w:r>
    </w:p>
    <w:p>
      <w:pPr>
        <w:spacing w:after="160"/>
      </w:pPr>
      <w:r>
        <w:rPr>
          <w:rFonts w:ascii="Arial" w:cs="Arial" w:eastAsia="Arial" w:hAnsi="Arial"/>
          <w:color w:val="1A1A1A"/>
          <w:sz w:val="22"/>
          <w:szCs w:val="22"/>
        </w:rPr>
        <w:t xml:space="preserve">These 22 pages contained generic placeholder sections with no useful information. The filler was removed but the pages need proper content written — they are currently shorter than ideal and present a thin-content risk for Google. Prioritise rewriting the renewal cluster first (highest search volume).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C1930" w:sz="1"/>
              <w:left w:val="single" w:color="0C1930" w:sz="1"/>
              <w:bottom w:val="single" w:color="0C1930" w:sz="1"/>
              <w:right w:val="single" w:color="0C1930" w:sz="1"/>
            </w:tcBorders>
            <w:shd w:fill="0C193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Priority</w:t>
            </w:r>
          </w:p>
        </w:tc>
        <w:tc>
          <w:tcPr>
            <w:tcW w:type="dxa" w:w="7960"/>
            <w:tcBorders>
              <w:top w:val="single" w:color="0C1930" w:sz="1"/>
              <w:left w:val="single" w:color="0C1930" w:sz="1"/>
              <w:bottom w:val="single" w:color="0C1930" w:sz="1"/>
              <w:right w:val="single" w:color="0C1930" w:sz="1"/>
            </w:tcBorders>
            <w:shd w:fill="0C1930" w:val="clear"/>
            <w:tcMar>
              <w:top w:type="dxa" w:w="80"/>
              <w:left w:type="dxa" w:w="140"/>
              <w:bottom w:type="dxa" w:w="80"/>
              <w:right w:type="dxa" w:w="140"/>
            </w:tcMar>
          </w:tcPr>
          <w:p>
            <w:r>
              <w:rPr>
                <w:rFonts w:ascii="Arial" w:cs="Arial" w:eastAsia="Arial" w:hAnsi="Arial"/>
                <w:b/>
                <w:bCs/>
                <w:color w:val="FFFFFF"/>
                <w:sz w:val="18"/>
                <w:szCs w:val="18"/>
              </w:rPr>
              <w:t xml:space="preserve">Page (needs fresh content)</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capital-gains-tax-spain-expats</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dividend-tax-spain-nlv-holders</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first-nlv-renewal-vs-second-renewal</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modelo-720-nlv-holders-overseas-assets</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moving-uk-to-spain-tax-residency</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nlv-expires-before-renewal</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nlv-renewal-documents-2026-checklist</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nlv-renewal-from-inside-spain</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nlv-renewal-health-insurance</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nlv-renewal-income-requirements-2026</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nlv-renewal-medical-certificate</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nlv-renewal-processing-time-2026</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nlv-renewal-refused-reasons</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pension-tax-spain-foreign-pensions</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solidarity-tax-spain-nlv</w:t>
            </w:r>
          </w:p>
        </w:tc>
      </w:tr>
      <w:tr>
        <w:tc>
          <w:tcPr>
            <w:tcW w:type="dxa" w:w="14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spain-nlv-renewal-2026-everything</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spain-vs-uk-tax-retirees</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uk-limited-company-dividends-spain-tax</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uk-rental-income-tax-spain</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wealth-tax-spain-nlv-holders</w:t>
            </w:r>
          </w:p>
        </w:tc>
      </w:tr>
      <w:t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what-is-gestor-do-you-need-one</w:t>
            </w:r>
          </w:p>
        </w:tc>
      </w:tr>
      <w:tr>
        <w:tc>
          <w:tcPr>
            <w:tcW w:type="dxa" w:w="1400"/>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LOW</w:t>
            </w:r>
          </w:p>
        </w:tc>
        <w:tc>
          <w:tcPr>
            <w:tcW w:type="dxa" w:w="79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18"/>
                <w:szCs w:val="18"/>
              </w:rPr>
              <w:t xml:space="preserve">when-to-start-renewing-nlv-timeline</w:t>
            </w:r>
          </w:p>
        </w:tc>
      </w:tr>
    </w:tbl>
    <w:p>
      <w:pPr>
        <w:spacing w:after="320"/>
      </w:pPr>
    </w:p>
    <w:p>
      <w:pPr>
        <w:pBdr>
          <w:bottom w:val="single" w:color="DDDDDD" w:sz="6"/>
        </w:pBdr>
        <w:spacing w:after="240" w:before="240"/>
      </w:pPr>
      <w:r>
        <w:t xml:space="preserve"/>
      </w:r>
    </w:p>
    <w:p>
      <w:pPr>
        <w:pStyle w:val="Heading1"/>
        <w:spacing w:after="160" w:before="400"/>
      </w:pPr>
      <w:r>
        <w:rPr>
          <w:rFonts w:ascii="Arial" w:cs="Arial" w:eastAsia="Arial" w:hAnsi="Arial"/>
          <w:b/>
          <w:bCs/>
          <w:color w:val="0C1930"/>
          <w:sz w:val="36"/>
          <w:szCs w:val="36"/>
        </w:rPr>
        <w:t xml:space="preserve">What Needs Doing Next</w:t>
      </w:r>
    </w:p>
    <w:p>
      <w:pPr>
        <w:spacing w:after="160"/>
      </w:pPr>
      <w:r>
        <w:rPr>
          <w:rFonts w:ascii="Arial" w:cs="Arial" w:eastAsia="Arial" w:hAnsi="Arial"/>
          <w:color w:val="1A1A1A"/>
          <w:sz w:val="22"/>
          <w:szCs w:val="22"/>
        </w:rPr>
        <w:t xml:space="preserve">The blog is now structurally sound and has proper titles and meta descriptions. The following actions are ranked by impact on organic search performance.</w:t>
      </w:r>
    </w:p>
    <w:p>
      <w:pPr>
        <w:pStyle w:val="Heading2"/>
        <w:spacing w:after="160" w:before="240"/>
      </w:pPr>
      <w:r>
        <w:rPr>
          <w:rFonts w:ascii="Arial" w:cs="Arial" w:eastAsia="Arial" w:hAnsi="Arial"/>
          <w:b/>
          <w:bCs/>
          <w:color w:val="0C1930"/>
          <w:sz w:val="28"/>
          <w:szCs w:val="28"/>
        </w:rPr>
        <w:t xml:space="preserve">1. Rewrite the 22 Thin Pages (HIGH / MED priority)</w:t>
      </w:r>
    </w:p>
    <w:p>
      <w:pPr>
        <w:spacing w:after="160"/>
      </w:pPr>
      <w:r>
        <w:rPr>
          <w:rFonts w:ascii="Arial" w:cs="Arial" w:eastAsia="Arial" w:hAnsi="Arial"/>
          <w:color w:val="1A1A1A"/>
          <w:sz w:val="22"/>
          <w:szCs w:val="22"/>
        </w:rPr>
        <w:t xml:space="preserve">Google's Helpful Content system actively downgrades thin or unhelpful content. The 22 pages listed above no longer have filler sections, but they now need real, specific content written for their exact topics — especially the renewal cluster, which targets the highest-volume commercial keywords.</w:t>
      </w:r>
    </w:p>
    <w:p>
      <w:pPr>
        <w:pStyle w:val="ListParagraph"/>
        <w:numPr>
          <w:ilvl w:val="0"/>
          <w:numId w:val="2"/>
        </w:numPr>
        <w:spacing w:after="80"/>
      </w:pPr>
      <w:r>
        <w:rPr>
          <w:rFonts w:ascii="Arial" w:cs="Arial" w:eastAsia="Arial" w:hAnsi="Arial"/>
          <w:color w:val="1A1A1A"/>
          <w:sz w:val="22"/>
          <w:szCs w:val="22"/>
        </w:rPr>
        <w:t xml:space="preserve">Start with: nlv-renewal-documents-2026-checklist.html, nlv-renewal-income-requirements-2026.html, nlv-renewal-refused-reasons.html</w:t>
      </w:r>
    </w:p>
    <w:p>
      <w:pPr>
        <w:pStyle w:val="ListParagraph"/>
        <w:numPr>
          <w:ilvl w:val="0"/>
          <w:numId w:val="2"/>
        </w:numPr>
        <w:spacing w:after="80"/>
      </w:pPr>
      <w:r>
        <w:rPr>
          <w:rFonts w:ascii="Arial" w:cs="Arial" w:eastAsia="Arial" w:hAnsi="Arial"/>
          <w:color w:val="1A1A1A"/>
          <w:sz w:val="22"/>
          <w:szCs w:val="22"/>
        </w:rPr>
        <w:t xml:space="preserve">Each page should have 800–1,200 words of specific, actionable content</w:t>
      </w:r>
    </w:p>
    <w:p>
      <w:pPr>
        <w:pStyle w:val="ListParagraph"/>
        <w:numPr>
          <w:ilvl w:val="0"/>
          <w:numId w:val="2"/>
        </w:numPr>
        <w:spacing w:after="80"/>
      </w:pPr>
      <w:r>
        <w:rPr>
          <w:rFonts w:ascii="Arial" w:cs="Arial" w:eastAsia="Arial" w:hAnsi="Arial"/>
          <w:color w:val="1A1A1A"/>
          <w:sz w:val="22"/>
          <w:szCs w:val="22"/>
        </w:rPr>
        <w:t xml:space="preserve">Include a table, numbered list or checklist where relevant (these earn rich snippets)</w:t>
      </w:r>
    </w:p>
    <w:p>
      <w:pPr>
        <w:pStyle w:val="ListParagraph"/>
        <w:numPr>
          <w:ilvl w:val="0"/>
          <w:numId w:val="2"/>
        </w:numPr>
        <w:spacing w:after="80"/>
      </w:pPr>
      <w:r>
        <w:rPr>
          <w:rFonts w:ascii="Arial" w:cs="Arial" w:eastAsia="Arial" w:hAnsi="Arial"/>
          <w:color w:val="1A1A1A"/>
          <w:sz w:val="22"/>
          <w:szCs w:val="22"/>
        </w:rPr>
        <w:t xml:space="preserve">End with a 5–7 item FAQPage schema block targeting question keywords</w:t>
      </w:r>
    </w:p>
    <w:p>
      <w:pPr>
        <w:spacing w:after="240"/>
      </w:pPr>
    </w:p>
    <w:p>
      <w:pPr>
        <w:pStyle w:val="Heading2"/>
        <w:spacing w:after="160" w:before="240"/>
      </w:pPr>
      <w:r>
        <w:rPr>
          <w:rFonts w:ascii="Arial" w:cs="Arial" w:eastAsia="Arial" w:hAnsi="Arial"/>
          <w:b/>
          <w:bCs/>
          <w:color w:val="0C1930"/>
          <w:sz w:val="28"/>
          <w:szCs w:val="28"/>
        </w:rPr>
        <w:t xml:space="preserve">2. Strengthen H1s for Core Keyword Clusters</w:t>
      </w:r>
    </w:p>
    <w:p>
      <w:pPr>
        <w:spacing w:after="160"/>
      </w:pPr>
      <w:r>
        <w:rPr>
          <w:rFonts w:ascii="Arial" w:cs="Arial" w:eastAsia="Arial" w:hAnsi="Arial"/>
          <w:color w:val="1A1A1A"/>
          <w:sz w:val="22"/>
          <w:szCs w:val="22"/>
        </w:rPr>
        <w:t xml:space="preserve">Many H1s are conversational or use question formats (good for long-tail) but miss the primary head term. For cluster pillar pages, the H1 should lead with the keyword, e.g.:</w:t>
      </w:r>
    </w:p>
    <w:p>
      <w:pPr>
        <w:pStyle w:val="ListParagraph"/>
        <w:numPr>
          <w:ilvl w:val="0"/>
          <w:numId w:val="2"/>
        </w:numPr>
        <w:spacing w:after="80"/>
      </w:pPr>
      <w:r>
        <w:rPr>
          <w:rFonts w:ascii="Arial" w:cs="Arial" w:eastAsia="Arial" w:hAnsi="Arial"/>
          <w:color w:val="1A1A1A"/>
          <w:sz w:val="22"/>
          <w:szCs w:val="22"/>
        </w:rPr>
        <w:t xml:space="preserve">"Spain NLV Renewal: Complete 2026 Guide" — not "Everything You Need to Know About Renewing"</w:t>
      </w:r>
    </w:p>
    <w:p>
      <w:pPr>
        <w:pStyle w:val="ListParagraph"/>
        <w:numPr>
          <w:ilvl w:val="0"/>
          <w:numId w:val="2"/>
        </w:numPr>
        <w:spacing w:after="80"/>
      </w:pPr>
      <w:r>
        <w:rPr>
          <w:rFonts w:ascii="Arial" w:cs="Arial" w:eastAsia="Arial" w:hAnsi="Arial"/>
          <w:color w:val="1A1A1A"/>
          <w:sz w:val="22"/>
          <w:szCs w:val="22"/>
        </w:rPr>
        <w:t xml:space="preserve">"Health Insurance for Spain NLV: Consulate Requirements" — not "What the Consulate Actually Requires"</w:t>
      </w:r>
    </w:p>
    <w:p>
      <w:pPr>
        <w:pStyle w:val="ListParagraph"/>
        <w:numPr>
          <w:ilvl w:val="0"/>
          <w:numId w:val="2"/>
        </w:numPr>
        <w:spacing w:after="80"/>
      </w:pPr>
      <w:r>
        <w:rPr>
          <w:rFonts w:ascii="Arial" w:cs="Arial" w:eastAsia="Arial" w:hAnsi="Arial"/>
          <w:color w:val="1A1A1A"/>
          <w:sz w:val="22"/>
          <w:szCs w:val="22"/>
        </w:rPr>
        <w:t xml:space="preserve">"Spain Non-Lucrative Visa Income Requirements 2026" — exact match to head term</w:t>
      </w:r>
    </w:p>
    <w:p>
      <w:pPr>
        <w:spacing w:after="240"/>
      </w:pPr>
    </w:p>
    <w:p>
      <w:pPr>
        <w:pStyle w:val="Heading2"/>
        <w:spacing w:after="160" w:before="240"/>
      </w:pPr>
      <w:r>
        <w:rPr>
          <w:rFonts w:ascii="Arial" w:cs="Arial" w:eastAsia="Arial" w:hAnsi="Arial"/>
          <w:b/>
          <w:bCs/>
          <w:color w:val="0C1930"/>
          <w:sz w:val="28"/>
          <w:szCs w:val="28"/>
        </w:rPr>
        <w:t xml:space="preserve">3. Add Internal Links from Blog Posts to Pillar Pages</w:t>
      </w:r>
    </w:p>
    <w:p>
      <w:pPr>
        <w:spacing w:after="160"/>
      </w:pPr>
      <w:r>
        <w:rPr>
          <w:rFonts w:ascii="Arial" w:cs="Arial" w:eastAsia="Arial" w:hAnsi="Arial"/>
          <w:color w:val="1A1A1A"/>
          <w:sz w:val="22"/>
          <w:szCs w:val="22"/>
        </w:rPr>
        <w:t xml:space="preserve">The strategy document specifies a hub-and-spoke silo. Every blog post should contain 2–3 contextual internal links back to the relevant cluster pillar. Currently, sidebar links exist but contextual in-body links are absent from most posts.</w:t>
      </w:r>
    </w:p>
    <w:p>
      <w:pPr>
        <w:pStyle w:val="ListParagraph"/>
        <w:numPr>
          <w:ilvl w:val="0"/>
          <w:numId w:val="2"/>
        </w:numPr>
        <w:spacing w:after="80"/>
      </w:pPr>
      <w:r>
        <w:rPr>
          <w:rFonts w:ascii="Arial" w:cs="Arial" w:eastAsia="Arial" w:hAnsi="Arial"/>
          <w:color w:val="1A1A1A"/>
          <w:sz w:val="22"/>
          <w:szCs w:val="22"/>
        </w:rPr>
        <w:t xml:space="preserve">Renewal blog posts → link to /non-lucrative-visa-renewal/ pillar</w:t>
      </w:r>
    </w:p>
    <w:p>
      <w:pPr>
        <w:pStyle w:val="ListParagraph"/>
        <w:numPr>
          <w:ilvl w:val="0"/>
          <w:numId w:val="2"/>
        </w:numPr>
        <w:spacing w:after="80"/>
      </w:pPr>
      <w:r>
        <w:rPr>
          <w:rFonts w:ascii="Arial" w:cs="Arial" w:eastAsia="Arial" w:hAnsi="Arial"/>
          <w:color w:val="1A1A1A"/>
          <w:sz w:val="22"/>
          <w:szCs w:val="22"/>
        </w:rPr>
        <w:t xml:space="preserve">Health insurance posts → link to /non-lucrative-visa-health-insurance/</w:t>
      </w:r>
    </w:p>
    <w:p>
      <w:pPr>
        <w:pStyle w:val="ListParagraph"/>
        <w:numPr>
          <w:ilvl w:val="0"/>
          <w:numId w:val="2"/>
        </w:numPr>
        <w:spacing w:after="80"/>
      </w:pPr>
      <w:r>
        <w:rPr>
          <w:rFonts w:ascii="Arial" w:cs="Arial" w:eastAsia="Arial" w:hAnsi="Arial"/>
          <w:color w:val="1A1A1A"/>
          <w:sz w:val="22"/>
          <w:szCs w:val="22"/>
        </w:rPr>
        <w:t xml:space="preserve">Tax posts → link to relevant hub and to /pricing/</w:t>
      </w:r>
    </w:p>
    <w:p>
      <w:pPr>
        <w:spacing w:after="240"/>
      </w:pPr>
    </w:p>
    <w:p>
      <w:pPr>
        <w:pStyle w:val="Heading2"/>
        <w:spacing w:after="160" w:before="240"/>
      </w:pPr>
      <w:r>
        <w:rPr>
          <w:rFonts w:ascii="Arial" w:cs="Arial" w:eastAsia="Arial" w:hAnsi="Arial"/>
          <w:b/>
          <w:bCs/>
          <w:color w:val="0C1930"/>
          <w:sz w:val="28"/>
          <w:szCs w:val="28"/>
        </w:rPr>
        <w:t xml:space="preserve">4. Add Schema Markup for Eligible Content</w:t>
      </w:r>
    </w:p>
    <w:p>
      <w:pPr>
        <w:spacing w:after="160"/>
      </w:pPr>
      <w:r>
        <w:rPr>
          <w:rFonts w:ascii="Arial" w:cs="Arial" w:eastAsia="Arial" w:hAnsi="Arial"/>
          <w:color w:val="1A1A1A"/>
          <w:sz w:val="22"/>
          <w:szCs w:val="22"/>
        </w:rPr>
        <w:t xml:space="preserve">The following schema types are missing from blog posts where they would add value:</w:t>
      </w:r>
    </w:p>
    <w:p>
      <w:pPr>
        <w:pStyle w:val="ListParagraph"/>
        <w:numPr>
          <w:ilvl w:val="0"/>
          <w:numId w:val="2"/>
        </w:numPr>
        <w:spacing w:after="80"/>
      </w:pPr>
      <w:r>
        <w:rPr>
          <w:rFonts w:ascii="Arial" w:cs="Arial" w:eastAsia="Arial" w:hAnsi="Arial"/>
          <w:color w:val="1A1A1A"/>
          <w:sz w:val="22"/>
          <w:szCs w:val="22"/>
        </w:rPr>
        <w:t xml:space="preserve">HowTo schema — on application process and checklist pages</w:t>
      </w:r>
    </w:p>
    <w:p>
      <w:pPr>
        <w:pStyle w:val="ListParagraph"/>
        <w:numPr>
          <w:ilvl w:val="0"/>
          <w:numId w:val="2"/>
        </w:numPr>
        <w:spacing w:after="80"/>
      </w:pPr>
      <w:r>
        <w:rPr>
          <w:rFonts w:ascii="Arial" w:cs="Arial" w:eastAsia="Arial" w:hAnsi="Arial"/>
          <w:color w:val="1A1A1A"/>
          <w:sz w:val="22"/>
          <w:szCs w:val="22"/>
        </w:rPr>
        <w:t xml:space="preserve">FAQPage schema — currently in the HTML but some pages have fewer than 5 questions; aim for 7–10</w:t>
      </w:r>
    </w:p>
    <w:p>
      <w:pPr>
        <w:pStyle w:val="ListParagraph"/>
        <w:numPr>
          <w:ilvl w:val="0"/>
          <w:numId w:val="2"/>
        </w:numPr>
        <w:spacing w:after="80"/>
      </w:pPr>
      <w:r>
        <w:rPr>
          <w:rFonts w:ascii="Arial" w:cs="Arial" w:eastAsia="Arial" w:hAnsi="Arial"/>
          <w:color w:val="1A1A1A"/>
          <w:sz w:val="22"/>
          <w:szCs w:val="22"/>
        </w:rPr>
        <w:t xml:space="preserve">BreadcrumbList — confirm sitelinks are displaying in GSC after indexing</w:t>
      </w:r>
    </w:p>
    <w:p>
      <w:pPr>
        <w:spacing w:after="240"/>
      </w:pPr>
    </w:p>
    <w:p>
      <w:pPr>
        <w:pStyle w:val="Heading2"/>
        <w:spacing w:after="160" w:before="240"/>
      </w:pPr>
      <w:r>
        <w:rPr>
          <w:rFonts w:ascii="Arial" w:cs="Arial" w:eastAsia="Arial" w:hAnsi="Arial"/>
          <w:b/>
          <w:bCs/>
          <w:color w:val="0C1930"/>
          <w:sz w:val="28"/>
          <w:szCs w:val="28"/>
        </w:rPr>
        <w:t xml:space="preserve">5. Duplicate / Near-Duplicate Pages to Consolidate</w:t>
      </w:r>
    </w:p>
    <w:p>
      <w:pPr>
        <w:spacing w:after="160"/>
      </w:pPr>
      <w:r>
        <w:rPr>
          <w:rFonts w:ascii="Arial" w:cs="Arial" w:eastAsia="Arial" w:hAnsi="Arial"/>
          <w:color w:val="1A1A1A"/>
          <w:sz w:val="22"/>
          <w:szCs w:val="22"/>
        </w:rPr>
        <w:t xml:space="preserve">There are several pairs of near-identical pages targeting the same keyword. These split link equity and create cannibalization risk. Recommended approach: pick the stronger URL, redirect the weaker one with a 301.</w:t>
      </w:r>
    </w:p>
    <w:p>
      <w:pPr>
        <w:pStyle w:val="ListParagraph"/>
        <w:numPr>
          <w:ilvl w:val="0"/>
          <w:numId w:val="2"/>
        </w:numPr>
        <w:spacing w:after="80"/>
      </w:pPr>
      <w:r>
        <w:rPr>
          <w:rFonts w:ascii="Arial" w:cs="Arial" w:eastAsia="Arial" w:hAnsi="Arial"/>
          <w:color w:val="1A1A1A"/>
          <w:sz w:val="22"/>
          <w:szCs w:val="22"/>
        </w:rPr>
        <w:t xml:space="preserve">183-day-rule-spain-tax-status.html  vs  183-day-rule-spain-tax.html</w:t>
      </w:r>
    </w:p>
    <w:p>
      <w:pPr>
        <w:pStyle w:val="ListParagraph"/>
        <w:numPr>
          <w:ilvl w:val="0"/>
          <w:numId w:val="2"/>
        </w:numPr>
        <w:spacing w:after="80"/>
      </w:pPr>
      <w:r>
        <w:rPr>
          <w:rFonts w:ascii="Arial" w:cs="Arial" w:eastAsia="Arial" w:hAnsi="Arial"/>
          <w:color w:val="1A1A1A"/>
          <w:sz w:val="22"/>
          <w:szCs w:val="22"/>
        </w:rPr>
        <w:t xml:space="preserve">how-much-health-insurance-cost-spain-nlv.html  vs  how-much-health-insurance-cost-spain-nlv-2026.html</w:t>
      </w:r>
    </w:p>
    <w:p>
      <w:pPr>
        <w:pStyle w:val="ListParagraph"/>
        <w:numPr>
          <w:ilvl w:val="0"/>
          <w:numId w:val="2"/>
        </w:numPr>
        <w:spacing w:after="80"/>
      </w:pPr>
      <w:r>
        <w:rPr>
          <w:rFonts w:ascii="Arial" w:cs="Arial" w:eastAsia="Arial" w:hAnsi="Arial"/>
          <w:color w:val="1A1A1A"/>
          <w:sz w:val="22"/>
          <w:szCs w:val="22"/>
        </w:rPr>
        <w:t xml:space="preserve">nlv-renewal-documents-2026.html  vs  nlv-renewal-documents-2026-checklist.html</w:t>
      </w:r>
    </w:p>
    <w:p>
      <w:pPr>
        <w:pStyle w:val="ListParagraph"/>
        <w:numPr>
          <w:ilvl w:val="0"/>
          <w:numId w:val="2"/>
        </w:numPr>
        <w:spacing w:after="80"/>
      </w:pPr>
      <w:r>
        <w:rPr>
          <w:rFonts w:ascii="Arial" w:cs="Arial" w:eastAsia="Arial" w:hAnsi="Arial"/>
          <w:color w:val="1A1A1A"/>
          <w:sz w:val="22"/>
          <w:szCs w:val="22"/>
        </w:rPr>
        <w:t xml:space="preserve">what-is-irpf-how-much-tax.html  vs  what-is-irpf-how-much-tax-spain.html</w:t>
      </w:r>
    </w:p>
    <w:p>
      <w:pPr>
        <w:pStyle w:val="ListParagraph"/>
        <w:numPr>
          <w:ilvl w:val="0"/>
          <w:numId w:val="2"/>
        </w:numPr>
        <w:spacing w:after="80"/>
      </w:pPr>
      <w:r>
        <w:rPr>
          <w:rFonts w:ascii="Arial" w:cs="Arial" w:eastAsia="Arial" w:hAnsi="Arial"/>
          <w:color w:val="1A1A1A"/>
          <w:sz w:val="22"/>
          <w:szCs w:val="22"/>
        </w:rPr>
        <w:t xml:space="preserve">empadronamiento-spain-padron.html  vs  empadronamiento-spain-how-to-register.html</w:t>
      </w:r>
    </w:p>
    <w:p>
      <w:pPr>
        <w:pStyle w:val="ListParagraph"/>
        <w:numPr>
          <w:ilvl w:val="0"/>
          <w:numId w:val="2"/>
        </w:numPr>
        <w:spacing w:after="80"/>
      </w:pPr>
      <w:r>
        <w:rPr>
          <w:rFonts w:ascii="Arial" w:cs="Arial" w:eastAsia="Arial" w:hAnsi="Arial"/>
          <w:color w:val="1A1A1A"/>
          <w:sz w:val="22"/>
          <w:szCs w:val="22"/>
        </w:rPr>
        <w:t xml:space="preserve">first-nlv-renewal-vs-second-renewal.html  vs  first-and-second-nlv-renewal-differences.html</w:t>
      </w:r>
    </w:p>
    <w:p>
      <w:pPr>
        <w:pStyle w:val="ListParagraph"/>
        <w:numPr>
          <w:ilvl w:val="0"/>
          <w:numId w:val="2"/>
        </w:numPr>
        <w:spacing w:after="80"/>
      </w:pPr>
      <w:r>
        <w:rPr>
          <w:rFonts w:ascii="Arial" w:cs="Arial" w:eastAsia="Arial" w:hAnsi="Arial"/>
          <w:color w:val="1A1A1A"/>
          <w:sz w:val="22"/>
          <w:szCs w:val="22"/>
        </w:rPr>
        <w:t xml:space="preserve">eu-long-term-resident-permit-spain.html  vs  eu-long-term-resident-permit-non-eu-nlv.html</w:t>
      </w:r>
    </w:p>
    <w:p>
      <w:pPr>
        <w:pStyle w:val="ListParagraph"/>
        <w:numPr>
          <w:ilvl w:val="0"/>
          <w:numId w:val="2"/>
        </w:numPr>
        <w:spacing w:after="80"/>
      </w:pPr>
      <w:r>
        <w:rPr>
          <w:rFonts w:ascii="Arial" w:cs="Arial" w:eastAsia="Arial" w:hAnsi="Arial"/>
          <w:color w:val="1A1A1A"/>
          <w:sz w:val="22"/>
          <w:szCs w:val="22"/>
        </w:rPr>
        <w:t xml:space="preserve">irish-citizens-nlv-rights-tax.html  vs  irish-citizens-living-in-spain-rights.html</w:t>
      </w:r>
    </w:p>
    <w:p>
      <w:pPr>
        <w:spacing w:after="240"/>
      </w:pPr>
    </w:p>
    <w:p>
      <w:pPr>
        <w:pStyle w:val="Heading2"/>
        <w:spacing w:after="160" w:before="240"/>
      </w:pPr>
      <w:r>
        <w:rPr>
          <w:rFonts w:ascii="Arial" w:cs="Arial" w:eastAsia="Arial" w:hAnsi="Arial"/>
          <w:b/>
          <w:bCs/>
          <w:color w:val="0C1930"/>
          <w:sz w:val="28"/>
          <w:szCs w:val="28"/>
        </w:rPr>
        <w:t xml:space="preserve">6. Submit to Google Search Console</w:t>
      </w:r>
    </w:p>
    <w:p>
      <w:pPr>
        <w:spacing w:after="160"/>
      </w:pPr>
      <w:r>
        <w:rPr>
          <w:rFonts w:ascii="Arial" w:cs="Arial" w:eastAsia="Arial" w:hAnsi="Arial"/>
          <w:color w:val="1A1A1A"/>
          <w:sz w:val="22"/>
          <w:szCs w:val="22"/>
        </w:rPr>
        <w:t xml:space="preserve">Once the above changes are in place, submit the updated sitemap.xml and request indexing for the highest-priority pages through GSC. Monitor:</w:t>
      </w:r>
    </w:p>
    <w:p>
      <w:pPr>
        <w:pStyle w:val="ListParagraph"/>
        <w:numPr>
          <w:ilvl w:val="0"/>
          <w:numId w:val="2"/>
        </w:numPr>
        <w:spacing w:after="80"/>
      </w:pPr>
      <w:r>
        <w:rPr>
          <w:rFonts w:ascii="Arial" w:cs="Arial" w:eastAsia="Arial" w:hAnsi="Arial"/>
          <w:color w:val="1A1A1A"/>
          <w:sz w:val="22"/>
          <w:szCs w:val="22"/>
        </w:rPr>
        <w:t xml:space="preserve">Impressions and CTR for 'non lucrative visa Spain renewal' and 'NLV income requirements'</w:t>
      </w:r>
    </w:p>
    <w:p>
      <w:pPr>
        <w:pStyle w:val="ListParagraph"/>
        <w:numPr>
          <w:ilvl w:val="0"/>
          <w:numId w:val="2"/>
        </w:numPr>
        <w:spacing w:after="80"/>
      </w:pPr>
      <w:r>
        <w:rPr>
          <w:rFonts w:ascii="Arial" w:cs="Arial" w:eastAsia="Arial" w:hAnsi="Arial"/>
          <w:color w:val="1A1A1A"/>
          <w:sz w:val="22"/>
          <w:szCs w:val="22"/>
        </w:rPr>
        <w:t xml:space="preserve">Core Web Vitals — confirm LCP &lt; 2.5s and CLS &lt; 0.1</w:t>
      </w:r>
    </w:p>
    <w:p>
      <w:pPr>
        <w:pStyle w:val="ListParagraph"/>
        <w:numPr>
          <w:ilvl w:val="0"/>
          <w:numId w:val="2"/>
        </w:numPr>
        <w:spacing w:after="80"/>
      </w:pPr>
      <w:r>
        <w:rPr>
          <w:rFonts w:ascii="Arial" w:cs="Arial" w:eastAsia="Arial" w:hAnsi="Arial"/>
          <w:color w:val="1A1A1A"/>
          <w:sz w:val="22"/>
          <w:szCs w:val="22"/>
        </w:rPr>
        <w:t xml:space="preserve">Coverage report — ensure no pages are excluded or redirected incorrectly</w:t>
      </w:r>
    </w:p>
    <w:p>
      <w:pPr>
        <w:spacing w:after="320"/>
      </w:pPr>
    </w:p>
    <w:p>
      <w:pPr>
        <w:pBdr>
          <w:bottom w:val="single" w:color="DDDDDD" w:sz="6"/>
        </w:pBdr>
        <w:spacing w:after="240" w:before="240"/>
      </w:pPr>
      <w:r>
        <w:t xml:space="preserve"/>
      </w:r>
    </w:p>
    <w:p>
      <w:pPr>
        <w:pStyle w:val="Heading1"/>
        <w:spacing w:after="160" w:before="400"/>
      </w:pPr>
      <w:r>
        <w:rPr>
          <w:rFonts w:ascii="Arial" w:cs="Arial" w:eastAsia="Arial" w:hAnsi="Arial"/>
          <w:b/>
          <w:bCs/>
          <w:color w:val="0C1930"/>
          <w:sz w:val="36"/>
          <w:szCs w:val="36"/>
        </w:rPr>
        <w:t xml:space="preserve">Keyword Map: Pages to Target</w:t>
      </w:r>
    </w:p>
    <w:p>
      <w:pPr>
        <w:spacing w:after="160"/>
      </w:pPr>
      <w:r>
        <w:rPr>
          <w:rFonts w:ascii="Arial" w:cs="Arial" w:eastAsia="Arial" w:hAnsi="Arial"/>
          <w:color w:val="1A1A1A"/>
          <w:sz w:val="22"/>
          <w:szCs w:val="22"/>
        </w:rPr>
        <w:t xml:space="preserve">Below are the top keyword opportunities from the master keyword list and the existing blog page best placed to rank for each.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r>
              <w:rPr>
                <w:rFonts w:ascii="Arial" w:cs="Arial" w:eastAsia="Arial" w:hAnsi="Arial"/>
                <w:b/>
                <w:bCs/>
                <w:color w:val="FFFFFF"/>
                <w:sz w:val="18"/>
                <w:szCs w:val="18"/>
              </w:rPr>
              <w:t xml:space="preserve">Target Keyword</w:t>
            </w:r>
          </w:p>
        </w:tc>
        <w:tc>
          <w:tcPr>
            <w:tcW w:type="dxa" w:w="456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r>
              <w:rPr>
                <w:rFonts w:ascii="Arial" w:cs="Arial" w:eastAsia="Arial" w:hAnsi="Arial"/>
                <w:b/>
                <w:bCs/>
                <w:color w:val="FFFFFF"/>
                <w:sz w:val="18"/>
                <w:szCs w:val="18"/>
              </w:rPr>
              <w:t xml:space="preserve">Best-placed page</w:t>
            </w:r>
          </w:p>
        </w:tc>
        <w:tc>
          <w:tcPr>
            <w:tcW w:type="dxa" w:w="1600"/>
            <w:tcBorders>
              <w:top w:val="single" w:color="0C1930" w:sz="1"/>
              <w:left w:val="single" w:color="0C1930" w:sz="1"/>
              <w:bottom w:val="single" w:color="0C1930" w:sz="1"/>
              <w:right w:val="single" w:color="0C1930" w:sz="1"/>
            </w:tcBorders>
            <w:shd w:fill="0C1930"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Priority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non lucrative visa Spain renewal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3A5C"/>
                <w:sz w:val="18"/>
                <w:szCs w:val="18"/>
              </w:rPr>
              <w:t xml:space="preserve">nlv-renewal-documents-2026-checklist</w:t>
            </w:r>
          </w:p>
        </w:tc>
        <w:tc>
          <w:tcPr>
            <w:tcW w:type="dxa" w:w="16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b w:val="false"/>
                <w:bCs w:val="false"/>
                <w:color w:val="1A1A1A"/>
                <w:sz w:val="18"/>
                <w:szCs w:val="18"/>
              </w:rPr>
              <w:t xml:space="preserve">NLV income requirements 2026</w:t>
            </w:r>
          </w:p>
        </w:tc>
        <w:tc>
          <w:tcPr>
            <w:tcW w:type="dxa" w:w="45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3A5C"/>
                <w:sz w:val="18"/>
                <w:szCs w:val="18"/>
              </w:rPr>
              <w:t xml:space="preserve">nlv-renewal-income-requirements-2026</w:t>
            </w:r>
          </w:p>
        </w:tc>
        <w:tc>
          <w:tcPr>
            <w:tcW w:type="dxa" w:w="16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health insurance Spain NLV</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3A5C"/>
                <w:sz w:val="18"/>
                <w:szCs w:val="18"/>
              </w:rPr>
              <w:t xml:space="preserve">health-insurance-spain-nlv-consulate-requirements</w:t>
            </w:r>
          </w:p>
        </w:tc>
        <w:tc>
          <w:tcPr>
            <w:tcW w:type="dxa" w:w="16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b w:val="false"/>
                <w:bCs w:val="false"/>
                <w:color w:val="1A1A1A"/>
                <w:sz w:val="18"/>
                <w:szCs w:val="18"/>
              </w:rPr>
              <w:t xml:space="preserve">Spain NLV rejected / refused</w:t>
            </w:r>
          </w:p>
        </w:tc>
        <w:tc>
          <w:tcPr>
            <w:tcW w:type="dxa" w:w="45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3A5C"/>
                <w:sz w:val="18"/>
                <w:szCs w:val="18"/>
              </w:rPr>
              <w:t xml:space="preserve">spain-nlv-rejected-what-to-do</w:t>
            </w:r>
          </w:p>
        </w:tc>
        <w:tc>
          <w:tcPr>
            <w:tcW w:type="dxa" w:w="1600"/>
            <w:tcBorders>
              <w:top w:val="single" w:color="DDDDDD" w:sz="1"/>
              <w:left w:val="single" w:color="DDDDDD" w:sz="1"/>
              <w:bottom w:val="single" w:color="DDDDDD" w:sz="1"/>
              <w:right w:val="single" w:color="DDDDDD" w:sz="1"/>
            </w:tcBorders>
            <w:shd w:fill="BE0011"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HIGH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Spain 183-day tax rule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3A5C"/>
                <w:sz w:val="18"/>
                <w:szCs w:val="18"/>
              </w:rPr>
              <w:t xml:space="preserve">183-day-rule-spain-tax-status</w:t>
            </w:r>
          </w:p>
        </w:tc>
        <w:tc>
          <w:tcPr>
            <w:tcW w:type="dxa" w:w="1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b w:val="false"/>
                <w:bCs w:val="false"/>
                <w:color w:val="1A1A1A"/>
                <w:sz w:val="18"/>
                <w:szCs w:val="18"/>
              </w:rPr>
              <w:t xml:space="preserve">capital gains tax Spain expats</w:t>
            </w:r>
          </w:p>
        </w:tc>
        <w:tc>
          <w:tcPr>
            <w:tcW w:type="dxa" w:w="45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3A5C"/>
                <w:sz w:val="18"/>
                <w:szCs w:val="18"/>
              </w:rPr>
              <w:t xml:space="preserve">capital-gains-tax-spain-expats</w:t>
            </w:r>
          </w:p>
        </w:tc>
        <w:tc>
          <w:tcPr>
            <w:tcW w:type="dxa" w:w="1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Spain wealth tax NLV</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3A5C"/>
                <w:sz w:val="18"/>
                <w:szCs w:val="18"/>
              </w:rPr>
              <w:t xml:space="preserve">wealth-tax-spain-nlv-holders</w:t>
            </w:r>
          </w:p>
        </w:tc>
        <w:tc>
          <w:tcPr>
            <w:tcW w:type="dxa" w:w="1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b w:val="false"/>
                <w:bCs w:val="false"/>
                <w:color w:val="1A1A1A"/>
                <w:sz w:val="18"/>
                <w:szCs w:val="18"/>
              </w:rPr>
              <w:t xml:space="preserve">Modelo 720 Spain NLV</w:t>
            </w:r>
          </w:p>
        </w:tc>
        <w:tc>
          <w:tcPr>
            <w:tcW w:type="dxa" w:w="45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3A5C"/>
                <w:sz w:val="18"/>
                <w:szCs w:val="18"/>
              </w:rPr>
              <w:t xml:space="preserve">modelo-720-nlv-holders-overseas-assets</w:t>
            </w:r>
          </w:p>
        </w:tc>
        <w:tc>
          <w:tcPr>
            <w:tcW w:type="dxa" w:w="1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18"/>
                <w:szCs w:val="18"/>
              </w:rPr>
              <w:t xml:space="preserve">moving UK to Spain tax residency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3A5C"/>
                <w:sz w:val="18"/>
                <w:szCs w:val="18"/>
              </w:rPr>
              <w:t xml:space="preserve">moving-uk-to-spain-tax-residency</w:t>
            </w:r>
          </w:p>
        </w:tc>
        <w:tc>
          <w:tcPr>
            <w:tcW w:type="dxa" w:w="1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MED</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b w:val="false"/>
                <w:bCs w:val="false"/>
                <w:color w:val="1A1A1A"/>
                <w:sz w:val="18"/>
                <w:szCs w:val="18"/>
              </w:rPr>
              <w:t xml:space="preserve">gestor Spain NLV</w:t>
            </w:r>
          </w:p>
        </w:tc>
        <w:tc>
          <w:tcPr>
            <w:tcW w:type="dxa" w:w="45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3A5C"/>
                <w:sz w:val="18"/>
                <w:szCs w:val="18"/>
              </w:rPr>
              <w:t xml:space="preserve">what-is-gestor-do-you-need-one</w:t>
            </w:r>
          </w:p>
        </w:tc>
        <w:tc>
          <w:tcPr>
            <w:tcW w:type="dxa" w:w="1600"/>
            <w:tcBorders>
              <w:top w:val="single" w:color="DDDDDD" w:sz="1"/>
              <w:left w:val="single" w:color="DDDDDD" w:sz="1"/>
              <w:bottom w:val="single" w:color="DDDDDD" w:sz="1"/>
              <w:right w:val="single" w:color="DDDDDD" w:sz="1"/>
            </w:tcBorders>
            <w:shd w:fill="27AE6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LOW</w:t>
            </w:r>
          </w:p>
        </w:tc>
      </w:tr>
    </w:tbl>
    <w:p>
      <w:pPr>
        <w:spacing w:after="320"/>
      </w:pPr>
    </w:p>
    <w:p>
      <w:pPr>
        <w:pBdr>
          <w:bottom w:val="single" w:color="DDDDDD" w:sz="6"/>
        </w:pBdr>
        <w:spacing w:after="240" w:before="240"/>
      </w:pPr>
      <w:r>
        <w:t xml:space="preserve"/>
      </w:r>
    </w:p>
    <w:p>
      <w:pPr>
        <w:pStyle w:val="Heading1"/>
        <w:spacing w:after="160" w:before="400"/>
      </w:pPr>
      <w:r>
        <w:rPr>
          <w:rFonts w:ascii="Arial" w:cs="Arial" w:eastAsia="Arial" w:hAnsi="Arial"/>
          <w:b/>
          <w:bCs/>
          <w:color w:val="0C1930"/>
          <w:sz w:val="36"/>
          <w:szCs w:val="36"/>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Total blog pages processed</w:t>
            </w:r>
          </w:p>
        </w:tc>
        <w:tc>
          <w:tcPr>
            <w:tcW w:type="dxa" w:w="2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236</w:t>
            </w:r>
          </w:p>
        </w:tc>
      </w:tr>
      <w:tr>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Pages with layout/structure issues — now fixed</w:t>
            </w:r>
          </w:p>
        </w:tc>
        <w:tc>
          <w:tcPr>
            <w:tcW w:type="dxa" w:w="2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236 ✓</w:t>
            </w:r>
          </w:p>
        </w:tc>
      </w:tr>
      <w:tr>
        <w:tc>
          <w:tcPr>
            <w:tcW w:type="dxa" w:w="71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Title tags now within 65-char limit</w:t>
            </w:r>
          </w:p>
        </w:tc>
        <w:tc>
          <w:tcPr>
            <w:tcW w:type="dxa" w:w="2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236 ✓</w:t>
            </w:r>
          </w:p>
        </w:tc>
      </w:tr>
      <w:tr>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Pages with real meta descriptions</w:t>
            </w:r>
          </w:p>
        </w:tc>
        <w:tc>
          <w:tcPr>
            <w:tcW w:type="dxa" w:w="2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236 ✓</w:t>
            </w:r>
          </w:p>
        </w:tc>
      </w:tr>
      <w:tr>
        <w:tc>
          <w:tcPr>
            <w:tcW w:type="dxa" w:w="71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Pages with filler content removed (need rewrite)</w:t>
            </w:r>
          </w:p>
        </w:tc>
        <w:tc>
          <w:tcPr>
            <w:tcW w:type="dxa" w:w="22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22 ⚠</w:t>
            </w:r>
          </w:p>
        </w:tc>
      </w:tr>
      <w:tr>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Near-duplicate pairs to consolidate (301 redirect)</w:t>
            </w:r>
          </w:p>
        </w:tc>
        <w:tc>
          <w:tcPr>
            <w:tcW w:type="dxa" w:w="22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tcPr>
          <w:p>
            <w:pPr>
              <w:jc w:val="center"/>
            </w:pPr>
            <w:r>
              <w:rPr>
                <w:rFonts w:ascii="Arial" w:cs="Arial" w:eastAsia="Arial" w:hAnsi="Arial"/>
                <w:b/>
                <w:bCs/>
                <w:color w:val="1A1A1A"/>
                <w:sz w:val="20"/>
                <w:szCs w:val="20"/>
              </w:rPr>
              <w:t xml:space="preserve">8 ⚠</w:t>
            </w:r>
          </w:p>
        </w:tc>
      </w:tr>
    </w:tbl>
    <w:p>
      <w:pPr>
        <w:spacing w:after="4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jc w:val="center"/>
    </w:pPr>
    <w:r>
      <w:rPr>
        <w:rFonts w:ascii="Arial" w:cs="Arial" w:eastAsia="Arial" w:hAnsi="Arial"/>
        <w:color w:val="888888"/>
        <w:sz w:val="16"/>
        <w:szCs w:val="16"/>
      </w:rPr>
      <w:t xml:space="preserve">Powered by Platinum Legal Spain • myspanishnlv.com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0011" w:sz="4"/>
      </w:pBdr>
      <w:spacing w:after="0"/>
    </w:pPr>
    <w:r>
      <w:rPr>
        <w:rFonts w:ascii="Arial" w:cs="Arial" w:eastAsia="Arial" w:hAnsi="Arial"/>
        <w:color w:val="1A3A5C"/>
        <w:sz w:val="18"/>
        <w:szCs w:val="18"/>
      </w:rPr>
      <w:t xml:space="preserve">My Spanish NLV — Blog SEO Audit Report</w:t>
    </w:r>
    <w:r>
      <w:rPr>
        <w:rFonts w:ascii="Arial" w:cs="Arial" w:eastAsia="Arial" w:hAnsi="Arial"/>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193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C193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2026-04-27T07:17:08.547Z</dcterms:created>
  <dcterms:modified xsi:type="dcterms:W3CDTF">2026-04-27T07:17:08.547Z</dcterms:modified>
</cp:coreProperties>
</file>

<file path=docProps/custom.xml><?xml version="1.0" encoding="utf-8"?>
<Properties xmlns="http://schemas.openxmlformats.org/officeDocument/2006/custom-properties" xmlns:vt="http://schemas.openxmlformats.org/officeDocument/2006/docPropsVTypes"/>
</file>