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Digital Nomad Visa Spain vs Portugal: Which Is Better for Remote Workers?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/blog/digital-nomad-visa-spain-vs-portugal</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Digital Nomad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Digital Nomad Visa Spain vs Portugal 2026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or Portugal for remote work? Compare the Digital Nomad Visas side by side — income requirements, tax, cost of living, and lifestyle. 2026 comparison.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Digital Nomad Visa Spain vs Portugal: Which Is Better?</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Both countries offer DNVs for remote workers. Here’s how they compare on tax, cost, lifestyle, and visa terms.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digital nomad visa Spain vs Portugal</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"Digital Nomad Visa Spain vs Portugal: Which Is Better for Remote Workers?",</w:t>
      </w:r>
    </w:p>
    <w:p>
      <w:pPr>
        <w:spacing w:after="0"/>
      </w:pPr>
      <w:r>
        <w:rPr>
          <w:rFonts w:ascii="Courier New" w:cs="Courier New" w:eastAsia="Courier New" w:hAnsi="Courier New"/>
          <w:color w:val="555555"/>
          <w:sz w:val="16"/>
          <w:szCs w:val="16"/>
        </w:rPr>
        <w:t xml:space="preserve">  "slug": "/blog/digital-nomad-visa-spain-vs-portugal",</w:t>
      </w:r>
    </w:p>
    <w:p>
      <w:pPr>
        <w:spacing w:after="0"/>
      </w:pPr>
      <w:r>
        <w:rPr>
          <w:rFonts w:ascii="Courier New" w:cs="Courier New" w:eastAsia="Courier New" w:hAnsi="Courier New"/>
          <w:color w:val="555555"/>
          <w:sz w:val="16"/>
          <w:szCs w:val="16"/>
        </w:rPr>
        <w:t xml:space="preserve">  "parent": "Digital Nomad Visa Spain",</w:t>
      </w:r>
    </w:p>
    <w:p>
      <w:pPr>
        <w:spacing w:after="0"/>
      </w:pPr>
      <w:r>
        <w:rPr>
          <w:rFonts w:ascii="Courier New" w:cs="Courier New" w:eastAsia="Courier New" w:hAnsi="Courier New"/>
          <w:color w:val="555555"/>
          <w:sz w:val="16"/>
          <w:szCs w:val="16"/>
        </w:rPr>
        <w:t xml:space="preserve">  "meta_title": "Digital Nomad Visa Spain vs Portugal 2026 | My Spanish Visa",</w:t>
      </w:r>
    </w:p>
    <w:p>
      <w:pPr>
        <w:spacing w:after="0"/>
      </w:pPr>
      <w:r>
        <w:rPr>
          <w:rFonts w:ascii="Courier New" w:cs="Courier New" w:eastAsia="Courier New" w:hAnsi="Courier New"/>
          <w:color w:val="555555"/>
          <w:sz w:val="16"/>
          <w:szCs w:val="16"/>
        </w:rPr>
        <w:t xml:space="preserve">  "meta_description": "Spain or Portugal for remote work? Compare the Digital Nomad Visas side by side — income requirements, tax, cost of living, and lifestyle. 2026 comparison.",</w:t>
      </w:r>
    </w:p>
    <w:p>
      <w:pPr>
        <w:spacing w:after="0"/>
      </w:pPr>
      <w:r>
        <w:rPr>
          <w:rFonts w:ascii="Courier New" w:cs="Courier New" w:eastAsia="Courier New" w:hAnsi="Courier New"/>
          <w:color w:val="555555"/>
          <w:sz w:val="16"/>
          <w:szCs w:val="16"/>
        </w:rPr>
        <w:t xml:space="preserve">  "social_title": "Digital Nomad Visa Spain vs Portugal: Which Is Better?",</w:t>
      </w:r>
    </w:p>
    <w:p>
      <w:pPr>
        <w:spacing w:after="0"/>
      </w:pPr>
      <w:r>
        <w:rPr>
          <w:rFonts w:ascii="Courier New" w:cs="Courier New" w:eastAsia="Courier New" w:hAnsi="Courier New"/>
          <w:color w:val="555555"/>
          <w:sz w:val="16"/>
          <w:szCs w:val="16"/>
        </w:rPr>
        <w:t xml:space="preserve">  "social_description": "Both countries offer DNVs for remote workers. Here’s how they compare on tax, cost, lifestyle, and visa terms.",</w:t>
      </w:r>
    </w:p>
    <w:p>
      <w:pPr>
        <w:spacing w:after="0"/>
      </w:pPr>
      <w:r>
        <w:rPr>
          <w:rFonts w:ascii="Courier New" w:cs="Courier New" w:eastAsia="Courier New" w:hAnsi="Courier New"/>
          <w:color w:val="555555"/>
          <w:sz w:val="16"/>
          <w:szCs w:val="16"/>
        </w:rPr>
        <w:t xml:space="preserve">  "focus_keyphrase": "digital nomad visa Spain vs Portugal"</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Digital Nomad Visa Spain vs Portugal: Which Is Better for Remote Workers?</w:t>
      </w:r>
    </w:p>
    <w:p>
      <w:pPr>
        <w:spacing w:after="200"/>
      </w:pPr>
      <w:r>
        <w:rPr>
          <w:rFonts w:ascii="Arial" w:cs="Arial" w:eastAsia="Arial" w:hAnsi="Arial"/>
          <w:color w:val="333333"/>
          <w:sz w:val="22"/>
          <w:szCs w:val="22"/>
        </w:rPr>
        <w:t xml:space="preserve">Spain and Portugal are the two most popular European destinations for digital nomads, and both now offer dedicated visas for remote workers. If you’re deciding between them, this comparison covers the key differences in visa terms, tax, cost of living, and lifestyle.</w:t>
      </w:r>
    </w:p>
    <w:p>
      <w:pPr>
        <w:pStyle w:val="Heading2"/>
        <w:spacing w:after="160" w:before="360"/>
      </w:pPr>
      <w:r>
        <w:rPr>
          <w:rFonts w:ascii="Arial" w:cs="Arial" w:eastAsia="Arial" w:hAnsi="Arial"/>
          <w:b/>
          <w:bCs/>
          <w:color w:val="1B365D"/>
          <w:sz w:val="28"/>
          <w:szCs w:val="28"/>
        </w:rPr>
        <w:t xml:space="preserve">Visa Requirements Compared</w:t>
      </w:r>
    </w:p>
    <w:p>
      <w:pPr>
        <w:spacing w:after="200"/>
      </w:pPr>
      <w:r>
        <w:rPr>
          <w:rFonts w:ascii="Arial" w:cs="Arial" w:eastAsia="Arial" w:hAnsi="Arial"/>
          <w:color w:val="333333"/>
          <w:sz w:val="22"/>
          <w:szCs w:val="22"/>
        </w:rPr>
        <w:t xml:space="preserve">Spain’s DNV requires income of approximately €2,520/month (200% of the minimum wage). Portugal’s Digital Nomad Visa (D8 visa) requires income of approximately four times the Portuguese minimum wage, roughly €3,040/month. Portugal’s threshold is slightly higher.</w:t>
      </w:r>
    </w:p>
    <w:p>
      <w:pPr>
        <w:spacing w:after="200"/>
      </w:pPr>
      <w:r>
        <w:rPr>
          <w:rFonts w:ascii="Arial" w:cs="Arial" w:eastAsia="Arial" w:hAnsi="Arial"/>
          <w:color w:val="333333"/>
          <w:sz w:val="22"/>
          <w:szCs w:val="22"/>
        </w:rPr>
        <w:t xml:space="preserve">Both visas require proof of remote employment or freelance work for non-domestic clients, health insurance, and a clean criminal record.</w:t>
      </w:r>
    </w:p>
    <w:p>
      <w:pPr>
        <w:pStyle w:val="Heading2"/>
        <w:spacing w:after="160" w:before="360"/>
      </w:pPr>
      <w:r>
        <w:rPr>
          <w:rFonts w:ascii="Arial" w:cs="Arial" w:eastAsia="Arial" w:hAnsi="Arial"/>
          <w:b/>
          <w:bCs/>
          <w:color w:val="1B365D"/>
          <w:sz w:val="28"/>
          <w:szCs w:val="28"/>
        </w:rPr>
        <w:t xml:space="preserve">Tax Treatment</w:t>
      </w:r>
    </w:p>
    <w:p>
      <w:pPr>
        <w:spacing w:after="200"/>
      </w:pPr>
      <w:r>
        <w:rPr>
          <w:rFonts w:ascii="Arial" w:cs="Arial" w:eastAsia="Arial" w:hAnsi="Arial"/>
          <w:color w:val="333333"/>
          <w:sz w:val="22"/>
          <w:szCs w:val="22"/>
        </w:rPr>
        <w:t xml:space="preserve">Spain offers access to the Beckham Law through the DNV — a flat 24% tax on Spanish-source income for up to six years. This is one of the most competitive tax regimes in Europe for employed remote workers.</w:t>
      </w:r>
    </w:p>
    <w:p>
      <w:pPr>
        <w:spacing w:after="200"/>
      </w:pPr>
      <w:r>
        <w:rPr>
          <w:rFonts w:ascii="Arial" w:cs="Arial" w:eastAsia="Arial" w:hAnsi="Arial"/>
          <w:color w:val="333333"/>
          <w:sz w:val="22"/>
          <w:szCs w:val="22"/>
        </w:rPr>
        <w:t xml:space="preserve">Portugal’s Non-Habitual Resident (NHR) scheme has been reformed and is no longer as generous as it once was. The replacement regime has different conditions. For most remote workers, Spain’s Beckham Law currently offers a more straightforward tax advantage.</w:t>
      </w:r>
    </w:p>
    <w:p>
      <w:pPr>
        <w:pStyle w:val="Heading2"/>
        <w:spacing w:after="160" w:before="360"/>
      </w:pPr>
      <w:r>
        <w:rPr>
          <w:rFonts w:ascii="Arial" w:cs="Arial" w:eastAsia="Arial" w:hAnsi="Arial"/>
          <w:b/>
          <w:bCs/>
          <w:color w:val="1B365D"/>
          <w:sz w:val="28"/>
          <w:szCs w:val="28"/>
        </w:rPr>
        <w:t xml:space="preserve">Cost of Living</w:t>
      </w:r>
    </w:p>
    <w:p>
      <w:pPr>
        <w:spacing w:after="200"/>
      </w:pPr>
      <w:r>
        <w:rPr>
          <w:rFonts w:ascii="Arial" w:cs="Arial" w:eastAsia="Arial" w:hAnsi="Arial"/>
          <w:color w:val="333333"/>
          <w:sz w:val="22"/>
          <w:szCs w:val="22"/>
        </w:rPr>
        <w:t xml:space="preserve">Both countries offer excellent value by Western European standards. Portugal (especially Lisbon) has seen significant cost increases in recent years. Spain offers more geographic diversity — you can choose from major cities, coastal towns, and islands, each with different cost profiles.</w:t>
      </w:r>
    </w:p>
    <w:p>
      <w:pPr>
        <w:spacing w:after="200"/>
      </w:pPr>
      <w:r>
        <w:rPr>
          <w:rFonts w:ascii="Arial" w:cs="Arial" w:eastAsia="Arial" w:hAnsi="Arial"/>
          <w:color w:val="333333"/>
          <w:sz w:val="22"/>
          <w:szCs w:val="22"/>
        </w:rPr>
        <w:t xml:space="preserve">On average, Spain’s second-tier cities (Valencia, Malaga, Seville) offer lower costs than Lisbon or Porto, while providing comparable or better infrastructure and amenities.</w:t>
      </w:r>
    </w:p>
    <w:p>
      <w:pPr>
        <w:pStyle w:val="Heading2"/>
        <w:spacing w:after="160" w:before="360"/>
      </w:pPr>
      <w:r>
        <w:rPr>
          <w:rFonts w:ascii="Arial" w:cs="Arial" w:eastAsia="Arial" w:hAnsi="Arial"/>
          <w:b/>
          <w:bCs/>
          <w:color w:val="1B365D"/>
          <w:sz w:val="28"/>
          <w:szCs w:val="28"/>
        </w:rPr>
        <w:t xml:space="preserve">Lifestyle and Community</w:t>
      </w:r>
    </w:p>
    <w:p>
      <w:pPr>
        <w:spacing w:after="200"/>
      </w:pPr>
      <w:r>
        <w:rPr>
          <w:rFonts w:ascii="Arial" w:cs="Arial" w:eastAsia="Arial" w:hAnsi="Arial"/>
          <w:color w:val="333333"/>
          <w:sz w:val="22"/>
          <w:szCs w:val="22"/>
        </w:rPr>
        <w:t xml:space="preserve">Both countries have strong digital nomad communities. Spain offers more variety in terms of cities, climates, and cultural experiences. Portugal has a strong English-speaking expat community, particularly in Lisbon and the Algarve.</w:t>
      </w:r>
    </w:p>
    <w:p>
      <w:pPr>
        <w:spacing w:after="200"/>
      </w:pPr>
      <w:r>
        <w:rPr>
          <w:rFonts w:ascii="Arial" w:cs="Arial" w:eastAsia="Arial" w:hAnsi="Arial"/>
          <w:color w:val="333333"/>
          <w:sz w:val="22"/>
          <w:szCs w:val="22"/>
        </w:rPr>
        <w:t xml:space="preserve">Spain’s coworking scene is larger and more established, especially in Barcelona, Valencia, and Madrid. Portugal’s scene is concentrated in Lisbon and increasingly in Madeira.</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Decided on Spain?</w:t>
      </w:r>
    </w:p>
    <w:p>
      <w:pPr>
        <w:pBdr>
          <w:left w:val="single" w:color="E8833A" w:sz="12" w:space="8"/>
        </w:pBdr>
        <w:shd w:fill="F0F7FF" w:val="clear"/>
        <w:spacing w:after="100"/>
        <w:ind w:left="200"/>
      </w:pPr>
      <w:r>
        <w:rPr>
          <w:rFonts w:ascii="Arial" w:cs="Arial" w:eastAsia="Arial" w:hAnsi="Arial"/>
          <w:color w:val="444444"/>
          <w:sz w:val="22"/>
          <w:szCs w:val="22"/>
        </w:rPr>
        <w:t xml:space="preserve">Check if you qualify for Spain’s Digital Nomad Visa in minutes.</w:t>
      </w:r>
    </w:p>
    <w:p>
      <w:pPr>
        <w:pBdr>
          <w:left w:val="single" w:color="E8833A" w:sz="12" w:space="8"/>
        </w:pBdr>
        <w:shd w:fill="F0F7FF" w:val="clear"/>
        <w:spacing w:after="300"/>
        <w:ind w:left="200"/>
      </w:pPr>
      <w:r>
        <w:rPr>
          <w:rFonts w:ascii="Arial" w:cs="Arial" w:eastAsia="Arial" w:hAnsi="Arial"/>
          <w:b/>
          <w:bCs/>
          <w:color w:val="E8833A"/>
          <w:sz w:val="22"/>
          <w:szCs w:val="22"/>
        </w:rPr>
        <w:t xml:space="preserve">[Check Your Eligibility →]</w:t>
      </w:r>
    </w:p>
    <w:p>
      <w:pPr>
        <w:pStyle w:val="Heading2"/>
        <w:spacing w:after="160" w:before="360"/>
      </w:pPr>
      <w:r>
        <w:rPr>
          <w:rFonts w:ascii="Arial" w:cs="Arial" w:eastAsia="Arial" w:hAnsi="Arial"/>
          <w:b/>
          <w:bCs/>
          <w:color w:val="1B365D"/>
          <w:sz w:val="28"/>
          <w:szCs w:val="28"/>
        </w:rPr>
        <w:t xml:space="preserve">Quick Comparison</w:t>
      </w:r>
    </w:p>
    <w:p>
      <w:pPr>
        <w:spacing w:after="200"/>
      </w:pPr>
      <w:r>
        <w:rPr>
          <w:rFonts w:ascii="Arial" w:cs="Arial" w:eastAsia="Arial" w:hAnsi="Arial"/>
          <w:color w:val="333333"/>
          <w:sz w:val="22"/>
          <w:szCs w:val="22"/>
        </w:rPr>
        <w:t xml:space="preserve">Income threshold: Spain ~€2,520/mo | Portugal ~€3,040/mo</w:t>
      </w:r>
    </w:p>
    <w:p>
      <w:pPr>
        <w:spacing w:after="200"/>
      </w:pPr>
      <w:r>
        <w:rPr>
          <w:rFonts w:ascii="Arial" w:cs="Arial" w:eastAsia="Arial" w:hAnsi="Arial"/>
          <w:color w:val="333333"/>
          <w:sz w:val="22"/>
          <w:szCs w:val="22"/>
        </w:rPr>
        <w:t xml:space="preserve">Tax advantage: Spain — Beckham Law (24% flat) | Portugal — Reformed NHR (varies)</w:t>
      </w:r>
    </w:p>
    <w:p>
      <w:pPr>
        <w:spacing w:after="200"/>
      </w:pPr>
      <w:r>
        <w:rPr>
          <w:rFonts w:ascii="Arial" w:cs="Arial" w:eastAsia="Arial" w:hAnsi="Arial"/>
          <w:color w:val="333333"/>
          <w:sz w:val="22"/>
          <w:szCs w:val="22"/>
        </w:rPr>
        <w:t xml:space="preserve">Cost of living: Spain — Lower in secondary cities | Portugal — Rising in Lisbon/Porto</w:t>
      </w:r>
    </w:p>
    <w:p>
      <w:pPr>
        <w:spacing w:after="200"/>
      </w:pPr>
      <w:r>
        <w:rPr>
          <w:rFonts w:ascii="Arial" w:cs="Arial" w:eastAsia="Arial" w:hAnsi="Arial"/>
          <w:color w:val="333333"/>
          <w:sz w:val="22"/>
          <w:szCs w:val="22"/>
        </w:rPr>
        <w:t xml:space="preserve">Coworking scene: Spain — Larger and more diverse | Portugal — Concentrated in Lisbon</w:t>
      </w:r>
    </w:p>
    <w:p>
      <w:pPr>
        <w:spacing w:after="200"/>
      </w:pPr>
      <w:r>
        <w:rPr>
          <w:rFonts w:ascii="Arial" w:cs="Arial" w:eastAsia="Arial" w:hAnsi="Arial"/>
          <w:color w:val="333333"/>
          <w:sz w:val="22"/>
          <w:szCs w:val="22"/>
        </w:rPr>
        <w:t xml:space="preserve">Climate variety: Spain — More diverse (continental, Mediterranean, subtropical) | Portugal — Mild Atlantic/Mediterranean</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I hold residency in both countries?</w:t>
      </w:r>
    </w:p>
    <w:p>
      <w:pPr>
        <w:spacing w:after="200"/>
      </w:pPr>
      <w:r>
        <w:rPr>
          <w:rFonts w:ascii="Arial" w:cs="Arial" w:eastAsia="Arial" w:hAnsi="Arial"/>
          <w:color w:val="444444"/>
          <w:sz w:val="22"/>
          <w:szCs w:val="22"/>
        </w:rPr>
        <w:t xml:space="preserve">No. You can only be tax resident in one country. You would need to choose one as your primary residence.</w:t>
      </w:r>
    </w:p>
    <w:p>
      <w:pPr>
        <w:spacing w:after="80" w:before="200"/>
      </w:pPr>
      <w:r>
        <w:rPr>
          <w:rFonts w:ascii="Arial" w:cs="Arial" w:eastAsia="Arial" w:hAnsi="Arial"/>
          <w:b/>
          <w:bCs/>
          <w:color w:val="1B365D"/>
          <w:sz w:val="22"/>
          <w:szCs w:val="22"/>
        </w:rPr>
        <w:t xml:space="preserve">Which country has faster visa processing?</w:t>
      </w:r>
    </w:p>
    <w:p>
      <w:pPr>
        <w:spacing w:after="200"/>
      </w:pPr>
      <w:r>
        <w:rPr>
          <w:rFonts w:ascii="Arial" w:cs="Arial" w:eastAsia="Arial" w:hAnsi="Arial"/>
          <w:color w:val="444444"/>
          <w:sz w:val="22"/>
          <w:szCs w:val="22"/>
        </w:rPr>
        <w:t xml:space="preserve">Spain’s DNV processing is generally faster (4–8 weeks) compared to Portugal’s D8 visa process, which has been slower due to demand.</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/digital-nomad-visa-spain — Digital Nomad Visa Spain: Complete Guide</w:t>
      </w:r>
    </w:p>
    <w:p>
      <w:pPr>
        <w:spacing w:after="60"/>
      </w:pPr>
      <w:r>
        <w:rPr>
          <w:rFonts w:ascii="Arial" w:cs="Arial" w:eastAsia="Arial" w:hAnsi="Arial"/>
          <w:color w:val="E8833A"/>
          <w:sz w:val="18"/>
          <w:szCs w:val="18"/>
        </w:rPr>
        <w:t xml:space="preserve">→ /blog/spain-vs-portugal-expats-comparison — Spain vs Portugal for Expats</w:t>
      </w:r>
    </w:p>
    <w:p>
      <w:pPr>
        <w:spacing w:after="60"/>
      </w:pPr>
      <w:r>
        <w:rPr>
          <w:rFonts w:ascii="Arial" w:cs="Arial" w:eastAsia="Arial" w:hAnsi="Arial"/>
          <w:color w:val="E8833A"/>
          <w:sz w:val="18"/>
          <w:szCs w:val="18"/>
        </w:rPr>
        <w:t xml:space="preserve">→ /blog/beckham-law-digital-nomad-visa-spain — Beckham Law and the DNV</w:t>
      </w:r>
    </w:p>
    <w:p>
      <w:pPr>
        <w:spacing w:after="60"/>
      </w:pPr>
      <w:r>
        <w:rPr>
          <w:rFonts w:ascii="Arial" w:cs="Arial" w:eastAsia="Arial" w:hAnsi="Arial"/>
          <w:color w:val="E8833A"/>
          <w:sz w:val="18"/>
          <w:szCs w:val="18"/>
        </w:rPr>
        <w:t xml:space="preserve">→ /blog/best-cities-spain-digital-nomads-2026 — Best Cities for Digital Nomads</w:t>
      </w:r>
    </w:p>
    <w:p>
      <w:pPr>
        <w:spacing w:after="60"/>
      </w:pPr>
      <w:r>
        <w:rPr>
          <w:rFonts w:ascii="Arial" w:cs="Arial" w:eastAsia="Arial" w:hAnsi="Arial"/>
          <w:color w:val="E8833A"/>
          <w:sz w:val="18"/>
          <w:szCs w:val="18"/>
        </w:rPr>
        <w:t xml:space="preserve">→ /blog/cost-of-living-spain-expats-2026 — Cost of Living in Spain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2026-04-11T14:06:11.952Z</dcterms:created>
  <dcterms:modified xsi:type="dcterms:W3CDTF">2026-04-11T14:06:11.952Z</dcterms:modified>
</cp:coreProperties>
</file>

<file path=docProps/custom.xml><?xml version="1.0" encoding="utf-8"?>
<Properties xmlns="http://schemas.openxmlformats.org/officeDocument/2006/custom-properties" xmlns:vt="http://schemas.openxmlformats.org/officeDocument/2006/docPropsVTypes"/>
</file>