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10368"/>
      </w:tblGrid>
      <w:tr>
        <w:tc>
          <w:tcPr>
            <w:tcW w:type="dxa" w:w="9360"/>
            <w:shd w:val="clear" w:color="auto" w:fill="0C1930"/>
          </w:tcPr>
          <w:p>
            <w:pPr>
              <w:spacing w:before="120" w:after="120"/>
            </w:pPr>
            <w:r>
              <w:rPr>
                <w:b/>
                <w:color w:val="FFFFFF"/>
                <w:sz w:val="26"/>
              </w:rPr>
              <w:t>MY SPANISH VISA — Homepage</w:t>
            </w:r>
          </w:p>
        </w:tc>
      </w:tr>
    </w:tbl>
    <w:p/>
    <w:p>
      <w:pPr>
        <w:spacing w:after="40"/>
      </w:pPr>
      <w:r>
        <w:rPr>
          <w:b/>
          <w:color w:val="BE0011"/>
          <w:sz w:val="26"/>
        </w:rPr>
        <w:t>www.myspanishvisa.com</w:t>
      </w:r>
    </w:p>
    <w:p>
      <w:r>
        <w:rPr>
          <w:color w:val="555555"/>
          <w:sz w:val="22"/>
        </w:rPr>
        <w:t>Homepage — SEO, Content Structure &amp; Schema Markup Reference</w:t>
      </w:r>
    </w:p>
    <w:p>
      <w:pPr>
        <w:spacing w:after="80"/>
      </w:pPr>
    </w:p>
    <w:p>
      <w:pPr>
        <w:keepNext/>
        <w:spacing w:before="360" w:after="120"/>
      </w:pPr>
      <w:r>
        <w:rPr>
          <w:b/>
          <w:color w:val="0C1930"/>
          <w:sz w:val="44"/>
        </w:rPr>
        <w:t>1. SEO Metadata</w:t>
      </w:r>
    </w:p>
    <w:tbl>
      <w:tblPr>
        <w:tblStyle w:val="TableGrid"/>
        <w:tblW w:type="auto" w:w="0"/>
        <w:tblLook w:firstColumn="1" w:firstRow="1" w:lastColumn="0" w:lastRow="0" w:noHBand="0" w:noVBand="1" w:val="04A0"/>
      </w:tblPr>
      <w:tblGrid>
        <w:gridCol w:w="3168"/>
        <w:gridCol w:w="7200"/>
      </w:tblGrid>
      <w:tr>
        <w:tc>
          <w:tcPr>
            <w:tcW w:type="dxa" w:w="4680"/>
            <w:shd w:val="clear" w:color="auto" w:fill="E8EDF6"/>
          </w:tcPr>
          <w:p>
            <w:r>
              <w:rPr>
                <w:b/>
                <w:color w:val="0C1930"/>
                <w:sz w:val="20"/>
              </w:rPr>
              <w:t>Page URL</w:t>
            </w:r>
          </w:p>
        </w:tc>
        <w:tc>
          <w:tcPr>
            <w:tcW w:type="dxa" w:w="4680"/>
          </w:tcPr>
          <w:p>
            <w:r>
              <w:rPr>
                <w:sz w:val="20"/>
              </w:rPr>
              <w:t>https://www.myspanishvisa.com/</w:t>
            </w:r>
          </w:p>
        </w:tc>
      </w:tr>
    </w:tbl>
    <w:p/>
    <w:tbl>
      <w:tblPr>
        <w:tblStyle w:val="TableGrid"/>
        <w:tblW w:type="auto" w:w="0"/>
        <w:tblLook w:firstColumn="1" w:firstRow="1" w:lastColumn="0" w:lastRow="0" w:noHBand="0" w:noVBand="1" w:val="04A0"/>
      </w:tblPr>
      <w:tblGrid>
        <w:gridCol w:w="3168"/>
        <w:gridCol w:w="7200"/>
      </w:tblGrid>
      <w:tr>
        <w:tc>
          <w:tcPr>
            <w:tcW w:type="dxa" w:w="4680"/>
            <w:shd w:val="clear" w:color="auto" w:fill="E8EDF6"/>
          </w:tcPr>
          <w:p>
            <w:r>
              <w:rPr>
                <w:b/>
                <w:color w:val="0C1930"/>
                <w:sz w:val="20"/>
              </w:rPr>
              <w:t>Slug</w:t>
            </w:r>
          </w:p>
        </w:tc>
        <w:tc>
          <w:tcPr>
            <w:tcW w:type="dxa" w:w="4680"/>
          </w:tcPr>
          <w:p>
            <w:r>
              <w:rPr>
                <w:sz w:val="20"/>
              </w:rPr>
              <w:t>/ (homepage — no slug)</w:t>
            </w:r>
          </w:p>
        </w:tc>
      </w:tr>
    </w:tbl>
    <w:p/>
    <w:tbl>
      <w:tblPr>
        <w:tblStyle w:val="TableGrid"/>
        <w:tblW w:type="auto" w:w="0"/>
        <w:tblLook w:firstColumn="1" w:firstRow="1" w:lastColumn="0" w:lastRow="0" w:noHBand="0" w:noVBand="1" w:val="04A0"/>
      </w:tblPr>
      <w:tblGrid>
        <w:gridCol w:w="3168"/>
        <w:gridCol w:w="7200"/>
      </w:tblGrid>
      <w:tr>
        <w:tc>
          <w:tcPr>
            <w:tcW w:type="dxa" w:w="4680"/>
            <w:shd w:val="clear" w:color="auto" w:fill="E8EDF6"/>
          </w:tcPr>
          <w:p>
            <w:r>
              <w:rPr>
                <w:b/>
                <w:color w:val="0C1930"/>
                <w:sz w:val="20"/>
              </w:rPr>
              <w:t>SEO Title</w:t>
            </w:r>
          </w:p>
        </w:tc>
        <w:tc>
          <w:tcPr>
            <w:tcW w:type="dxa" w:w="4680"/>
          </w:tcPr>
          <w:p>
            <w:r>
              <w:rPr>
                <w:sz w:val="20"/>
              </w:rPr>
              <w:t>Spain Visa &amp; Residency Help for English Speakers | My Spanish Visa</w:t>
            </w:r>
          </w:p>
        </w:tc>
      </w:tr>
    </w:tbl>
    <w:p/>
    <w:tbl>
      <w:tblPr>
        <w:tblStyle w:val="TableGrid"/>
        <w:tblW w:type="auto" w:w="0"/>
        <w:tblLook w:firstColumn="1" w:firstRow="1" w:lastColumn="0" w:lastRow="0" w:noHBand="0" w:noVBand="1" w:val="04A0"/>
      </w:tblPr>
      <w:tblGrid>
        <w:gridCol w:w="3168"/>
        <w:gridCol w:w="7200"/>
      </w:tblGrid>
      <w:tr>
        <w:tc>
          <w:tcPr>
            <w:tcW w:type="dxa" w:w="4680"/>
            <w:shd w:val="clear" w:color="auto" w:fill="E8EDF6"/>
          </w:tcPr>
          <w:p>
            <w:r>
              <w:rPr>
                <w:b/>
                <w:color w:val="0C1930"/>
                <w:sz w:val="20"/>
              </w:rPr>
              <w:t>Meta Description</w:t>
            </w:r>
          </w:p>
        </w:tc>
        <w:tc>
          <w:tcPr>
            <w:tcW w:type="dxa" w:w="4680"/>
          </w:tcPr>
          <w:p>
            <w:r>
              <w:rPr>
                <w:sz w:val="20"/>
              </w:rPr>
              <w:t>Expert Spain visa guidance for English-speaking foreigners. Non-Lucrative Visa, Digital Nomad Visa, Student Visa &amp; Renewals — fully managed online. Free eligibility check.</w:t>
            </w:r>
          </w:p>
        </w:tc>
      </w:tr>
    </w:tbl>
    <w:p/>
    <w:tbl>
      <w:tblPr>
        <w:tblStyle w:val="TableGrid"/>
        <w:tblW w:type="auto" w:w="0"/>
        <w:tblLook w:firstColumn="1" w:firstRow="1" w:lastColumn="0" w:lastRow="0" w:noHBand="0" w:noVBand="1" w:val="04A0"/>
      </w:tblPr>
      <w:tblGrid>
        <w:gridCol w:w="3168"/>
        <w:gridCol w:w="7200"/>
      </w:tblGrid>
      <w:tr>
        <w:tc>
          <w:tcPr>
            <w:tcW w:type="dxa" w:w="4680"/>
            <w:shd w:val="clear" w:color="auto" w:fill="E8EDF6"/>
          </w:tcPr>
          <w:p>
            <w:r>
              <w:rPr>
                <w:b/>
                <w:color w:val="0C1930"/>
                <w:sz w:val="20"/>
              </w:rPr>
              <w:t>H1</w:t>
            </w:r>
          </w:p>
        </w:tc>
        <w:tc>
          <w:tcPr>
            <w:tcW w:type="dxa" w:w="4680"/>
          </w:tcPr>
          <w:p>
            <w:r>
              <w:rPr>
                <w:sz w:val="20"/>
              </w:rPr>
              <w:t>Your Move to Spain, Done Right</w:t>
            </w:r>
          </w:p>
        </w:tc>
      </w:tr>
    </w:tbl>
    <w:p/>
    <w:tbl>
      <w:tblPr>
        <w:tblStyle w:val="TableGrid"/>
        <w:tblW w:type="auto" w:w="0"/>
        <w:tblLook w:firstColumn="1" w:firstRow="1" w:lastColumn="0" w:lastRow="0" w:noHBand="0" w:noVBand="1" w:val="04A0"/>
      </w:tblPr>
      <w:tblGrid>
        <w:gridCol w:w="3168"/>
        <w:gridCol w:w="7200"/>
      </w:tblGrid>
      <w:tr>
        <w:tc>
          <w:tcPr>
            <w:tcW w:type="dxa" w:w="4680"/>
            <w:shd w:val="clear" w:color="auto" w:fill="E8EDF6"/>
          </w:tcPr>
          <w:p>
            <w:r>
              <w:rPr>
                <w:b/>
                <w:color w:val="0C1930"/>
                <w:sz w:val="20"/>
              </w:rPr>
              <w:t>Focus Keyword</w:t>
            </w:r>
          </w:p>
        </w:tc>
        <w:tc>
          <w:tcPr>
            <w:tcW w:type="dxa" w:w="4680"/>
          </w:tcPr>
          <w:p>
            <w:r>
              <w:rPr>
                <w:sz w:val="20"/>
              </w:rPr>
              <w:t>Spain visa for English speakers</w:t>
            </w:r>
          </w:p>
        </w:tc>
      </w:tr>
    </w:tbl>
    <w:p/>
    <w:tbl>
      <w:tblPr>
        <w:tblStyle w:val="TableGrid"/>
        <w:tblW w:type="auto" w:w="0"/>
        <w:tblLook w:firstColumn="1" w:firstRow="1" w:lastColumn="0" w:lastRow="0" w:noHBand="0" w:noVBand="1" w:val="04A0"/>
      </w:tblPr>
      <w:tblGrid>
        <w:gridCol w:w="3168"/>
        <w:gridCol w:w="7200"/>
      </w:tblGrid>
      <w:tr>
        <w:tc>
          <w:tcPr>
            <w:tcW w:type="dxa" w:w="4680"/>
            <w:shd w:val="clear" w:color="auto" w:fill="E8EDF6"/>
          </w:tcPr>
          <w:p>
            <w:r>
              <w:rPr>
                <w:b/>
                <w:color w:val="0C1930"/>
                <w:sz w:val="20"/>
              </w:rPr>
              <w:t>Secondary Keywords</w:t>
            </w:r>
          </w:p>
        </w:tc>
        <w:tc>
          <w:tcPr>
            <w:tcW w:type="dxa" w:w="4680"/>
          </w:tcPr>
          <w:p>
            <w:r>
              <w:rPr>
                <w:sz w:val="20"/>
              </w:rPr>
              <w:t>move to Spain; Spain residency; Non-Lucrative Visa Spain; Digital Nomad Visa Spain; Spain visa help; Spain immigration advice</w:t>
            </w:r>
          </w:p>
        </w:tc>
      </w:tr>
    </w:tbl>
    <w:p/>
    <w:tbl>
      <w:tblPr>
        <w:tblStyle w:val="TableGrid"/>
        <w:tblW w:type="auto" w:w="0"/>
        <w:tblLook w:firstColumn="1" w:firstRow="1" w:lastColumn="0" w:lastRow="0" w:noHBand="0" w:noVBand="1" w:val="04A0"/>
      </w:tblPr>
      <w:tblGrid>
        <w:gridCol w:w="3168"/>
        <w:gridCol w:w="7200"/>
      </w:tblGrid>
      <w:tr>
        <w:tc>
          <w:tcPr>
            <w:tcW w:type="dxa" w:w="4680"/>
            <w:shd w:val="clear" w:color="auto" w:fill="E8EDF6"/>
          </w:tcPr>
          <w:p>
            <w:r>
              <w:rPr>
                <w:b/>
                <w:color w:val="0C1930"/>
                <w:sz w:val="20"/>
              </w:rPr>
              <w:t>Canonical URL</w:t>
            </w:r>
          </w:p>
        </w:tc>
        <w:tc>
          <w:tcPr>
            <w:tcW w:type="dxa" w:w="4680"/>
          </w:tcPr>
          <w:p>
            <w:r>
              <w:rPr>
                <w:sz w:val="20"/>
              </w:rPr>
              <w:t>https://www.myspanishvisa.com/</w:t>
            </w:r>
          </w:p>
        </w:tc>
      </w:tr>
    </w:tbl>
    <w:p/>
    <w:tbl>
      <w:tblPr>
        <w:tblStyle w:val="TableGrid"/>
        <w:tblW w:type="auto" w:w="0"/>
        <w:tblLook w:firstColumn="1" w:firstRow="1" w:lastColumn="0" w:lastRow="0" w:noHBand="0" w:noVBand="1" w:val="04A0"/>
      </w:tblPr>
      <w:tblGrid>
        <w:gridCol w:w="3168"/>
        <w:gridCol w:w="7200"/>
      </w:tblGrid>
      <w:tr>
        <w:tc>
          <w:tcPr>
            <w:tcW w:type="dxa" w:w="4680"/>
            <w:shd w:val="clear" w:color="auto" w:fill="E8EDF6"/>
          </w:tcPr>
          <w:p>
            <w:r>
              <w:rPr>
                <w:b/>
                <w:color w:val="0C1930"/>
                <w:sz w:val="20"/>
              </w:rPr>
              <w:t>Robots</w:t>
            </w:r>
          </w:p>
        </w:tc>
        <w:tc>
          <w:tcPr>
            <w:tcW w:type="dxa" w:w="4680"/>
          </w:tcPr>
          <w:p>
            <w:r>
              <w:rPr>
                <w:sz w:val="20"/>
              </w:rPr>
              <w:t>index, follow</w:t>
            </w:r>
          </w:p>
        </w:tc>
      </w:tr>
    </w:tbl>
    <w:p/>
    <w:tbl>
      <w:tblPr>
        <w:tblW w:type="auto" w:w="0"/>
        <w:tblLook w:firstColumn="1" w:firstRow="1" w:lastColumn="0" w:lastRow="0" w:noHBand="0" w:noVBand="1" w:val="04A0"/>
      </w:tblPr>
      <w:tblGrid>
        <w:gridCol w:w="10368"/>
      </w:tblGrid>
      <w:tr>
        <w:tc>
          <w:tcPr>
            <w:tcW w:type="dxa" w:w="9360"/>
            <w:shd w:val="clear" w:color="auto" w:fill="FEFCE8"/>
          </w:tcPr>
          <w:p>
            <w:pPr>
              <w:spacing w:before="80" w:after="80"/>
            </w:pPr>
            <w:r>
              <w:rPr>
                <w:b/>
                <w:color w:val="1E4975"/>
                <w:sz w:val="21"/>
              </w:rPr>
              <w:t xml:space="preserve">SEO Title Length: </w:t>
            </w:r>
            <w:r>
              <w:rPr>
                <w:sz w:val="21"/>
              </w:rPr>
              <w:t>Keep the SEO title under 60 characters for full display in Google. Current length: 57 characters.</w:t>
            </w:r>
          </w:p>
        </w:tc>
      </w:tr>
    </w:tbl>
    <w:p/>
    <w:tbl>
      <w:tblPr>
        <w:tblW w:type="auto" w:w="0"/>
        <w:tblLook w:firstColumn="1" w:firstRow="1" w:lastColumn="0" w:lastRow="0" w:noHBand="0" w:noVBand="1" w:val="04A0"/>
      </w:tblPr>
      <w:tblGrid>
        <w:gridCol w:w="10368"/>
      </w:tblGrid>
      <w:tr>
        <w:tc>
          <w:tcPr>
            <w:tcW w:type="dxa" w:w="9360"/>
            <w:shd w:val="clear" w:color="auto" w:fill="FEFCE8"/>
          </w:tcPr>
          <w:p>
            <w:pPr>
              <w:spacing w:before="80" w:after="80"/>
            </w:pPr>
            <w:r>
              <w:rPr>
                <w:b/>
                <w:color w:val="1E4975"/>
                <w:sz w:val="21"/>
              </w:rPr>
              <w:t xml:space="preserve">Meta Description Length: </w:t>
            </w:r>
            <w:r>
              <w:rPr>
                <w:sz w:val="21"/>
              </w:rPr>
              <w:t>Keep the meta description under 155 characters. Current length: 148 characters.</w:t>
            </w:r>
          </w:p>
        </w:tc>
      </w:tr>
    </w:tbl>
    <w:p/>
    <w:p>
      <w:pPr>
        <w:keepNext/>
        <w:spacing w:before="360" w:after="120"/>
      </w:pPr>
      <w:r>
        <w:rPr>
          <w:b/>
          <w:color w:val="0C1930"/>
          <w:sz w:val="44"/>
        </w:rPr>
        <w:t>2. Page Structure &amp; Sections</w:t>
      </w:r>
    </w:p>
    <w:p>
      <w:pPr>
        <w:spacing w:after="120"/>
      </w:pPr>
      <w:r>
        <w:rPr>
          <w:sz w:val="22"/>
        </w:rPr>
        <w:t>The homepage is a routing and trust-building page. Its job is to get visitors to the right visa page quickly, build confidence in the brand, and convert high-intent traffic into consultations or eligibility checks.</w:t>
      </w:r>
    </w:p>
    <w:p>
      <w:pPr>
        <w:keepNext/>
        <w:spacing w:before="280" w:after="80"/>
      </w:pPr>
      <w:r>
        <w:rPr>
          <w:b/>
          <w:color w:val="0C1930"/>
          <w:sz w:val="30"/>
        </w:rPr>
        <w:t>Section Order</w:t>
      </w:r>
    </w:p>
    <w:tbl>
      <w:tblPr>
        <w:tblStyle w:val="TableGrid"/>
        <w:tblW w:type="auto" w:w="0"/>
        <w:tblLook w:firstColumn="1" w:firstRow="1" w:lastColumn="0" w:lastRow="0" w:noHBand="0" w:noVBand="1" w:val="04A0"/>
      </w:tblPr>
      <w:tblGrid>
        <w:gridCol w:w="720"/>
        <w:gridCol w:w="2880"/>
        <w:gridCol w:w="6768"/>
      </w:tblGrid>
      <w:tr>
        <w:tc>
          <w:tcPr>
            <w:tcW w:type="dxa" w:w="3120"/>
            <w:shd w:val="clear" w:color="auto" w:fill="0C1930"/>
          </w:tcPr>
          <w:p>
            <w:r>
              <w:rPr>
                <w:b/>
                <w:color w:val="FFFFFF"/>
                <w:sz w:val="20"/>
              </w:rPr>
              <w:t>#</w:t>
            </w:r>
          </w:p>
        </w:tc>
        <w:tc>
          <w:tcPr>
            <w:tcW w:type="dxa" w:w="3120"/>
            <w:shd w:val="clear" w:color="auto" w:fill="0C1930"/>
          </w:tcPr>
          <w:p>
            <w:r>
              <w:rPr>
                <w:b/>
                <w:color w:val="FFFFFF"/>
                <w:sz w:val="20"/>
              </w:rPr>
              <w:t>Section</w:t>
            </w:r>
          </w:p>
        </w:tc>
        <w:tc>
          <w:tcPr>
            <w:tcW w:type="dxa" w:w="3120"/>
            <w:shd w:val="clear" w:color="auto" w:fill="0C1930"/>
          </w:tcPr>
          <w:p>
            <w:r>
              <w:rPr>
                <w:b/>
                <w:color w:val="FFFFFF"/>
                <w:sz w:val="20"/>
              </w:rPr>
              <w:t>Notes</w:t>
            </w:r>
          </w:p>
        </w:tc>
      </w:tr>
      <w:tr>
        <w:tc>
          <w:tcPr>
            <w:tcW w:type="dxa" w:w="720"/>
          </w:tcPr>
          <w:p>
            <w:r>
              <w:rPr>
                <w:sz w:val="20"/>
              </w:rPr>
              <w:t>1</w:t>
            </w:r>
          </w:p>
        </w:tc>
        <w:tc>
          <w:tcPr>
            <w:tcW w:type="dxa" w:w="2880"/>
          </w:tcPr>
          <w:p>
            <w:r>
              <w:rPr>
                <w:b/>
                <w:sz w:val="20"/>
              </w:rPr>
              <w:t>Hero</w:t>
            </w:r>
          </w:p>
        </w:tc>
        <w:tc>
          <w:tcPr>
            <w:tcW w:type="dxa" w:w="6768"/>
          </w:tcPr>
          <w:p>
            <w:r>
              <w:rPr>
                <w:sz w:val="20"/>
              </w:rPr>
              <w:t>Your Move to Spain, Done Right — Primary headline, sub-copy, two CTAs.</w:t>
            </w:r>
          </w:p>
        </w:tc>
      </w:tr>
      <w:tr>
        <w:tc>
          <w:tcPr>
            <w:tcW w:type="dxa" w:w="720"/>
          </w:tcPr>
          <w:p>
            <w:r>
              <w:rPr>
                <w:sz w:val="20"/>
              </w:rPr>
              <w:t>2</w:t>
            </w:r>
          </w:p>
        </w:tc>
        <w:tc>
          <w:tcPr>
            <w:tcW w:type="dxa" w:w="2880"/>
          </w:tcPr>
          <w:p>
            <w:r>
              <w:rPr>
                <w:b/>
                <w:sz w:val="20"/>
              </w:rPr>
              <w:t>Trust Bar</w:t>
            </w:r>
          </w:p>
        </w:tc>
        <w:tc>
          <w:tcPr>
            <w:tcW w:type="dxa" w:w="6768"/>
          </w:tcPr>
          <w:p>
            <w:r>
              <w:rPr>
                <w:sz w:val="20"/>
              </w:rPr>
              <w:t>4 credibility signals: English-speaking team, fully managed online, free eligibility check, pay in 3 instalments.</w:t>
            </w:r>
          </w:p>
        </w:tc>
      </w:tr>
      <w:tr>
        <w:tc>
          <w:tcPr>
            <w:tcW w:type="dxa" w:w="720"/>
          </w:tcPr>
          <w:p>
            <w:r>
              <w:rPr>
                <w:sz w:val="20"/>
              </w:rPr>
              <w:t>3</w:t>
            </w:r>
          </w:p>
        </w:tc>
        <w:tc>
          <w:tcPr>
            <w:tcW w:type="dxa" w:w="2880"/>
          </w:tcPr>
          <w:p>
            <w:r>
              <w:rPr>
                <w:b/>
                <w:sz w:val="20"/>
              </w:rPr>
              <w:t>Visa Pathway Selector</w:t>
            </w:r>
          </w:p>
        </w:tc>
        <w:tc>
          <w:tcPr>
            <w:tcW w:type="dxa" w:w="6768"/>
          </w:tcPr>
          <w:p>
            <w:r>
              <w:rPr>
                <w:sz w:val="20"/>
              </w:rPr>
              <w:t>2x2 grid of route cards: NLV / DNV / Student / Renewal. Each links to the relevant pillar page.</w:t>
            </w:r>
          </w:p>
        </w:tc>
      </w:tr>
      <w:tr>
        <w:tc>
          <w:tcPr>
            <w:tcW w:type="dxa" w:w="720"/>
          </w:tcPr>
          <w:p>
            <w:r>
              <w:rPr>
                <w:sz w:val="20"/>
              </w:rPr>
              <w:t>4</w:t>
            </w:r>
          </w:p>
        </w:tc>
        <w:tc>
          <w:tcPr>
            <w:tcW w:type="dxa" w:w="2880"/>
          </w:tcPr>
          <w:p>
            <w:r>
              <w:rPr>
                <w:b/>
                <w:sz w:val="20"/>
              </w:rPr>
              <w:t>Stat Strip</w:t>
            </w:r>
          </w:p>
        </w:tc>
        <w:tc>
          <w:tcPr>
            <w:tcW w:type="dxa" w:w="6768"/>
          </w:tcPr>
          <w:p>
            <w:r>
              <w:rPr>
                <w:sz w:val="20"/>
              </w:rPr>
              <w:t>4 quick-win numbers: 4 routes, 100% online, 3 instalments, EN specialists.</w:t>
            </w:r>
          </w:p>
        </w:tc>
      </w:tr>
      <w:tr>
        <w:tc>
          <w:tcPr>
            <w:tcW w:type="dxa" w:w="720"/>
          </w:tcPr>
          <w:p>
            <w:r>
              <w:rPr>
                <w:sz w:val="20"/>
              </w:rPr>
              <w:t>5</w:t>
            </w:r>
          </w:p>
        </w:tc>
        <w:tc>
          <w:tcPr>
            <w:tcW w:type="dxa" w:w="2880"/>
          </w:tcPr>
          <w:p>
            <w:r>
              <w:rPr>
                <w:b/>
                <w:sz w:val="20"/>
              </w:rPr>
              <w:t>Why My Spanish Visa</w:t>
            </w:r>
          </w:p>
        </w:tc>
        <w:tc>
          <w:tcPr>
            <w:tcW w:type="dxa" w:w="6768"/>
          </w:tcPr>
          <w:p>
            <w:r>
              <w:rPr>
                <w:sz w:val="20"/>
              </w:rPr>
              <w:t>6 USP cards: right visa first time, full doc management, English-speaking, fast online, error prevention, flexible payment.</w:t>
            </w:r>
          </w:p>
        </w:tc>
      </w:tr>
      <w:tr>
        <w:tc>
          <w:tcPr>
            <w:tcW w:type="dxa" w:w="720"/>
          </w:tcPr>
          <w:p>
            <w:r>
              <w:rPr>
                <w:sz w:val="20"/>
              </w:rPr>
              <w:t>6</w:t>
            </w:r>
          </w:p>
        </w:tc>
        <w:tc>
          <w:tcPr>
            <w:tcW w:type="dxa" w:w="2880"/>
          </w:tcPr>
          <w:p>
            <w:r>
              <w:rPr>
                <w:b/>
                <w:sz w:val="20"/>
              </w:rPr>
              <w:t>How It Works</w:t>
            </w:r>
          </w:p>
        </w:tc>
        <w:tc>
          <w:tcPr>
            <w:tcW w:type="dxa" w:w="6768"/>
          </w:tcPr>
          <w:p>
            <w:r>
              <w:rPr>
                <w:sz w:val="20"/>
              </w:rPr>
              <w:t>3-step process: eligibility check, build application, approval &amp; arrival.</w:t>
            </w:r>
          </w:p>
        </w:tc>
      </w:tr>
      <w:tr>
        <w:tc>
          <w:tcPr>
            <w:tcW w:type="dxa" w:w="720"/>
          </w:tcPr>
          <w:p>
            <w:r>
              <w:rPr>
                <w:sz w:val="20"/>
              </w:rPr>
              <w:t>7</w:t>
            </w:r>
          </w:p>
        </w:tc>
        <w:tc>
          <w:tcPr>
            <w:tcW w:type="dxa" w:w="2880"/>
          </w:tcPr>
          <w:p>
            <w:r>
              <w:rPr>
                <w:b/>
                <w:sz w:val="20"/>
              </w:rPr>
              <w:t>Client Portal Section</w:t>
            </w:r>
          </w:p>
        </w:tc>
        <w:tc>
          <w:tcPr>
            <w:tcW w:type="dxa" w:w="6768"/>
          </w:tcPr>
          <w:p>
            <w:r>
              <w:rPr>
                <w:sz w:val="20"/>
              </w:rPr>
              <w:t>Online dashboard features: real-time tracking, document upload, book a specialist, 24/7 access.</w:t>
            </w:r>
          </w:p>
        </w:tc>
      </w:tr>
      <w:tr>
        <w:tc>
          <w:tcPr>
            <w:tcW w:type="dxa" w:w="720"/>
          </w:tcPr>
          <w:p>
            <w:r>
              <w:rPr>
                <w:sz w:val="20"/>
              </w:rPr>
              <w:t>8</w:t>
            </w:r>
          </w:p>
        </w:tc>
        <w:tc>
          <w:tcPr>
            <w:tcW w:type="dxa" w:w="2880"/>
          </w:tcPr>
          <w:p>
            <w:r>
              <w:rPr>
                <w:b/>
                <w:sz w:val="20"/>
              </w:rPr>
              <w:t>Lead Magnet Band</w:t>
            </w:r>
          </w:p>
        </w:tc>
        <w:tc>
          <w:tcPr>
            <w:tcW w:type="dxa" w:w="6768"/>
          </w:tcPr>
          <w:p>
            <w:r>
              <w:rPr>
                <w:sz w:val="20"/>
              </w:rPr>
              <w:t>Dark CTA strip pushing free eligibility check.</w:t>
            </w:r>
          </w:p>
        </w:tc>
      </w:tr>
      <w:tr>
        <w:tc>
          <w:tcPr>
            <w:tcW w:type="dxa" w:w="720"/>
          </w:tcPr>
          <w:p>
            <w:r>
              <w:rPr>
                <w:sz w:val="20"/>
              </w:rPr>
              <w:t>9</w:t>
            </w:r>
          </w:p>
        </w:tc>
        <w:tc>
          <w:tcPr>
            <w:tcW w:type="dxa" w:w="2880"/>
          </w:tcPr>
          <w:p>
            <w:r>
              <w:rPr>
                <w:b/>
                <w:sz w:val="20"/>
              </w:rPr>
              <w:t>FAQ Section</w:t>
            </w:r>
          </w:p>
        </w:tc>
        <w:tc>
          <w:tcPr>
            <w:tcW w:type="dxa" w:w="6768"/>
          </w:tcPr>
          <w:p>
            <w:r>
              <w:rPr>
                <w:sz w:val="20"/>
              </w:rPr>
              <w:t>8 SEO-optimised questions covering common search queries.</w:t>
            </w:r>
          </w:p>
        </w:tc>
      </w:tr>
      <w:tr>
        <w:tc>
          <w:tcPr>
            <w:tcW w:type="dxa" w:w="720"/>
          </w:tcPr>
          <w:p>
            <w:r>
              <w:rPr>
                <w:sz w:val="20"/>
              </w:rPr>
              <w:t>10</w:t>
            </w:r>
          </w:p>
        </w:tc>
        <w:tc>
          <w:tcPr>
            <w:tcW w:type="dxa" w:w="2880"/>
          </w:tcPr>
          <w:p>
            <w:r>
              <w:rPr>
                <w:b/>
                <w:sz w:val="20"/>
              </w:rPr>
              <w:t>Final CTA</w:t>
            </w:r>
          </w:p>
        </w:tc>
        <w:tc>
          <w:tcPr>
            <w:tcW w:type="dxa" w:w="6768"/>
          </w:tcPr>
          <w:p>
            <w:r>
              <w:rPr>
                <w:sz w:val="20"/>
              </w:rPr>
              <w:t>Book a Consultation + Start Free Eligibility Check.</w:t>
            </w:r>
          </w:p>
        </w:tc>
      </w:tr>
      <w:tr>
        <w:tc>
          <w:tcPr>
            <w:tcW w:type="dxa" w:w="720"/>
          </w:tcPr>
          <w:p>
            <w:r>
              <w:rPr>
                <w:sz w:val="20"/>
              </w:rPr>
              <w:t>11</w:t>
            </w:r>
          </w:p>
        </w:tc>
        <w:tc>
          <w:tcPr>
            <w:tcW w:type="dxa" w:w="2880"/>
          </w:tcPr>
          <w:p>
            <w:r>
              <w:rPr>
                <w:b/>
                <w:sz w:val="20"/>
              </w:rPr>
              <w:t>Disclaimer</w:t>
            </w:r>
          </w:p>
        </w:tc>
        <w:tc>
          <w:tcPr>
            <w:tcW w:type="dxa" w:w="6768"/>
          </w:tcPr>
          <w:p>
            <w:r>
              <w:rPr>
                <w:sz w:val="20"/>
              </w:rPr>
              <w:t>Legal disclaimer + PLS Platinum Legal Spain trading name.</w:t>
            </w:r>
          </w:p>
        </w:tc>
      </w:tr>
    </w:tbl>
    <w:p>
      <w:pPr>
        <w:spacing w:after="80"/>
      </w:pPr>
    </w:p>
    <w:p>
      <w:pPr>
        <w:keepNext/>
        <w:spacing w:before="360" w:after="120"/>
      </w:pPr>
      <w:r>
        <w:rPr>
          <w:b/>
          <w:color w:val="0C1930"/>
          <w:sz w:val="44"/>
        </w:rPr>
        <w:t>3. Hero Copy</w:t>
      </w:r>
    </w:p>
    <w:tbl>
      <w:tblPr>
        <w:tblStyle w:val="TableGrid"/>
        <w:tblW w:type="auto" w:w="0"/>
        <w:tblLook w:firstColumn="1" w:firstRow="1" w:lastColumn="0" w:lastRow="0" w:noHBand="0" w:noVBand="1" w:val="04A0"/>
      </w:tblPr>
      <w:tblGrid>
        <w:gridCol w:w="3168"/>
        <w:gridCol w:w="7200"/>
      </w:tblGrid>
      <w:tr>
        <w:tc>
          <w:tcPr>
            <w:tcW w:type="dxa" w:w="4680"/>
            <w:shd w:val="clear" w:color="auto" w:fill="E8EDF6"/>
          </w:tcPr>
          <w:p>
            <w:r>
              <w:rPr>
                <w:b/>
                <w:color w:val="0C1930"/>
                <w:sz w:val="20"/>
              </w:rPr>
              <w:t>Eyebrow Tag</w:t>
            </w:r>
          </w:p>
        </w:tc>
        <w:tc>
          <w:tcPr>
            <w:tcW w:type="dxa" w:w="4680"/>
          </w:tcPr>
          <w:p>
            <w:r>
              <w:rPr>
                <w:sz w:val="20"/>
              </w:rPr>
              <w:t>Spain Visa &amp; Residency Specialists</w:t>
            </w:r>
          </w:p>
        </w:tc>
      </w:tr>
    </w:tbl>
    <w:p/>
    <w:tbl>
      <w:tblPr>
        <w:tblStyle w:val="TableGrid"/>
        <w:tblW w:type="auto" w:w="0"/>
        <w:tblLook w:firstColumn="1" w:firstRow="1" w:lastColumn="0" w:lastRow="0" w:noHBand="0" w:noVBand="1" w:val="04A0"/>
      </w:tblPr>
      <w:tblGrid>
        <w:gridCol w:w="3168"/>
        <w:gridCol w:w="7200"/>
      </w:tblGrid>
      <w:tr>
        <w:tc>
          <w:tcPr>
            <w:tcW w:type="dxa" w:w="4680"/>
            <w:shd w:val="clear" w:color="auto" w:fill="E8EDF6"/>
          </w:tcPr>
          <w:p>
            <w:r>
              <w:rPr>
                <w:b/>
                <w:color w:val="0C1930"/>
                <w:sz w:val="20"/>
              </w:rPr>
              <w:t>H1</w:t>
            </w:r>
          </w:p>
        </w:tc>
        <w:tc>
          <w:tcPr>
            <w:tcW w:type="dxa" w:w="4680"/>
          </w:tcPr>
          <w:p>
            <w:r>
              <w:rPr>
                <w:sz w:val="20"/>
              </w:rPr>
              <w:t>Your Move to Spain, Done Right</w:t>
            </w:r>
          </w:p>
        </w:tc>
      </w:tr>
    </w:tbl>
    <w:p/>
    <w:tbl>
      <w:tblPr>
        <w:tblStyle w:val="TableGrid"/>
        <w:tblW w:type="auto" w:w="0"/>
        <w:tblLook w:firstColumn="1" w:firstRow="1" w:lastColumn="0" w:lastRow="0" w:noHBand="0" w:noVBand="1" w:val="04A0"/>
      </w:tblPr>
      <w:tblGrid>
        <w:gridCol w:w="3168"/>
        <w:gridCol w:w="7200"/>
      </w:tblGrid>
      <w:tr>
        <w:tc>
          <w:tcPr>
            <w:tcW w:type="dxa" w:w="4680"/>
            <w:shd w:val="clear" w:color="auto" w:fill="E8EDF6"/>
          </w:tcPr>
          <w:p>
            <w:r>
              <w:rPr>
                <w:b/>
                <w:color w:val="0C1930"/>
                <w:sz w:val="20"/>
              </w:rPr>
              <w:t>Subheadline</w:t>
            </w:r>
          </w:p>
        </w:tc>
        <w:tc>
          <w:tcPr>
            <w:tcW w:type="dxa" w:w="4680"/>
          </w:tcPr>
          <w:p>
            <w:r>
              <w:rPr>
                <w:sz w:val="20"/>
              </w:rPr>
              <w:t>Expert visa and residency guidance for English-speaking foreigners. We manage your entire application — from choosing the right route to landing in Spain — so you can focus on the move, not the paperwork.</w:t>
            </w:r>
          </w:p>
        </w:tc>
      </w:tr>
    </w:tbl>
    <w:p/>
    <w:tbl>
      <w:tblPr>
        <w:tblStyle w:val="TableGrid"/>
        <w:tblW w:type="auto" w:w="0"/>
        <w:tblLook w:firstColumn="1" w:firstRow="1" w:lastColumn="0" w:lastRow="0" w:noHBand="0" w:noVBand="1" w:val="04A0"/>
      </w:tblPr>
      <w:tblGrid>
        <w:gridCol w:w="3168"/>
        <w:gridCol w:w="7200"/>
      </w:tblGrid>
      <w:tr>
        <w:tc>
          <w:tcPr>
            <w:tcW w:type="dxa" w:w="4680"/>
            <w:shd w:val="clear" w:color="auto" w:fill="E8EDF6"/>
          </w:tcPr>
          <w:p>
            <w:r>
              <w:rPr>
                <w:b/>
                <w:color w:val="0C1930"/>
                <w:sz w:val="20"/>
              </w:rPr>
              <w:t>Primary CTA</w:t>
            </w:r>
          </w:p>
        </w:tc>
        <w:tc>
          <w:tcPr>
            <w:tcW w:type="dxa" w:w="4680"/>
          </w:tcPr>
          <w:p>
            <w:r>
              <w:rPr>
                <w:sz w:val="20"/>
              </w:rPr>
              <w:t>Start Free Eligibility Check → /eligibility-check/</w:t>
            </w:r>
          </w:p>
        </w:tc>
      </w:tr>
    </w:tbl>
    <w:p/>
    <w:tbl>
      <w:tblPr>
        <w:tblStyle w:val="TableGrid"/>
        <w:tblW w:type="auto" w:w="0"/>
        <w:tblLook w:firstColumn="1" w:firstRow="1" w:lastColumn="0" w:lastRow="0" w:noHBand="0" w:noVBand="1" w:val="04A0"/>
      </w:tblPr>
      <w:tblGrid>
        <w:gridCol w:w="3168"/>
        <w:gridCol w:w="7200"/>
      </w:tblGrid>
      <w:tr>
        <w:tc>
          <w:tcPr>
            <w:tcW w:type="dxa" w:w="4680"/>
            <w:shd w:val="clear" w:color="auto" w:fill="E8EDF6"/>
          </w:tcPr>
          <w:p>
            <w:r>
              <w:rPr>
                <w:b/>
                <w:color w:val="0C1930"/>
                <w:sz w:val="20"/>
              </w:rPr>
              <w:t>Secondary CTA</w:t>
            </w:r>
          </w:p>
        </w:tc>
        <w:tc>
          <w:tcPr>
            <w:tcW w:type="dxa" w:w="4680"/>
          </w:tcPr>
          <w:p>
            <w:r>
              <w:rPr>
                <w:sz w:val="20"/>
              </w:rPr>
              <w:t>Browse Visa Options → #visa-options (anchor)</w:t>
            </w:r>
          </w:p>
        </w:tc>
      </w:tr>
    </w:tbl>
    <w:p/>
    <w:tbl>
      <w:tblPr>
        <w:tblStyle w:val="TableGrid"/>
        <w:tblW w:type="auto" w:w="0"/>
        <w:tblLook w:firstColumn="1" w:firstRow="1" w:lastColumn="0" w:lastRow="0" w:noHBand="0" w:noVBand="1" w:val="04A0"/>
      </w:tblPr>
      <w:tblGrid>
        <w:gridCol w:w="3168"/>
        <w:gridCol w:w="7200"/>
      </w:tblGrid>
      <w:tr>
        <w:tc>
          <w:tcPr>
            <w:tcW w:type="dxa" w:w="4680"/>
            <w:shd w:val="clear" w:color="auto" w:fill="E8EDF6"/>
          </w:tcPr>
          <w:p>
            <w:r>
              <w:rPr>
                <w:b/>
                <w:color w:val="0C1930"/>
                <w:sz w:val="20"/>
              </w:rPr>
              <w:t>Trust Line</w:t>
            </w:r>
          </w:p>
        </w:tc>
        <w:tc>
          <w:tcPr>
            <w:tcW w:type="dxa" w:w="4680"/>
          </w:tcPr>
          <w:p>
            <w:r>
              <w:rPr>
                <w:sz w:val="20"/>
              </w:rPr>
              <w:t>Non-Lucrative Visa · Digital Nomad Visa · Student Visa · Renewals · Residency Guidance</w:t>
            </w:r>
          </w:p>
        </w:tc>
      </w:tr>
    </w:tbl>
    <w:p/>
    <w:p>
      <w:pPr>
        <w:keepNext/>
        <w:spacing w:before="360" w:after="120"/>
      </w:pPr>
      <w:r>
        <w:rPr>
          <w:b/>
          <w:color w:val="0C1930"/>
          <w:sz w:val="44"/>
        </w:rPr>
        <w:t>4. Visa Pathway Selector — Card Content</w:t>
      </w:r>
    </w:p>
    <w:p>
      <w:pPr>
        <w:keepNext/>
        <w:spacing w:before="200" w:after="60"/>
      </w:pPr>
      <w:r>
        <w:rPr>
          <w:b/>
          <w:color w:val="1E4975"/>
          <w:sz w:val="24"/>
        </w:rPr>
        <w:t>Non-Lucrative Visa</w:t>
      </w:r>
    </w:p>
    <w:tbl>
      <w:tblPr>
        <w:tblStyle w:val="TableGrid"/>
        <w:tblW w:type="auto" w:w="0"/>
        <w:tblLook w:firstColumn="1" w:firstRow="1" w:lastColumn="0" w:lastRow="0" w:noHBand="0" w:noVBand="1" w:val="04A0"/>
      </w:tblPr>
      <w:tblGrid>
        <w:gridCol w:w="3168"/>
        <w:gridCol w:w="7200"/>
      </w:tblGrid>
      <w:tr>
        <w:tc>
          <w:tcPr>
            <w:tcW w:type="dxa" w:w="4680"/>
            <w:shd w:val="clear" w:color="auto" w:fill="E8EDF6"/>
          </w:tcPr>
          <w:p>
            <w:r>
              <w:rPr>
                <w:b/>
                <w:color w:val="0C1930"/>
                <w:sz w:val="20"/>
              </w:rPr>
              <w:t>Tag</w:t>
            </w:r>
          </w:p>
        </w:tc>
        <w:tc>
          <w:tcPr>
            <w:tcW w:type="dxa" w:w="4680"/>
          </w:tcPr>
          <w:p>
            <w:r>
              <w:rPr>
                <w:sz w:val="20"/>
              </w:rPr>
              <w:t>Most Popular</w:t>
            </w:r>
          </w:p>
        </w:tc>
      </w:tr>
    </w:tbl>
    <w:p/>
    <w:tbl>
      <w:tblPr>
        <w:tblStyle w:val="TableGrid"/>
        <w:tblW w:type="auto" w:w="0"/>
        <w:tblLook w:firstColumn="1" w:firstRow="1" w:lastColumn="0" w:lastRow="0" w:noHBand="0" w:noVBand="1" w:val="04A0"/>
      </w:tblPr>
      <w:tblGrid>
        <w:gridCol w:w="3168"/>
        <w:gridCol w:w="7200"/>
      </w:tblGrid>
      <w:tr>
        <w:tc>
          <w:tcPr>
            <w:tcW w:type="dxa" w:w="4680"/>
            <w:shd w:val="clear" w:color="auto" w:fill="E8EDF6"/>
          </w:tcPr>
          <w:p>
            <w:r>
              <w:rPr>
                <w:b/>
                <w:color w:val="0C1930"/>
                <w:sz w:val="20"/>
              </w:rPr>
              <w:t>Link</w:t>
            </w:r>
          </w:p>
        </w:tc>
        <w:tc>
          <w:tcPr>
            <w:tcW w:type="dxa" w:w="4680"/>
          </w:tcPr>
          <w:p>
            <w:r>
              <w:rPr>
                <w:sz w:val="20"/>
              </w:rPr>
              <w:t>/non-lucrative-visa-spain/</w:t>
            </w:r>
          </w:p>
        </w:tc>
      </w:tr>
    </w:tbl>
    <w:p/>
    <w:tbl>
      <w:tblPr>
        <w:tblStyle w:val="TableGrid"/>
        <w:tblW w:type="auto" w:w="0"/>
        <w:tblLook w:firstColumn="1" w:firstRow="1" w:lastColumn="0" w:lastRow="0" w:noHBand="0" w:noVBand="1" w:val="04A0"/>
      </w:tblPr>
      <w:tblGrid>
        <w:gridCol w:w="3168"/>
        <w:gridCol w:w="7200"/>
      </w:tblGrid>
      <w:tr>
        <w:tc>
          <w:tcPr>
            <w:tcW w:type="dxa" w:w="4680"/>
            <w:shd w:val="clear" w:color="auto" w:fill="E8EDF6"/>
          </w:tcPr>
          <w:p>
            <w:r>
              <w:rPr>
                <w:b/>
                <w:color w:val="0C1930"/>
                <w:sz w:val="20"/>
              </w:rPr>
              <w:t>Who it's for</w:t>
            </w:r>
          </w:p>
        </w:tc>
        <w:tc>
          <w:tcPr>
            <w:tcW w:type="dxa" w:w="4680"/>
          </w:tcPr>
          <w:p>
            <w:r>
              <w:rPr>
                <w:sz w:val="20"/>
              </w:rPr>
              <w:t>For retirees, early retirees, and those with passive income who want to live in Spain without working.</w:t>
            </w:r>
          </w:p>
        </w:tc>
      </w:tr>
    </w:tbl>
    <w:p/>
    <w:p>
      <w:pPr>
        <w:pStyle w:val="ListBullet"/>
        <w:spacing w:after="60"/>
      </w:pPr>
      <w:r>
        <w:rPr>
          <w:sz w:val="22"/>
        </w:rPr>
        <w:t>Pension, rental income, savings or investments</w:t>
      </w:r>
    </w:p>
    <w:p>
      <w:pPr>
        <w:pStyle w:val="ListBullet"/>
        <w:spacing w:after="60"/>
      </w:pPr>
      <w:r>
        <w:rPr>
          <w:sz w:val="22"/>
        </w:rPr>
        <w:t>No permission to work for Spanish employers</w:t>
      </w:r>
    </w:p>
    <w:p>
      <w:pPr>
        <w:pStyle w:val="ListBullet"/>
        <w:spacing w:after="60"/>
      </w:pPr>
      <w:r>
        <w:rPr>
          <w:sz w:val="22"/>
        </w:rPr>
        <w:t>Minimum income ~€2,259/month (2026)</w:t>
      </w:r>
    </w:p>
    <w:p>
      <w:pPr>
        <w:pStyle w:val="ListBullet"/>
        <w:spacing w:after="60"/>
      </w:pPr>
      <w:r>
        <w:rPr>
          <w:sz w:val="22"/>
        </w:rPr>
        <w:t>1-year visa, renewable as 2-year residency</w:t>
      </w:r>
    </w:p>
    <w:p>
      <w:pPr>
        <w:spacing w:after="80"/>
      </w:pPr>
    </w:p>
    <w:p>
      <w:pPr>
        <w:keepNext/>
        <w:spacing w:before="200" w:after="60"/>
      </w:pPr>
      <w:r>
        <w:rPr>
          <w:b/>
          <w:color w:val="1E4975"/>
          <w:sz w:val="24"/>
        </w:rPr>
        <w:t>Digital Nomad Visa</w:t>
      </w:r>
    </w:p>
    <w:tbl>
      <w:tblPr>
        <w:tblStyle w:val="TableGrid"/>
        <w:tblW w:type="auto" w:w="0"/>
        <w:tblLook w:firstColumn="1" w:firstRow="1" w:lastColumn="0" w:lastRow="0" w:noHBand="0" w:noVBand="1" w:val="04A0"/>
      </w:tblPr>
      <w:tblGrid>
        <w:gridCol w:w="3168"/>
        <w:gridCol w:w="7200"/>
      </w:tblGrid>
      <w:tr>
        <w:tc>
          <w:tcPr>
            <w:tcW w:type="dxa" w:w="4680"/>
            <w:shd w:val="clear" w:color="auto" w:fill="E8EDF6"/>
          </w:tcPr>
          <w:p>
            <w:r>
              <w:rPr>
                <w:b/>
                <w:color w:val="0C1930"/>
                <w:sz w:val="20"/>
              </w:rPr>
              <w:t>Tag</w:t>
            </w:r>
          </w:p>
        </w:tc>
        <w:tc>
          <w:tcPr>
            <w:tcW w:type="dxa" w:w="4680"/>
          </w:tcPr>
          <w:p>
            <w:r>
              <w:rPr>
                <w:sz w:val="20"/>
              </w:rPr>
              <w:t>Remote Workers &amp; Freelancers</w:t>
            </w:r>
          </w:p>
        </w:tc>
      </w:tr>
    </w:tbl>
    <w:p/>
    <w:tbl>
      <w:tblPr>
        <w:tblStyle w:val="TableGrid"/>
        <w:tblW w:type="auto" w:w="0"/>
        <w:tblLook w:firstColumn="1" w:firstRow="1" w:lastColumn="0" w:lastRow="0" w:noHBand="0" w:noVBand="1" w:val="04A0"/>
      </w:tblPr>
      <w:tblGrid>
        <w:gridCol w:w="3168"/>
        <w:gridCol w:w="7200"/>
      </w:tblGrid>
      <w:tr>
        <w:tc>
          <w:tcPr>
            <w:tcW w:type="dxa" w:w="4680"/>
            <w:shd w:val="clear" w:color="auto" w:fill="E8EDF6"/>
          </w:tcPr>
          <w:p>
            <w:r>
              <w:rPr>
                <w:b/>
                <w:color w:val="0C1930"/>
                <w:sz w:val="20"/>
              </w:rPr>
              <w:t>Link</w:t>
            </w:r>
          </w:p>
        </w:tc>
        <w:tc>
          <w:tcPr>
            <w:tcW w:type="dxa" w:w="4680"/>
          </w:tcPr>
          <w:p>
            <w:r>
              <w:rPr>
                <w:sz w:val="20"/>
              </w:rPr>
              <w:t>/digital-nomad-visa-spain/</w:t>
            </w:r>
          </w:p>
        </w:tc>
      </w:tr>
    </w:tbl>
    <w:p/>
    <w:tbl>
      <w:tblPr>
        <w:tblStyle w:val="TableGrid"/>
        <w:tblW w:type="auto" w:w="0"/>
        <w:tblLook w:firstColumn="1" w:firstRow="1" w:lastColumn="0" w:lastRow="0" w:noHBand="0" w:noVBand="1" w:val="04A0"/>
      </w:tblPr>
      <w:tblGrid>
        <w:gridCol w:w="3168"/>
        <w:gridCol w:w="7200"/>
      </w:tblGrid>
      <w:tr>
        <w:tc>
          <w:tcPr>
            <w:tcW w:type="dxa" w:w="4680"/>
            <w:shd w:val="clear" w:color="auto" w:fill="E8EDF6"/>
          </w:tcPr>
          <w:p>
            <w:r>
              <w:rPr>
                <w:b/>
                <w:color w:val="0C1930"/>
                <w:sz w:val="20"/>
              </w:rPr>
              <w:t>Who it's for</w:t>
            </w:r>
          </w:p>
        </w:tc>
        <w:tc>
          <w:tcPr>
            <w:tcW w:type="dxa" w:w="4680"/>
          </w:tcPr>
          <w:p>
            <w:r>
              <w:rPr>
                <w:sz w:val="20"/>
              </w:rPr>
              <w:t>For remote employees and self-employed professionals whose clients and employers are based outside Spain.</w:t>
            </w:r>
          </w:p>
        </w:tc>
      </w:tr>
    </w:tbl>
    <w:p/>
    <w:p>
      <w:pPr>
        <w:pStyle w:val="ListBullet"/>
        <w:spacing w:after="60"/>
      </w:pPr>
      <w:r>
        <w:rPr>
          <w:sz w:val="22"/>
        </w:rPr>
        <w:t>Work remotely for non-Spanish companies</w:t>
      </w:r>
    </w:p>
    <w:p>
      <w:pPr>
        <w:pStyle w:val="ListBullet"/>
        <w:spacing w:after="60"/>
      </w:pPr>
      <w:r>
        <w:rPr>
          <w:sz w:val="22"/>
        </w:rPr>
        <w:t>In-Spain UGE route — 3-year permit, fully online</w:t>
      </w:r>
    </w:p>
    <w:p>
      <w:pPr>
        <w:pStyle w:val="ListBullet"/>
        <w:spacing w:after="60"/>
      </w:pPr>
      <w:r>
        <w:rPr>
          <w:sz w:val="22"/>
        </w:rPr>
        <w:t>Minimum income ~€2,850/month (2026)</w:t>
      </w:r>
    </w:p>
    <w:p>
      <w:pPr>
        <w:pStyle w:val="ListBullet"/>
        <w:spacing w:after="60"/>
      </w:pPr>
      <w:r>
        <w:rPr>
          <w:sz w:val="22"/>
        </w:rPr>
        <w:t>Optional Beckham Law flat-rate tax regime</w:t>
      </w:r>
    </w:p>
    <w:p>
      <w:pPr>
        <w:spacing w:after="80"/>
      </w:pPr>
    </w:p>
    <w:p>
      <w:pPr>
        <w:keepNext/>
        <w:spacing w:before="200" w:after="60"/>
      </w:pPr>
      <w:r>
        <w:rPr>
          <w:b/>
          <w:color w:val="1E4975"/>
          <w:sz w:val="24"/>
        </w:rPr>
        <w:t>Student Visa</w:t>
      </w:r>
    </w:p>
    <w:tbl>
      <w:tblPr>
        <w:tblStyle w:val="TableGrid"/>
        <w:tblW w:type="auto" w:w="0"/>
        <w:tblLook w:firstColumn="1" w:firstRow="1" w:lastColumn="0" w:lastRow="0" w:noHBand="0" w:noVBand="1" w:val="04A0"/>
      </w:tblPr>
      <w:tblGrid>
        <w:gridCol w:w="3168"/>
        <w:gridCol w:w="7200"/>
      </w:tblGrid>
      <w:tr>
        <w:tc>
          <w:tcPr>
            <w:tcW w:type="dxa" w:w="4680"/>
            <w:shd w:val="clear" w:color="auto" w:fill="E8EDF6"/>
          </w:tcPr>
          <w:p>
            <w:r>
              <w:rPr>
                <w:b/>
                <w:color w:val="0C1930"/>
                <w:sz w:val="20"/>
              </w:rPr>
              <w:t>Tag</w:t>
            </w:r>
          </w:p>
        </w:tc>
        <w:tc>
          <w:tcPr>
            <w:tcW w:type="dxa" w:w="4680"/>
          </w:tcPr>
          <w:p>
            <w:r>
              <w:rPr>
                <w:sz w:val="20"/>
              </w:rPr>
              <w:t>Students &amp; Language Learners</w:t>
            </w:r>
          </w:p>
        </w:tc>
      </w:tr>
    </w:tbl>
    <w:p/>
    <w:tbl>
      <w:tblPr>
        <w:tblStyle w:val="TableGrid"/>
        <w:tblW w:type="auto" w:w="0"/>
        <w:tblLook w:firstColumn="1" w:firstRow="1" w:lastColumn="0" w:lastRow="0" w:noHBand="0" w:noVBand="1" w:val="04A0"/>
      </w:tblPr>
      <w:tblGrid>
        <w:gridCol w:w="3168"/>
        <w:gridCol w:w="7200"/>
      </w:tblGrid>
      <w:tr>
        <w:tc>
          <w:tcPr>
            <w:tcW w:type="dxa" w:w="4680"/>
            <w:shd w:val="clear" w:color="auto" w:fill="E8EDF6"/>
          </w:tcPr>
          <w:p>
            <w:r>
              <w:rPr>
                <w:b/>
                <w:color w:val="0C1930"/>
                <w:sz w:val="20"/>
              </w:rPr>
              <w:t>Link</w:t>
            </w:r>
          </w:p>
        </w:tc>
        <w:tc>
          <w:tcPr>
            <w:tcW w:type="dxa" w:w="4680"/>
          </w:tcPr>
          <w:p>
            <w:r>
              <w:rPr>
                <w:sz w:val="20"/>
              </w:rPr>
              <w:t>/student-visa-spain/</w:t>
            </w:r>
          </w:p>
        </w:tc>
      </w:tr>
    </w:tbl>
    <w:p/>
    <w:tbl>
      <w:tblPr>
        <w:tblStyle w:val="TableGrid"/>
        <w:tblW w:type="auto" w:w="0"/>
        <w:tblLook w:firstColumn="1" w:firstRow="1" w:lastColumn="0" w:lastRow="0" w:noHBand="0" w:noVBand="1" w:val="04A0"/>
      </w:tblPr>
      <w:tblGrid>
        <w:gridCol w:w="3168"/>
        <w:gridCol w:w="7200"/>
      </w:tblGrid>
      <w:tr>
        <w:tc>
          <w:tcPr>
            <w:tcW w:type="dxa" w:w="4680"/>
            <w:shd w:val="clear" w:color="auto" w:fill="E8EDF6"/>
          </w:tcPr>
          <w:p>
            <w:r>
              <w:rPr>
                <w:b/>
                <w:color w:val="0C1930"/>
                <w:sz w:val="20"/>
              </w:rPr>
              <w:t>Who it's for</w:t>
            </w:r>
          </w:p>
        </w:tc>
        <w:tc>
          <w:tcPr>
            <w:tcW w:type="dxa" w:w="4680"/>
          </w:tcPr>
          <w:p>
            <w:r>
              <w:rPr>
                <w:sz w:val="20"/>
              </w:rPr>
              <w:t>For those enrolling at Spanish universities, language schools, or private institutions for courses over 90 days.</w:t>
            </w:r>
          </w:p>
        </w:tc>
      </w:tr>
    </w:tbl>
    <w:p/>
    <w:p>
      <w:pPr>
        <w:pStyle w:val="ListBullet"/>
        <w:spacing w:after="60"/>
      </w:pPr>
      <w:r>
        <w:rPr>
          <w:sz w:val="22"/>
        </w:rPr>
        <w:t>Valid for full degree programmes and language courses</w:t>
      </w:r>
    </w:p>
    <w:p>
      <w:pPr>
        <w:pStyle w:val="ListBullet"/>
        <w:spacing w:after="60"/>
      </w:pPr>
      <w:r>
        <w:rPr>
          <w:sz w:val="22"/>
        </w:rPr>
        <w:t>Financial requirement ~€600/month</w:t>
      </w:r>
    </w:p>
    <w:p>
      <w:pPr>
        <w:pStyle w:val="ListBullet"/>
        <w:spacing w:after="60"/>
      </w:pPr>
      <w:r>
        <w:rPr>
          <w:sz w:val="22"/>
        </w:rPr>
        <w:t>Applied via your local Spanish consulate</w:t>
      </w:r>
    </w:p>
    <w:p>
      <w:pPr>
        <w:pStyle w:val="ListBullet"/>
        <w:spacing w:after="60"/>
      </w:pPr>
      <w:r>
        <w:rPr>
          <w:sz w:val="22"/>
        </w:rPr>
        <w:t>Limited part-time work permitted (up to 30 hrs/week)</w:t>
      </w:r>
    </w:p>
    <w:p>
      <w:pPr>
        <w:spacing w:after="80"/>
      </w:pPr>
    </w:p>
    <w:p>
      <w:pPr>
        <w:keepNext/>
        <w:spacing w:before="200" w:after="60"/>
      </w:pPr>
      <w:r>
        <w:rPr>
          <w:b/>
          <w:color w:val="1E4975"/>
          <w:sz w:val="24"/>
        </w:rPr>
        <w:t>Visa Renewal &amp; Residency</w:t>
      </w:r>
    </w:p>
    <w:tbl>
      <w:tblPr>
        <w:tblStyle w:val="TableGrid"/>
        <w:tblW w:type="auto" w:w="0"/>
        <w:tblLook w:firstColumn="1" w:firstRow="1" w:lastColumn="0" w:lastRow="0" w:noHBand="0" w:noVBand="1" w:val="04A0"/>
      </w:tblPr>
      <w:tblGrid>
        <w:gridCol w:w="3168"/>
        <w:gridCol w:w="7200"/>
      </w:tblGrid>
      <w:tr>
        <w:tc>
          <w:tcPr>
            <w:tcW w:type="dxa" w:w="4680"/>
            <w:shd w:val="clear" w:color="auto" w:fill="E8EDF6"/>
          </w:tcPr>
          <w:p>
            <w:r>
              <w:rPr>
                <w:b/>
                <w:color w:val="0C1930"/>
                <w:sz w:val="20"/>
              </w:rPr>
              <w:t>Tag</w:t>
            </w:r>
          </w:p>
        </w:tc>
        <w:tc>
          <w:tcPr>
            <w:tcW w:type="dxa" w:w="4680"/>
          </w:tcPr>
          <w:p>
            <w:r>
              <w:rPr>
                <w:sz w:val="20"/>
              </w:rPr>
              <w:t>Already in Spain</w:t>
            </w:r>
          </w:p>
        </w:tc>
      </w:tr>
    </w:tbl>
    <w:p/>
    <w:tbl>
      <w:tblPr>
        <w:tblStyle w:val="TableGrid"/>
        <w:tblW w:type="auto" w:w="0"/>
        <w:tblLook w:firstColumn="1" w:firstRow="1" w:lastColumn="0" w:lastRow="0" w:noHBand="0" w:noVBand="1" w:val="04A0"/>
      </w:tblPr>
      <w:tblGrid>
        <w:gridCol w:w="3168"/>
        <w:gridCol w:w="7200"/>
      </w:tblGrid>
      <w:tr>
        <w:tc>
          <w:tcPr>
            <w:tcW w:type="dxa" w:w="4680"/>
            <w:shd w:val="clear" w:color="auto" w:fill="E8EDF6"/>
          </w:tcPr>
          <w:p>
            <w:r>
              <w:rPr>
                <w:b/>
                <w:color w:val="0C1930"/>
                <w:sz w:val="20"/>
              </w:rPr>
              <w:t>Link</w:t>
            </w:r>
          </w:p>
        </w:tc>
        <w:tc>
          <w:tcPr>
            <w:tcW w:type="dxa" w:w="4680"/>
          </w:tcPr>
          <w:p>
            <w:r>
              <w:rPr>
                <w:sz w:val="20"/>
              </w:rPr>
              <w:t>/spain-visa-renewal/</w:t>
            </w:r>
          </w:p>
        </w:tc>
      </w:tr>
    </w:tbl>
    <w:p/>
    <w:tbl>
      <w:tblPr>
        <w:tblStyle w:val="TableGrid"/>
        <w:tblW w:type="auto" w:w="0"/>
        <w:tblLook w:firstColumn="1" w:firstRow="1" w:lastColumn="0" w:lastRow="0" w:noHBand="0" w:noVBand="1" w:val="04A0"/>
      </w:tblPr>
      <w:tblGrid>
        <w:gridCol w:w="3168"/>
        <w:gridCol w:w="7200"/>
      </w:tblGrid>
      <w:tr>
        <w:tc>
          <w:tcPr>
            <w:tcW w:type="dxa" w:w="4680"/>
            <w:shd w:val="clear" w:color="auto" w:fill="E8EDF6"/>
          </w:tcPr>
          <w:p>
            <w:r>
              <w:rPr>
                <w:b/>
                <w:color w:val="0C1930"/>
                <w:sz w:val="20"/>
              </w:rPr>
              <w:t>Who it's for</w:t>
            </w:r>
          </w:p>
        </w:tc>
        <w:tc>
          <w:tcPr>
            <w:tcW w:type="dxa" w:w="4680"/>
          </w:tcPr>
          <w:p>
            <w:r>
              <w:rPr>
                <w:sz w:val="20"/>
              </w:rPr>
              <w:t>For those approaching the end of their initial visa or TIE, or looking to change status or progress toward long-term residency.</w:t>
            </w:r>
          </w:p>
        </w:tc>
      </w:tr>
    </w:tbl>
    <w:p/>
    <w:p>
      <w:pPr>
        <w:pStyle w:val="ListBullet"/>
        <w:spacing w:after="60"/>
      </w:pPr>
      <w:r>
        <w:rPr>
          <w:sz w:val="22"/>
        </w:rPr>
        <w:t>NLV, DNV and student renewals managed</w:t>
      </w:r>
    </w:p>
    <w:p>
      <w:pPr>
        <w:pStyle w:val="ListBullet"/>
        <w:spacing w:after="60"/>
      </w:pPr>
      <w:r>
        <w:rPr>
          <w:sz w:val="22"/>
        </w:rPr>
        <w:t>TIE applications and replacements</w:t>
      </w:r>
    </w:p>
    <w:p>
      <w:pPr>
        <w:pStyle w:val="ListBullet"/>
        <w:spacing w:after="60"/>
      </w:pPr>
      <w:r>
        <w:rPr>
          <w:sz w:val="22"/>
        </w:rPr>
        <w:t>Change of residency status</w:t>
      </w:r>
    </w:p>
    <w:p>
      <w:pPr>
        <w:pStyle w:val="ListBullet"/>
        <w:spacing w:after="60"/>
      </w:pPr>
      <w:r>
        <w:rPr>
          <w:sz w:val="22"/>
        </w:rPr>
        <w:t>Guidance toward permanent residency</w:t>
      </w:r>
    </w:p>
    <w:p>
      <w:pPr>
        <w:spacing w:after="80"/>
      </w:pPr>
    </w:p>
    <w:p>
      <w:pPr>
        <w:keepNext/>
        <w:spacing w:before="360" w:after="120"/>
      </w:pPr>
      <w:r>
        <w:rPr>
          <w:b/>
          <w:color w:val="0C1930"/>
          <w:sz w:val="44"/>
        </w:rPr>
        <w:t>5. FAQ Section — Questions &amp; Answers</w:t>
      </w:r>
    </w:p>
    <w:tbl>
      <w:tblPr>
        <w:tblW w:type="auto" w:w="0"/>
        <w:tblLook w:firstColumn="1" w:firstRow="1" w:lastColumn="0" w:lastRow="0" w:noHBand="0" w:noVBand="1" w:val="04A0"/>
      </w:tblPr>
      <w:tblGrid>
        <w:gridCol w:w="10368"/>
      </w:tblGrid>
      <w:tr>
        <w:tc>
          <w:tcPr>
            <w:tcW w:type="dxa" w:w="9360"/>
            <w:shd w:val="clear" w:color="auto" w:fill="E8EDF6"/>
          </w:tcPr>
          <w:p>
            <w:pPr>
              <w:spacing w:before="80" w:after="80"/>
            </w:pPr>
            <w:r>
              <w:rPr>
                <w:b/>
                <w:color w:val="1E4975"/>
                <w:sz w:val="21"/>
              </w:rPr>
              <w:t xml:space="preserve">SEO Note: </w:t>
            </w:r>
            <w:r>
              <w:rPr>
                <w:sz w:val="21"/>
              </w:rPr>
              <w:t>These questions are optimised for long-tail and informational search queries. Add FAQPage JSON-LD schema (see Section 7) to enable rich results in Google Search.</w:t>
            </w:r>
          </w:p>
        </w:tc>
      </w:tr>
    </w:tbl>
    <w:p/>
    <w:p>
      <w:pPr>
        <w:keepNext/>
        <w:spacing w:before="200" w:after="60"/>
      </w:pPr>
      <w:r>
        <w:rPr>
          <w:b/>
          <w:color w:val="1E4975"/>
          <w:sz w:val="24"/>
        </w:rPr>
        <w:t>Q1. What is the easiest visa to get for Spain?</w:t>
      </w:r>
    </w:p>
    <w:p>
      <w:pPr>
        <w:spacing w:after="120"/>
      </w:pPr>
      <w:r>
        <w:rPr>
          <w:sz w:val="22"/>
        </w:rPr>
        <w:t>There's no single "easiest" visa — it depends entirely on your circumstances. The Non-Lucrative Visa suits those with passive income or savings. The Digital Nomad Visa suits remote workers. The Student Visa is for course enrolment. The right visa is the one you qualify for and that matches how you plan to live in Spain. Our free eligibility check helps you confirm this in minutes.</w:t>
      </w:r>
    </w:p>
    <w:p>
      <w:pPr>
        <w:spacing w:after="80"/>
      </w:pPr>
    </w:p>
    <w:p>
      <w:pPr>
        <w:keepNext/>
        <w:spacing w:before="200" w:after="60"/>
      </w:pPr>
      <w:r>
        <w:rPr>
          <w:b/>
          <w:color w:val="1E4975"/>
          <w:sz w:val="24"/>
        </w:rPr>
        <w:t>Q2. Can I work on a Spain Non-Lucrative Visa?</w:t>
      </w:r>
    </w:p>
    <w:p>
      <w:pPr>
        <w:spacing w:after="120"/>
      </w:pPr>
      <w:r>
        <w:rPr>
          <w:sz w:val="22"/>
        </w:rPr>
        <w:t>No. The Non-Lucrative Visa does not permit you to work for Spanish employers or operate as a self-employed professional in Spain. It is designed for people who can financially support themselves through passive income, pensions, savings, or investments without needing to earn money in Spain. If you work remotely for a non-Spanish employer, the Digital Nomad Visa may be a better fit.</w:t>
      </w:r>
    </w:p>
    <w:p>
      <w:pPr>
        <w:spacing w:after="80"/>
      </w:pPr>
    </w:p>
    <w:p>
      <w:pPr>
        <w:keepNext/>
        <w:spacing w:before="200" w:after="60"/>
      </w:pPr>
      <w:r>
        <w:rPr>
          <w:b/>
          <w:color w:val="1E4975"/>
          <w:sz w:val="24"/>
        </w:rPr>
        <w:t>Q3. How long does a Spain visa application take?</w:t>
      </w:r>
    </w:p>
    <w:p>
      <w:pPr>
        <w:spacing w:after="120"/>
      </w:pPr>
      <w:r>
        <w:rPr>
          <w:sz w:val="22"/>
        </w:rPr>
        <w:t>Processing times vary by route and consulate. The Non-Lucrative Visa and Student Visa are typically processed within 4–8 weeks by the Spanish consulate in your home country. The Digital Nomad Visa applied via the UGE in Spain is usually processed in around 20 working days. Consulate wait times for appointments can add to these timelines, particularly in the UK and US.</w:t>
      </w:r>
    </w:p>
    <w:p>
      <w:pPr>
        <w:spacing w:after="80"/>
      </w:pPr>
    </w:p>
    <w:p>
      <w:pPr>
        <w:keepNext/>
        <w:spacing w:before="200" w:after="60"/>
      </w:pPr>
      <w:r>
        <w:rPr>
          <w:b/>
          <w:color w:val="1E4975"/>
          <w:sz w:val="24"/>
        </w:rPr>
        <w:t>Q4. Can I apply for a Spanish visa from inside Spain?</w:t>
      </w:r>
    </w:p>
    <w:p>
      <w:pPr>
        <w:spacing w:after="120"/>
      </w:pPr>
      <w:r>
        <w:rPr>
          <w:sz w:val="22"/>
        </w:rPr>
        <w:t>It depends on the visa. The Digital Nomad Visa can be applied for from inside Spain via the UGE (Unidad de Grandes Empresas) — entirely online, without visiting a consulate. Most other visas, including the Non-Lucrative Visa and Student Visa, must be applied for from your home country through the local Spanish consulate before you travel.</w:t>
      </w:r>
    </w:p>
    <w:p>
      <w:pPr>
        <w:spacing w:after="80"/>
      </w:pPr>
    </w:p>
    <w:p>
      <w:pPr>
        <w:keepNext/>
        <w:spacing w:before="200" w:after="60"/>
      </w:pPr>
      <w:r>
        <w:rPr>
          <w:b/>
          <w:color w:val="1E4975"/>
          <w:sz w:val="24"/>
        </w:rPr>
        <w:t>Q5. Do I need to speak Spanish to apply for a visa?</w:t>
      </w:r>
    </w:p>
    <w:p>
      <w:pPr>
        <w:spacing w:after="120"/>
      </w:pPr>
      <w:r>
        <w:rPr>
          <w:sz w:val="22"/>
        </w:rPr>
        <w:t>No — you don't need to speak Spanish to apply. However, your supporting documents will need to be translated into Spanish by a sworn translator, and some consulate appointments may involve questions in Spanish. We manage all translations as part of our service, so you don't need to deal with the language barrier directly.</w:t>
      </w:r>
    </w:p>
    <w:p>
      <w:pPr>
        <w:spacing w:after="80"/>
      </w:pPr>
    </w:p>
    <w:p>
      <w:pPr>
        <w:keepNext/>
        <w:spacing w:before="200" w:after="60"/>
      </w:pPr>
      <w:r>
        <w:rPr>
          <w:b/>
          <w:color w:val="1E4975"/>
          <w:sz w:val="24"/>
        </w:rPr>
        <w:t>Q6. What is a NIE and do I need one?</w:t>
      </w:r>
    </w:p>
    <w:p>
      <w:pPr>
        <w:spacing w:after="120"/>
      </w:pPr>
      <w:r>
        <w:rPr>
          <w:sz w:val="22"/>
        </w:rPr>
        <w:t>The NIE (Número de Identificación de Extranjero) is a tax identification number issued to foreigners in Spain. You'll need it to open a bank account, buy property, sign a lease, or deal with any official or financial matter in Spain. Once you have a visa and arrive in Spain, your NIE is usually obtained as part of your TIE (residency card) registration. We guide all clients through this process after arrival.</w:t>
      </w:r>
    </w:p>
    <w:p>
      <w:pPr>
        <w:spacing w:after="80"/>
      </w:pPr>
    </w:p>
    <w:p>
      <w:pPr>
        <w:keepNext/>
        <w:spacing w:before="200" w:after="60"/>
      </w:pPr>
      <w:r>
        <w:rPr>
          <w:b/>
          <w:color w:val="1E4975"/>
          <w:sz w:val="24"/>
        </w:rPr>
        <w:t>Q7. What nationalities do you help?</w:t>
      </w:r>
    </w:p>
    <w:p>
      <w:pPr>
        <w:spacing w:after="120"/>
      </w:pPr>
      <w:r>
        <w:rPr>
          <w:sz w:val="22"/>
        </w:rPr>
        <w:t>We help English-speaking foreigners from any non-EU nationality — most commonly from the UK, USA, Canada, Australia, Ireland, South Africa, and New Zealand. Post-Brexit, UK nationals require a visa for stays of more than 90 days. Our services are available regardless of where you're currently based.</w:t>
      </w:r>
    </w:p>
    <w:p>
      <w:pPr>
        <w:spacing w:after="80"/>
      </w:pPr>
    </w:p>
    <w:p>
      <w:pPr>
        <w:keepNext/>
        <w:spacing w:before="200" w:after="60"/>
      </w:pPr>
      <w:r>
        <w:rPr>
          <w:b/>
          <w:color w:val="1E4975"/>
          <w:sz w:val="24"/>
        </w:rPr>
        <w:t>Q8. What happens if my visa application is rejected?</w:t>
      </w:r>
    </w:p>
    <w:p>
      <w:pPr>
        <w:spacing w:after="120"/>
      </w:pPr>
      <w:r>
        <w:rPr>
          <w:sz w:val="22"/>
        </w:rPr>
        <w:t>A rejection is not necessarily the end. You may be able to appeal the decision or reapply with additional or corrected documentation. Our team reviews all documents before submission to reduce the risk of rejection. If you have already received a rejection and need guidance on next steps, we offer a consultation to assess your options.</w:t>
      </w:r>
    </w:p>
    <w:p>
      <w:pPr>
        <w:spacing w:after="80"/>
      </w:pPr>
    </w:p>
    <w:p>
      <w:pPr>
        <w:keepNext/>
        <w:spacing w:before="360" w:after="120"/>
      </w:pPr>
      <w:r>
        <w:rPr>
          <w:b/>
          <w:color w:val="0C1930"/>
          <w:sz w:val="44"/>
        </w:rPr>
        <w:t>6. Internal Linking Map</w:t>
      </w:r>
    </w:p>
    <w:p>
      <w:pPr>
        <w:spacing w:after="120"/>
      </w:pPr>
      <w:r>
        <w:rPr>
          <w:sz w:val="22"/>
        </w:rPr>
        <w:t>Key internal links on the homepage and their target pages:</w:t>
      </w:r>
    </w:p>
    <w:tbl>
      <w:tblPr>
        <w:tblStyle w:val="TableGrid"/>
        <w:tblW w:type="auto" w:w="0"/>
        <w:tblLook w:firstColumn="1" w:firstRow="1" w:lastColumn="0" w:lastRow="0" w:noHBand="0" w:noVBand="1" w:val="04A0"/>
      </w:tblPr>
      <w:tblGrid>
        <w:gridCol w:w="3600"/>
        <w:gridCol w:w="2880"/>
        <w:gridCol w:w="3888"/>
      </w:tblGrid>
      <w:tr>
        <w:tc>
          <w:tcPr>
            <w:tcW w:type="dxa" w:w="3120"/>
            <w:shd w:val="clear" w:color="auto" w:fill="0C1930"/>
          </w:tcPr>
          <w:p>
            <w:r>
              <w:rPr>
                <w:b/>
                <w:color w:val="FFFFFF"/>
                <w:sz w:val="20"/>
              </w:rPr>
              <w:t>URL / Anchor</w:t>
            </w:r>
          </w:p>
        </w:tc>
        <w:tc>
          <w:tcPr>
            <w:tcW w:type="dxa" w:w="3120"/>
            <w:shd w:val="clear" w:color="auto" w:fill="0C1930"/>
          </w:tcPr>
          <w:p>
            <w:r>
              <w:rPr>
                <w:b/>
                <w:color w:val="FFFFFF"/>
                <w:sz w:val="20"/>
              </w:rPr>
              <w:t>Target Page</w:t>
            </w:r>
          </w:p>
        </w:tc>
        <w:tc>
          <w:tcPr>
            <w:tcW w:type="dxa" w:w="3120"/>
            <w:shd w:val="clear" w:color="auto" w:fill="0C1930"/>
          </w:tcPr>
          <w:p>
            <w:r>
              <w:rPr>
                <w:b/>
                <w:color w:val="FFFFFF"/>
                <w:sz w:val="20"/>
              </w:rPr>
              <w:t>Used In</w:t>
            </w:r>
          </w:p>
        </w:tc>
      </w:tr>
      <w:tr>
        <w:tc>
          <w:tcPr>
            <w:tcW w:type="dxa" w:w="3600"/>
          </w:tcPr>
          <w:p>
            <w:r>
              <w:rPr>
                <w:sz w:val="18"/>
              </w:rPr>
              <w:t>/non-lucrative-visa-spain/</w:t>
            </w:r>
          </w:p>
        </w:tc>
        <w:tc>
          <w:tcPr>
            <w:tcW w:type="dxa" w:w="2880"/>
          </w:tcPr>
          <w:p>
            <w:r>
              <w:rPr>
                <w:b/>
                <w:sz w:val="18"/>
              </w:rPr>
              <w:t>NLV pillar page</w:t>
            </w:r>
          </w:p>
        </w:tc>
        <w:tc>
          <w:tcPr>
            <w:tcW w:type="dxa" w:w="3888"/>
          </w:tcPr>
          <w:p>
            <w:r>
              <w:rPr>
                <w:sz w:val="18"/>
              </w:rPr>
              <w:t>Pathway card CTA + hero trust line</w:t>
            </w:r>
          </w:p>
        </w:tc>
      </w:tr>
      <w:tr>
        <w:tc>
          <w:tcPr>
            <w:tcW w:type="dxa" w:w="3600"/>
          </w:tcPr>
          <w:p>
            <w:r>
              <w:rPr>
                <w:sz w:val="18"/>
              </w:rPr>
              <w:t>/digital-nomad-visa-spain/</w:t>
            </w:r>
          </w:p>
        </w:tc>
        <w:tc>
          <w:tcPr>
            <w:tcW w:type="dxa" w:w="2880"/>
          </w:tcPr>
          <w:p>
            <w:r>
              <w:rPr>
                <w:b/>
                <w:sz w:val="18"/>
              </w:rPr>
              <w:t>DNV pillar page</w:t>
            </w:r>
          </w:p>
        </w:tc>
        <w:tc>
          <w:tcPr>
            <w:tcW w:type="dxa" w:w="3888"/>
          </w:tcPr>
          <w:p>
            <w:r>
              <w:rPr>
                <w:sz w:val="18"/>
              </w:rPr>
              <w:t>Pathway card CTA + hero trust line</w:t>
            </w:r>
          </w:p>
        </w:tc>
      </w:tr>
      <w:tr>
        <w:tc>
          <w:tcPr>
            <w:tcW w:type="dxa" w:w="3600"/>
          </w:tcPr>
          <w:p>
            <w:r>
              <w:rPr>
                <w:sz w:val="18"/>
              </w:rPr>
              <w:t>/student-visa-spain/</w:t>
            </w:r>
          </w:p>
        </w:tc>
        <w:tc>
          <w:tcPr>
            <w:tcW w:type="dxa" w:w="2880"/>
          </w:tcPr>
          <w:p>
            <w:r>
              <w:rPr>
                <w:b/>
                <w:sz w:val="18"/>
              </w:rPr>
              <w:t>Student Visa pillar page</w:t>
            </w:r>
          </w:p>
        </w:tc>
        <w:tc>
          <w:tcPr>
            <w:tcW w:type="dxa" w:w="3888"/>
          </w:tcPr>
          <w:p>
            <w:r>
              <w:rPr>
                <w:sz w:val="18"/>
              </w:rPr>
              <w:t>Pathway card CTA + hero trust line</w:t>
            </w:r>
          </w:p>
        </w:tc>
      </w:tr>
      <w:tr>
        <w:tc>
          <w:tcPr>
            <w:tcW w:type="dxa" w:w="3600"/>
          </w:tcPr>
          <w:p>
            <w:r>
              <w:rPr>
                <w:sz w:val="18"/>
              </w:rPr>
              <w:t>/spain-visa-renewal/</w:t>
            </w:r>
          </w:p>
        </w:tc>
        <w:tc>
          <w:tcPr>
            <w:tcW w:type="dxa" w:w="2880"/>
          </w:tcPr>
          <w:p>
            <w:r>
              <w:rPr>
                <w:b/>
                <w:sz w:val="18"/>
              </w:rPr>
              <w:t>Visa Renewal page</w:t>
            </w:r>
          </w:p>
        </w:tc>
        <w:tc>
          <w:tcPr>
            <w:tcW w:type="dxa" w:w="3888"/>
          </w:tcPr>
          <w:p>
            <w:r>
              <w:rPr>
                <w:sz w:val="18"/>
              </w:rPr>
              <w:t>Pathway card CTA + hero trust line</w:t>
            </w:r>
          </w:p>
        </w:tc>
      </w:tr>
      <w:tr>
        <w:tc>
          <w:tcPr>
            <w:tcW w:type="dxa" w:w="3600"/>
          </w:tcPr>
          <w:p>
            <w:r>
              <w:rPr>
                <w:sz w:val="18"/>
              </w:rPr>
              <w:t>/eligibility-check/</w:t>
            </w:r>
          </w:p>
        </w:tc>
        <w:tc>
          <w:tcPr>
            <w:tcW w:type="dxa" w:w="2880"/>
          </w:tcPr>
          <w:p>
            <w:r>
              <w:rPr>
                <w:b/>
                <w:sz w:val="18"/>
              </w:rPr>
              <w:t>Free Eligibility Check</w:t>
            </w:r>
          </w:p>
        </w:tc>
        <w:tc>
          <w:tcPr>
            <w:tcW w:type="dxa" w:w="3888"/>
          </w:tcPr>
          <w:p>
            <w:r>
              <w:rPr>
                <w:sz w:val="18"/>
              </w:rPr>
              <w:t>Hero primary CTA, note box, lead magnet band, final CTA</w:t>
            </w:r>
          </w:p>
        </w:tc>
      </w:tr>
      <w:tr>
        <w:tc>
          <w:tcPr>
            <w:tcW w:type="dxa" w:w="3600"/>
          </w:tcPr>
          <w:p>
            <w:r>
              <w:rPr>
                <w:sz w:val="18"/>
              </w:rPr>
              <w:t>/book-consultation/</w:t>
            </w:r>
          </w:p>
        </w:tc>
        <w:tc>
          <w:tcPr>
            <w:tcW w:type="dxa" w:w="2880"/>
          </w:tcPr>
          <w:p>
            <w:r>
              <w:rPr>
                <w:b/>
                <w:sz w:val="18"/>
              </w:rPr>
              <w:t>Book a Consultation</w:t>
            </w:r>
          </w:p>
        </w:tc>
        <w:tc>
          <w:tcPr>
            <w:tcW w:type="dxa" w:w="3888"/>
          </w:tcPr>
          <w:p>
            <w:r>
              <w:rPr>
                <w:sz w:val="18"/>
              </w:rPr>
              <w:t>Portal section CTA, final CTA</w:t>
            </w:r>
          </w:p>
        </w:tc>
      </w:tr>
      <w:tr>
        <w:tc>
          <w:tcPr>
            <w:tcW w:type="dxa" w:w="3600"/>
          </w:tcPr>
          <w:p>
            <w:r>
              <w:rPr>
                <w:sz w:val="18"/>
              </w:rPr>
              <w:t>/how-it-works/</w:t>
            </w:r>
          </w:p>
        </w:tc>
        <w:tc>
          <w:tcPr>
            <w:tcW w:type="dxa" w:w="2880"/>
          </w:tcPr>
          <w:p>
            <w:r>
              <w:rPr>
                <w:b/>
                <w:sz w:val="18"/>
              </w:rPr>
              <w:t>How It Works detail page</w:t>
            </w:r>
          </w:p>
        </w:tc>
        <w:tc>
          <w:tcPr>
            <w:tcW w:type="dxa" w:w="3888"/>
          </w:tcPr>
          <w:p>
            <w:r>
              <w:rPr>
                <w:sz w:val="18"/>
              </w:rPr>
              <w:t>"See the Full Process" CTA button</w:t>
            </w:r>
          </w:p>
        </w:tc>
      </w:tr>
      <w:tr>
        <w:tc>
          <w:tcPr>
            <w:tcW w:type="dxa" w:w="3600"/>
          </w:tcPr>
          <w:p>
            <w:r>
              <w:rPr>
                <w:sz w:val="18"/>
              </w:rPr>
              <w:t>#visa-options</w:t>
            </w:r>
          </w:p>
        </w:tc>
        <w:tc>
          <w:tcPr>
            <w:tcW w:type="dxa" w:w="2880"/>
          </w:tcPr>
          <w:p>
            <w:r>
              <w:rPr>
                <w:b/>
                <w:sz w:val="18"/>
              </w:rPr>
              <w:t>Visa Options section anchor</w:t>
            </w:r>
          </w:p>
        </w:tc>
        <w:tc>
          <w:tcPr>
            <w:tcW w:type="dxa" w:w="3888"/>
          </w:tcPr>
          <w:p>
            <w:r>
              <w:rPr>
                <w:sz w:val="18"/>
              </w:rPr>
              <w:t>Hero secondary CTA</w:t>
            </w:r>
          </w:p>
        </w:tc>
      </w:tr>
    </w:tbl>
    <w:p>
      <w:pPr>
        <w:spacing w:after="80"/>
      </w:pPr>
    </w:p>
    <w:p>
      <w:pPr>
        <w:keepNext/>
        <w:spacing w:before="360" w:after="120"/>
      </w:pPr>
      <w:r>
        <w:rPr>
          <w:b/>
          <w:color w:val="0C1930"/>
          <w:sz w:val="44"/>
        </w:rPr>
        <w:t>7. JSON-LD Schema Markup — Homepage</w:t>
      </w:r>
    </w:p>
    <w:tbl>
      <w:tblPr>
        <w:tblW w:type="auto" w:w="0"/>
        <w:tblLook w:firstColumn="1" w:firstRow="1" w:lastColumn="0" w:lastRow="0" w:noHBand="0" w:noVBand="1" w:val="04A0"/>
      </w:tblPr>
      <w:tblGrid>
        <w:gridCol w:w="10368"/>
      </w:tblGrid>
      <w:tr>
        <w:tc>
          <w:tcPr>
            <w:tcW w:type="dxa" w:w="9360"/>
            <w:shd w:val="clear" w:color="auto" w:fill="D4EDDA"/>
          </w:tcPr>
          <w:p>
            <w:pPr>
              <w:spacing w:before="80" w:after="80"/>
            </w:pPr>
            <w:r>
              <w:rPr>
                <w:b/>
                <w:color w:val="1E4975"/>
                <w:sz w:val="21"/>
              </w:rPr>
              <w:t xml:space="preserve">Implementation Note: </w:t>
            </w:r>
            <w:r>
              <w:rPr>
                <w:sz w:val="21"/>
              </w:rPr>
              <w:t>Paste each &lt;script&gt; block into the &lt;head&gt; of the homepage, or use a WordPress SEO plugin (Rank Math / Yoast) to inject JSON-LD. All three schemas below should be present on the homepage.</w:t>
            </w:r>
          </w:p>
        </w:tc>
      </w:tr>
    </w:tbl>
    <w:p/>
    <w:p>
      <w:pPr>
        <w:keepNext/>
        <w:spacing w:before="280" w:after="80"/>
      </w:pPr>
      <w:r>
        <w:rPr>
          <w:b/>
          <w:color w:val="0C1930"/>
          <w:sz w:val="30"/>
        </w:rPr>
        <w:t>Schema 1: Organization</w:t>
      </w:r>
    </w:p>
    <w:p>
      <w:pPr>
        <w:spacing w:after="120"/>
      </w:pPr>
      <w:r>
        <w:rPr>
          <w:sz w:val="22"/>
        </w:rPr>
        <w:t>Tells Google who the business is. Paste into the &lt;head&gt; of the homepage.</w:t>
      </w:r>
    </w:p>
    <w:p>
      <w:pPr>
        <w:spacing w:after="200"/>
      </w:pPr>
      <w:r>
        <w:rPr>
          <w:rFonts w:ascii="Courier New" w:hAnsi="Courier New"/>
          <w:color w:val="1A1A1A"/>
          <w:sz w:val="17"/>
        </w:rPr>
        <w:t>{</w:t>
        <w:br/>
        <w:t xml:space="preserve">  "@context": "https://schema.org",</w:t>
        <w:br/>
        <w:t xml:space="preserve">  "@type": "Organization",</w:t>
        <w:br/>
        <w:t xml:space="preserve">  "name": "My Spanish Visa",</w:t>
        <w:br/>
        <w:t xml:space="preserve">  "alternateName": "PLS Platinum Legal Spain",</w:t>
        <w:br/>
        <w:t xml:space="preserve">  "url": "https://www.myspanishvisa.com",</w:t>
        <w:br/>
        <w:t xml:space="preserve">  "logo": "https://www.myspanishvisa.com/wp-content/uploads/msv-logo.png",</w:t>
        <w:br/>
        <w:t xml:space="preserve">  "description": "Expert Spain visa and residency guidance for English-speaking foreigners. Non-Lucrative Visa, Digital Nomad Visa, Student Visa and renewals — fully managed online.",</w:t>
        <w:br/>
        <w:t xml:space="preserve">  "areaServed": {</w:t>
        <w:br/>
        <w:t xml:space="preserve">    "@type": "Country",</w:t>
        <w:br/>
        <w:t xml:space="preserve">    "name": "Spain"</w:t>
        <w:br/>
        <w:t xml:space="preserve">  },</w:t>
        <w:br/>
        <w:t xml:space="preserve">  "serviceType": [</w:t>
        <w:br/>
        <w:t xml:space="preserve">    "Spain Visa Applications",</w:t>
        <w:br/>
        <w:t xml:space="preserve">    "Spain Residency Guidance",</w:t>
        <w:br/>
        <w:t xml:space="preserve">    "Non-Lucrative Visa Spain",</w:t>
        <w:br/>
        <w:t xml:space="preserve">    "Digital Nomad Visa Spain",</w:t>
        <w:br/>
        <w:t xml:space="preserve">    "Spain Student Visa",</w:t>
        <w:br/>
        <w:t xml:space="preserve">    "Spain Visa Renewals"</w:t>
        <w:br/>
        <w:t xml:space="preserve">  ],</w:t>
        <w:br/>
        <w:t xml:space="preserve">  "contactPoint": {</w:t>
        <w:br/>
        <w:t xml:space="preserve">    "@type": "ContactPoint",</w:t>
        <w:br/>
        <w:t xml:space="preserve">    "contactType": "customer support",</w:t>
        <w:br/>
        <w:t xml:space="preserve">    "availableLanguage": "English",</w:t>
        <w:br/>
        <w:t xml:space="preserve">    "url": "https://www.myspanishvisa.com/book-consultation/"</w:t>
        <w:br/>
        <w:t xml:space="preserve">  },</w:t>
        <w:br/>
        <w:t xml:space="preserve">  "sameAs": [</w:t>
        <w:br/>
        <w:t xml:space="preserve">    "https://www.facebook.com/myspanishvisa",</w:t>
        <w:br/>
        <w:t xml:space="preserve">    "https://www.instagram.com/myspanishvisa",</w:t>
        <w:br/>
        <w:t xml:space="preserve">    "https://www.linkedin.com/company/my-spanish-visa"</w:t>
        <w:br/>
        <w:t xml:space="preserve">  ]</w:t>
        <w:br/>
        <w:t>}</w:t>
      </w:r>
    </w:p>
    <w:p>
      <w:pPr>
        <w:keepNext/>
        <w:spacing w:before="280" w:after="80"/>
      </w:pPr>
      <w:r>
        <w:rPr>
          <w:b/>
          <w:color w:val="0C1930"/>
          <w:sz w:val="30"/>
        </w:rPr>
        <w:t>Schema 2: WebSite</w:t>
      </w:r>
    </w:p>
    <w:p>
      <w:pPr>
        <w:spacing w:after="120"/>
      </w:pPr>
      <w:r>
        <w:rPr>
          <w:sz w:val="22"/>
        </w:rPr>
        <w:t>Enables Google Sitelinks Search Box and identifies the site.</w:t>
      </w:r>
    </w:p>
    <w:p>
      <w:pPr>
        <w:spacing w:after="200"/>
      </w:pPr>
      <w:r>
        <w:rPr>
          <w:rFonts w:ascii="Courier New" w:hAnsi="Courier New"/>
          <w:color w:val="1A1A1A"/>
          <w:sz w:val="17"/>
        </w:rPr>
        <w:t>{</w:t>
        <w:br/>
        <w:t xml:space="preserve">  "@context": "https://schema.org",</w:t>
        <w:br/>
        <w:t xml:space="preserve">  "@type": "WebSite",</w:t>
        <w:br/>
        <w:t xml:space="preserve">  "name": "My Spanish Visa",</w:t>
        <w:br/>
        <w:t xml:space="preserve">  "url": "https://www.myspanishvisa.com",</w:t>
        <w:br/>
        <w:t xml:space="preserve">  "description": "Spain visa and residency guidance for English-speaking foreigners",</w:t>
        <w:br/>
        <w:t xml:space="preserve">  "inLanguage": "en",</w:t>
        <w:br/>
        <w:t xml:space="preserve">  "potentialAction": {</w:t>
        <w:br/>
        <w:t xml:space="preserve">    "@type": "SearchAction",</w:t>
        <w:br/>
        <w:t xml:space="preserve">    "target": {</w:t>
        <w:br/>
        <w:t xml:space="preserve">      "@type": "EntryPoint",</w:t>
        <w:br/>
        <w:t xml:space="preserve">      "urlTemplate": "https://www.myspanishvisa.com/?s={search_term_string}"</w:t>
        <w:br/>
        <w:t xml:space="preserve">    },</w:t>
        <w:br/>
        <w:t xml:space="preserve">    "query-input": "required name=search_term_string"</w:t>
        <w:br/>
        <w:t xml:space="preserve">  }</w:t>
        <w:br/>
        <w:t>}</w:t>
      </w:r>
    </w:p>
    <w:p>
      <w:pPr>
        <w:keepNext/>
        <w:spacing w:before="280" w:after="80"/>
      </w:pPr>
      <w:r>
        <w:rPr>
          <w:b/>
          <w:color w:val="0C1930"/>
          <w:sz w:val="30"/>
        </w:rPr>
        <w:t>Schema 3: FAQPage</w:t>
      </w:r>
    </w:p>
    <w:p>
      <w:pPr>
        <w:spacing w:after="120"/>
      </w:pPr>
      <w:r>
        <w:rPr>
          <w:sz w:val="22"/>
        </w:rPr>
        <w:t>Enables FAQ rich results in Google Search — expandable Q&amp;As directly in the SERP.</w:t>
      </w:r>
    </w:p>
    <w:p>
      <w:pPr>
        <w:spacing w:after="200"/>
      </w:pPr>
      <w:r>
        <w:rPr>
          <w:rFonts w:ascii="Courier New" w:hAnsi="Courier New"/>
          <w:color w:val="1A1A1A"/>
          <w:sz w:val="17"/>
        </w:rPr>
        <w:t>{</w:t>
        <w:br/>
        <w:t xml:space="preserve">  "@context": "https://schema.org",</w:t>
        <w:br/>
        <w:t xml:space="preserve">  "@type": "FAQPage",</w:t>
        <w:br/>
        <w:t xml:space="preserve">  "mainEntity": [</w:t>
        <w:br/>
        <w:t xml:space="preserve">    {</w:t>
        <w:br/>
        <w:t xml:space="preserve">      "@type": "Question",</w:t>
        <w:br/>
        <w:t xml:space="preserve">      "name": "What is the easiest visa to get for Spain?",</w:t>
        <w:br/>
        <w:t xml:space="preserve">      "acceptedAnswer": {</w:t>
        <w:br/>
        <w:t xml:space="preserve">        "@type": "Answer",</w:t>
        <w:br/>
        <w:t xml:space="preserve">        "text": "There is no single easiest visa — it depends on your circumstances. The Non-Lucrative Visa suits those with passive income or savings. The Digital Nomad Visa suits remote workers. The right visa is the one you qualify for and that matches how you plan to live in Spain."</w:t>
        <w:br/>
        <w:t xml:space="preserve">      }</w:t>
        <w:br/>
        <w:t xml:space="preserve">    },</w:t>
        <w:br/>
        <w:t xml:space="preserve">    {</w:t>
        <w:br/>
        <w:t xml:space="preserve">      "@type": "Question",</w:t>
        <w:br/>
        <w:t xml:space="preserve">      "name": "Can I work on a Spain Non-Lucrative Visa?",</w:t>
        <w:br/>
        <w:t xml:space="preserve">      "acceptedAnswer": {</w:t>
        <w:br/>
        <w:t xml:space="preserve">        "@type": "Answer",</w:t>
        <w:br/>
        <w:t xml:space="preserve">        "text": "No. The Non-Lucrative Visa does not permit you to work for Spanish employers or operate as a self-employed professional in Spain. If you work remotely for a non-Spanish employer, the Digital Nomad Visa may be a better fit."</w:t>
        <w:br/>
        <w:t xml:space="preserve">      }</w:t>
        <w:br/>
        <w:t xml:space="preserve">    },</w:t>
        <w:br/>
        <w:t xml:space="preserve">    {</w:t>
        <w:br/>
        <w:t xml:space="preserve">      "@type": "Question",</w:t>
        <w:br/>
        <w:t xml:space="preserve">      "name": "How long does a Spain visa application take?",</w:t>
        <w:br/>
        <w:t xml:space="preserve">      "acceptedAnswer": {</w:t>
        <w:br/>
        <w:t xml:space="preserve">        "@type": "Answer",</w:t>
        <w:br/>
        <w:t xml:space="preserve">        "text": "Processing times vary. The Non-Lucrative Visa and Student Visa typically take 4-8 weeks via the Spanish consulate. The Digital Nomad Visa via the UGE in Spain is usually processed in around 20 working days."</w:t>
        <w:br/>
        <w:t xml:space="preserve">      }</w:t>
        <w:br/>
        <w:t xml:space="preserve">    },</w:t>
        <w:br/>
        <w:t xml:space="preserve">    {</w:t>
        <w:br/>
        <w:t xml:space="preserve">      "@type": "Question",</w:t>
        <w:br/>
        <w:t xml:space="preserve">      "name": "Can I apply for a Spanish visa from inside Spain?",</w:t>
        <w:br/>
        <w:t xml:space="preserve">      "acceptedAnswer": {</w:t>
        <w:br/>
        <w:t xml:space="preserve">        "@type": "Answer",</w:t>
        <w:br/>
        <w:t xml:space="preserve">        "text": "It depends on the visa. The Digital Nomad Visa can be applied for from inside Spain via the UGE, entirely online. Most other visas must be applied for from your home country through the Spanish consulate."</w:t>
        <w:br/>
        <w:t xml:space="preserve">      }</w:t>
        <w:br/>
        <w:t xml:space="preserve">    },</w:t>
        <w:br/>
        <w:t xml:space="preserve">    {</w:t>
        <w:br/>
        <w:t xml:space="preserve">      "@type": "Question",</w:t>
        <w:br/>
        <w:t xml:space="preserve">      "name": "Do I need to speak Spanish to apply for a visa?",</w:t>
        <w:br/>
        <w:t xml:space="preserve">      "acceptedAnswer": {</w:t>
        <w:br/>
        <w:t xml:space="preserve">        "@type": "Answer",</w:t>
        <w:br/>
        <w:t xml:space="preserve">        "text": "No. You do not need to speak Spanish to apply. Documents must be translated into Spanish by a sworn translator, but we manage all translations as part of our service."</w:t>
        <w:br/>
        <w:t xml:space="preserve">      }</w:t>
        <w:br/>
        <w:t xml:space="preserve">    },</w:t>
        <w:br/>
        <w:t xml:space="preserve">    {</w:t>
        <w:br/>
        <w:t xml:space="preserve">      "@type": "Question",</w:t>
        <w:br/>
        <w:t xml:space="preserve">      "name": "What is a NIE and do I need one?",</w:t>
        <w:br/>
        <w:t xml:space="preserve">      "acceptedAnswer": {</w:t>
        <w:br/>
        <w:t xml:space="preserve">        "@type": "Answer",</w:t>
        <w:br/>
        <w:t xml:space="preserve">        "text": "The NIE (Numero de Identificacion de Extranjero) is a tax identification number for foreigners in Spain. You need it to open a bank account, buy property, sign a lease, or deal with any official matter in Spain."</w:t>
        <w:br/>
        <w:t xml:space="preserve">      }</w:t>
        <w:br/>
        <w:t xml:space="preserve">    },</w:t>
        <w:br/>
        <w:t xml:space="preserve">    {</w:t>
        <w:br/>
        <w:t xml:space="preserve">      "@type": "Question",</w:t>
        <w:br/>
        <w:t xml:space="preserve">      "name": "What nationalities do you help?",</w:t>
        <w:br/>
        <w:t xml:space="preserve">      "acceptedAnswer": {</w:t>
        <w:br/>
        <w:t xml:space="preserve">        "@type": "Answer",</w:t>
        <w:br/>
        <w:t xml:space="preserve">        "text": "We help English-speaking foreigners from any non-EU nationality, most commonly from the UK, USA, Canada, Australia, Ireland, South Africa, and New Zealand."</w:t>
        <w:br/>
        <w:t xml:space="preserve">      }</w:t>
        <w:br/>
        <w:t xml:space="preserve">    },</w:t>
        <w:br/>
        <w:t xml:space="preserve">    {</w:t>
        <w:br/>
        <w:t xml:space="preserve">      "@type": "Question",</w:t>
        <w:br/>
        <w:t xml:space="preserve">      "name": "What happens if my visa application is rejected?",</w:t>
        <w:br/>
        <w:t xml:space="preserve">      "acceptedAnswer": {</w:t>
        <w:br/>
        <w:t xml:space="preserve">        "@type": "Answer",</w:t>
        <w:br/>
        <w:t xml:space="preserve">        "text": "A rejection is not necessarily the end. You may be able to appeal or reapply with corrected documentation. Our team reviews all documents before submission to reduce the risk of rejection."</w:t>
        <w:br/>
        <w:t xml:space="preserve">      }</w:t>
        <w:br/>
        <w:t xml:space="preserve">    }</w:t>
        <w:br/>
        <w:t xml:space="preserve">  ]</w:t>
        <w:br/>
        <w:t>}</w:t>
      </w:r>
    </w:p>
    <w:p>
      <w:pPr>
        <w:keepNext/>
        <w:spacing w:before="360" w:after="120"/>
      </w:pPr>
      <w:r>
        <w:rPr>
          <w:b/>
          <w:color w:val="0C1930"/>
          <w:sz w:val="44"/>
        </w:rPr>
        <w:t>8. WordPress Implementation Checklist</w:t>
      </w:r>
    </w:p>
    <w:p>
      <w:pPr>
        <w:pStyle w:val="ListBullet"/>
        <w:spacing w:after="60"/>
      </w:pPr>
      <w:r>
        <w:rPr>
          <w:b/>
          <w:color w:val="0C1930"/>
          <w:sz w:val="22"/>
        </w:rPr>
        <w:t xml:space="preserve">Theme: </w:t>
      </w:r>
      <w:r>
        <w:rPr>
          <w:sz w:val="22"/>
        </w:rPr>
        <w:t>Switch to Hello Elementor theme (not Crafto) to prevent CSS conflicts</w:t>
      </w:r>
    </w:p>
    <w:p>
      <w:pPr>
        <w:pStyle w:val="ListBullet"/>
        <w:spacing w:after="60"/>
      </w:pPr>
      <w:r>
        <w:rPr>
          <w:b/>
          <w:color w:val="0C1930"/>
          <w:sz w:val="22"/>
        </w:rPr>
        <w:t xml:space="preserve">SEO Plugin: </w:t>
      </w:r>
      <w:r>
        <w:rPr>
          <w:sz w:val="22"/>
        </w:rPr>
        <w:t>Set SEO title and meta description via Rank Math or Yoast</w:t>
      </w:r>
    </w:p>
    <w:p>
      <w:pPr>
        <w:pStyle w:val="ListBullet"/>
        <w:spacing w:after="60"/>
      </w:pPr>
      <w:r>
        <w:rPr>
          <w:b/>
          <w:color w:val="0C1930"/>
          <w:sz w:val="22"/>
        </w:rPr>
        <w:t xml:space="preserve">Schema: </w:t>
      </w:r>
      <w:r>
        <w:rPr>
          <w:sz w:val="22"/>
        </w:rPr>
        <w:t>Add all 3 JSON-LD blocks to &lt;head&gt; (Organization + WebSite + FAQPage)</w:t>
      </w:r>
    </w:p>
    <w:p>
      <w:pPr>
        <w:pStyle w:val="ListBullet"/>
        <w:spacing w:after="60"/>
      </w:pPr>
      <w:r>
        <w:rPr>
          <w:b/>
          <w:color w:val="0C1930"/>
          <w:sz w:val="22"/>
        </w:rPr>
        <w:t xml:space="preserve">HTML Widget: </w:t>
      </w:r>
      <w:r>
        <w:rPr>
          <w:sz w:val="22"/>
        </w:rPr>
        <w:t>Paste homepage.html into an Elementor HTML widget set to Full Width</w:t>
      </w:r>
    </w:p>
    <w:p>
      <w:pPr>
        <w:pStyle w:val="ListBullet"/>
        <w:spacing w:after="60"/>
      </w:pPr>
      <w:r>
        <w:rPr>
          <w:b/>
          <w:color w:val="0C1930"/>
          <w:sz w:val="22"/>
        </w:rPr>
        <w:t xml:space="preserve">Links: </w:t>
      </w:r>
      <w:r>
        <w:rPr>
          <w:sz w:val="22"/>
        </w:rPr>
        <w:t>Update all href values to match your actual WordPress permalink structure</w:t>
      </w:r>
    </w:p>
    <w:p>
      <w:pPr>
        <w:pStyle w:val="ListBullet"/>
        <w:spacing w:after="60"/>
      </w:pPr>
      <w:r>
        <w:rPr>
          <w:b/>
          <w:color w:val="0C1930"/>
          <w:sz w:val="22"/>
        </w:rPr>
        <w:t xml:space="preserve">Images: </w:t>
      </w:r>
      <w:r>
        <w:rPr>
          <w:sz w:val="22"/>
        </w:rPr>
        <w:t>Confirm MSV logo URL is correct in Organization schema</w:t>
      </w:r>
    </w:p>
    <w:p>
      <w:pPr>
        <w:pStyle w:val="ListBullet"/>
        <w:spacing w:after="60"/>
      </w:pPr>
      <w:r>
        <w:rPr>
          <w:b/>
          <w:color w:val="0C1930"/>
          <w:sz w:val="22"/>
        </w:rPr>
        <w:t xml:space="preserve">Social: </w:t>
      </w:r>
      <w:r>
        <w:rPr>
          <w:sz w:val="22"/>
        </w:rPr>
        <w:t>Update sameAs URLs in Organization schema to your real social profiles</w:t>
      </w:r>
    </w:p>
    <w:p>
      <w:pPr>
        <w:pStyle w:val="ListBullet"/>
        <w:spacing w:after="60"/>
      </w:pPr>
      <w:r>
        <w:rPr>
          <w:b/>
          <w:color w:val="0C1930"/>
          <w:sz w:val="22"/>
        </w:rPr>
        <w:t xml:space="preserve">Speed: </w:t>
      </w:r>
      <w:r>
        <w:rPr>
          <w:sz w:val="22"/>
        </w:rPr>
        <w:t>Install a caching plugin (LiteSpeed Cache or WP Rocket) — Hello Elementor is fast but caching helps</w:t>
      </w:r>
    </w:p>
    <w:p>
      <w:pPr>
        <w:pStyle w:val="ListBullet"/>
        <w:spacing w:after="60"/>
      </w:pPr>
      <w:r>
        <w:rPr>
          <w:b/>
          <w:color w:val="0C1930"/>
          <w:sz w:val="22"/>
        </w:rPr>
        <w:t xml:space="preserve">Canonical: </w:t>
      </w:r>
      <w:r>
        <w:rPr>
          <w:sz w:val="22"/>
        </w:rPr>
        <w:t>Confirm canonical URL is set to https://www.myspanishvisa.com/ (no trailing slash variation)</w:t>
      </w:r>
    </w:p>
    <w:p>
      <w:pPr>
        <w:pStyle w:val="ListBullet"/>
        <w:spacing w:after="60"/>
      </w:pPr>
      <w:r>
        <w:rPr>
          <w:b/>
          <w:color w:val="0C1930"/>
          <w:sz w:val="22"/>
        </w:rPr>
        <w:t xml:space="preserve">Analytics: </w:t>
      </w:r>
      <w:r>
        <w:rPr>
          <w:sz w:val="22"/>
        </w:rPr>
        <w:t>Verify Google Analytics / GA4 tag fires on homepage</w:t>
      </w:r>
    </w:p>
    <w:p>
      <w:pPr>
        <w:pStyle w:val="ListBullet"/>
        <w:spacing w:after="60"/>
      </w:pPr>
      <w:r>
        <w:rPr>
          <w:b/>
          <w:color w:val="0C1930"/>
          <w:sz w:val="22"/>
        </w:rPr>
        <w:t xml:space="preserve">Search Console: </w:t>
      </w:r>
      <w:r>
        <w:rPr>
          <w:sz w:val="22"/>
        </w:rPr>
        <w:t>Submit homepage URL in Google Search Console after launch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