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365D"/>
          <w:sz w:val="22"/>
          <w:szCs w:val="22"/>
        </w:rPr>
        <w:t xml:space="preserve">SEO &amp; PAGE METADATA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Page Title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Spain Digital Nomad Visa vs Non-Lucrative Visa: Which Is Right for You?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Slug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/blog/digital-nomad-visa-vs-non-lucrative-visa-spain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Parent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Digital Nomad Visa Spain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Meta Title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Digital Nomad Visa vs Non-Lucrative Visa Spain 2026 | My Spanish Visa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Meta Description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DNV or NLV? Compare Spain’s Digital Nomad Visa and Non-Lucrative Visa side by side — work rights, income requirements, tax, and which is right for your situation.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Social Title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Spain Digital Nomad Visa vs Non-Lucrative Visa: Which Is Right for You?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Social Description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Two of Spain’s most popular visas, very different rules. Here’s how to choose the right one.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Focus Keyphrase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digital nomad visa vs non-lucrative visa Spain</w:t>
            </w:r>
          </w:p>
        </w:tc>
      </w:tr>
    </w:tbl>
    <w:p>
      <w:pPr>
        <w:spacing w:after="100" w:before="300"/>
      </w:pPr>
      <w:r>
        <w:rPr>
          <w:rFonts w:ascii="Arial" w:cs="Arial" w:eastAsia="Arial" w:hAnsi="Arial"/>
          <w:b/>
          <w:bCs/>
          <w:color w:val="1B365D"/>
          <w:sz w:val="18"/>
          <w:szCs w:val="18"/>
        </w:rPr>
        <w:t xml:space="preserve">JSON (for import):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{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"page_title": "Spain Digital Nomad Visa vs Non-Lucrative Visa: Which Is Right for You?",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"slug": "/blog/digital-nomad-visa-vs-non-lucrative-visa-spain",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"parent": "Digital Nomad Visa Spain",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"meta_title": "Digital Nomad Visa vs Non-Lucrative Visa Spain 2026 | My Spanish Visa",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"meta_description": "DNV or NLV? Compare Spain’s Digital Nomad Visa and Non-Lucrative Visa side by side — work rights, income requirements, tax, and which is right for your situation.",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"social_title": "Spain Digital Nomad Visa vs Non-Lucrative Visa: Which Is Right for You?",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"social_description": "Two of Spain’s most popular visas, very different rules. Here’s how to choose the right one.",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"focus_keyphrase": "digital nomad visa vs non-lucrative visa Spain"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}</w:t>
      </w:r>
    </w:p>
    <w:p>
      <w:pPr>
        <w:pBdr>
          <w:bottom w:val="single" w:color="1B365D" w:sz="6" w:space="1"/>
        </w:pBdr>
        <w:spacing w:after="400" w:before="4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B365D"/>
          <w:sz w:val="22"/>
          <w:szCs w:val="22"/>
        </w:rPr>
        <w:t xml:space="preserve">WORDPRESS-READY BLOG CONTENT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Copy everything below this line into your WordPress post editor. Headings are formatted as H1, H2, H3.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65D"/>
          <w:sz w:val="36"/>
          <w:szCs w:val="36"/>
        </w:rPr>
        <w:t xml:space="preserve">Spain Digital Nomad Visa vs Non-Lucrative Visa: Which Is Right for You?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Digital Nomad Visa and the Non-Lucrative Visa are two of the most popular routes to living in Spain for non-EU citizens. They both offer residency, but they’re designed for very different situations. Choosing the wrong one can lead to legal issues, tax complications, or visa rejection.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guide compares them side by side so you can make the right choice.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The Key Difference: Work vs No Work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fundamental distinction is simple. The Digital Nomad Visa allows you to work remotely from Spain for a foreign employer or foreign clients. The Non-Lucrative Visa does not allow any work activity whatsoever.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you need to earn money while living in Spain — whether from remote employment, freelancing, or running a business — the DNV is your visa. If you can support yourself entirely from passive income, savings, or a pension, the NLV is likely the better fit.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Income Requirements Compared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DNV has a higher income threshold than the NLV. Digital Nomad Visa applicants typically need to demonstrate earnings of at least 200% of the Spanish minimum wage, which translates to roughly €2,520 per month or approximately €30,240 per year for a single applicant.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NLV requires 400% of the IPREM, which is approximately €2,400 per month or €28,800 per year. The numbers are similar, but the source of the income is different — the DNV requires active earnings, while the NLV requires passive income.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Tax Treatment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DNV offers a significant tax advantage through access to the Beckham Law, which can reduce your tax rate to a flat 24% on Spanish-source income for up to six years. NLV holders pay standard Spanish tax rates on worldwide income (progressive rates up to 47%).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 anyone earning a meaningful salary, this tax difference alone can make the DNV substantially more attractive from a financial perspective.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Documentation and Process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Both visas are applied for at the Spanish consulate in your country of residence. The NLV process is well-established and relatively straightforward. The DNV is newer and some consulates are still refining their processes, which can mean slightly more uncertainty.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DNV requires additional documentation related to your work arrangement — typically an employer letter confirming remote work, proof of your professional activity, and evidence of your relationship with your employer or clients.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Quick Comparison Table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Work rights: DNV — Yes (remote work for foreign entities) | NLV — No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Income source: DNV — Active earnings (salary/freelance) | NLV — Passive income (pension/investments/savings)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Income threshold: DNV — ~€30,240/year | NLV — ~€28,800/year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Beckham Law access: DNV — Yes | NLV — Generally no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Standard tax rate: DNV — Flat 24% (Beckham) | NLV — Progressive up to 47%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Process maturity: DNV — Newer, still evolving | NLV — Well-established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Best for: DNV — Remote workers, freelancers | NLV — Retirees, passive income earners</w:t>
      </w:r>
    </w:p>
    <w:p>
      <w:pPr>
        <w:pBdr>
          <w:left w:val="single" w:color="E8833A" w:sz="12" w:space="8"/>
        </w:pBdr>
        <w:shd w:fill="F0F7FF" w:val="clear"/>
        <w:spacing w:after="100" w:before="300"/>
        <w:ind w:left="200"/>
      </w:pPr>
      <w:r>
        <w:rPr>
          <w:rFonts w:ascii="Arial" w:cs="Arial" w:eastAsia="Arial" w:hAnsi="Arial"/>
          <w:b/>
          <w:bCs/>
          <w:color w:val="1B365D"/>
          <w:sz w:val="22"/>
          <w:szCs w:val="22"/>
        </w:rPr>
        <w:t xml:space="preserve">Not sure which visa is right for you?</w:t>
      </w:r>
    </w:p>
    <w:p>
      <w:pPr>
        <w:pBdr>
          <w:left w:val="single" w:color="E8833A" w:sz="12" w:space="8"/>
        </w:pBdr>
        <w:shd w:fill="F0F7FF" w:val="clear"/>
        <w:spacing w:after="100"/>
        <w:ind w:left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Take our free eligibility check. We’ll assess your situation and recommend the best route.</w:t>
      </w:r>
    </w:p>
    <w:p>
      <w:pPr>
        <w:pBdr>
          <w:left w:val="single" w:color="E8833A" w:sz="12" w:space="8"/>
        </w:pBdr>
        <w:shd w:fill="F0F7FF" w:val="clear"/>
        <w:spacing w:after="300"/>
        <w:ind w:left="200"/>
      </w:pPr>
      <w:r>
        <w:rPr>
          <w:rFonts w:ascii="Arial" w:cs="Arial" w:eastAsia="Arial" w:hAnsi="Arial"/>
          <w:b/>
          <w:bCs/>
          <w:color w:val="E8833A"/>
          <w:sz w:val="22"/>
          <w:szCs w:val="22"/>
        </w:rPr>
        <w:t xml:space="preserve">[Check Your Eligibility →]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When to Choose the DNV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Choose the Digital Nomad Visa if you work remotely for a company outside Spain, you freelance for international clients, you want to benefit from the Beckham Law’s flat tax rate, or your income is primarily from active work.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When to Choose the NLV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Choose the Non-Lucrative Visa if you are retired and living on a pension, your income is from investments, rental income, or savings, you have no need or intention to work, or you want the simplest, most established visa process.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Frequently Asked Questions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65D"/>
          <w:sz w:val="22"/>
          <w:szCs w:val="22"/>
        </w:rPr>
        <w:t xml:space="preserve">Can I switch from an NLV to a DNV?</w:t>
      </w:r>
    </w:p>
    <w:p>
      <w:pPr>
        <w:spacing w:after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 change of status (modificación) may be possible in some circumstances, but it’s not guaranteed. It’s usually easier and more reliable to apply for the correct visa from the start.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65D"/>
          <w:sz w:val="22"/>
          <w:szCs w:val="22"/>
        </w:rPr>
        <w:t xml:space="preserve">What if I have both passive and active income?</w:t>
      </w:r>
    </w:p>
    <w:p>
      <w:pPr>
        <w:spacing w:after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If you earn active income (from work), the NLV is not appropriate regardless of whether you also have passive income. The DNV accommodates both types of income.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65D"/>
          <w:sz w:val="22"/>
          <w:szCs w:val="22"/>
        </w:rPr>
        <w:t xml:space="preserve">Which visa leads to permanent residency faster?</w:t>
      </w:r>
    </w:p>
    <w:p>
      <w:pPr>
        <w:spacing w:after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Both follow the same path: five years of continuous temporary residency leads to eligibility for permanent residency. Neither is faster than the other.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65D"/>
          <w:sz w:val="20"/>
          <w:szCs w:val="20"/>
        </w:rPr>
        <w:t xml:space="preserve">Suggested Internal Links:</w:t>
      </w:r>
    </w:p>
    <w:p>
      <w:pPr>
        <w:spacing w:after="60"/>
      </w:pPr>
      <w:r>
        <w:rPr>
          <w:rFonts w:ascii="Arial" w:cs="Arial" w:eastAsia="Arial" w:hAnsi="Arial"/>
          <w:color w:val="E8833A"/>
          <w:sz w:val="18"/>
          <w:szCs w:val="18"/>
        </w:rPr>
        <w:t xml:space="preserve">→ /digital-nomad-visa-spain — Digital Nomad Visa Spain: Complete Guide</w:t>
      </w:r>
    </w:p>
    <w:p>
      <w:pPr>
        <w:spacing w:after="60"/>
      </w:pPr>
      <w:r>
        <w:rPr>
          <w:rFonts w:ascii="Arial" w:cs="Arial" w:eastAsia="Arial" w:hAnsi="Arial"/>
          <w:color w:val="E8833A"/>
          <w:sz w:val="18"/>
          <w:szCs w:val="18"/>
        </w:rPr>
        <w:t xml:space="preserve">→ /non-lucrative-visa-spain — Non-Lucrative Visa Spain: Complete Guide</w:t>
      </w:r>
    </w:p>
    <w:p>
      <w:pPr>
        <w:spacing w:after="60"/>
      </w:pPr>
      <w:r>
        <w:rPr>
          <w:rFonts w:ascii="Arial" w:cs="Arial" w:eastAsia="Arial" w:hAnsi="Arial"/>
          <w:color w:val="E8833A"/>
          <w:sz w:val="18"/>
          <w:szCs w:val="18"/>
        </w:rPr>
        <w:t xml:space="preserve">→ /compare-spain-visas — Compare All Spain Visa Options</w:t>
      </w:r>
    </w:p>
    <w:p>
      <w:pPr>
        <w:spacing w:after="60"/>
      </w:pPr>
      <w:r>
        <w:rPr>
          <w:rFonts w:ascii="Arial" w:cs="Arial" w:eastAsia="Arial" w:hAnsi="Arial"/>
          <w:color w:val="E8833A"/>
          <w:sz w:val="18"/>
          <w:szCs w:val="18"/>
        </w:rPr>
        <w:t xml:space="preserve">→ /blog/beckham-law-digital-nomad-visa-spain — Beckham Law and the DNV</w:t>
      </w:r>
    </w:p>
    <w:p>
      <w:pPr>
        <w:spacing w:after="60"/>
      </w:pPr>
      <w:r>
        <w:rPr>
          <w:rFonts w:ascii="Arial" w:cs="Arial" w:eastAsia="Arial" w:hAnsi="Arial"/>
          <w:color w:val="E8833A"/>
          <w:sz w:val="18"/>
          <w:szCs w:val="18"/>
        </w:rPr>
        <w:t xml:space="preserve">→ /blog/which-spain-visa-right-for-me — Which Spain Visa Is Right for Me?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365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1B365D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2026-04-11T14:02:41.014Z</dcterms:created>
  <dcterms:modified xsi:type="dcterms:W3CDTF">2026-04-11T14:02:41.014Z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