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olor w:val="6B7B8D"/>
          <w:sz w:val="20"/>
        </w:rPr>
        <w:t>MY SPANISH VISA  ·  PAGE COPY DOCUMENT</w:t>
      </w:r>
    </w:p>
    <w:p>
      <w:pPr>
        <w:jc w:val="center"/>
      </w:pPr>
      <w:r>
        <w:rPr>
          <w:rFonts w:ascii="Calibri" w:hAnsi="Calibri"/>
          <w:b/>
          <w:color w:val="1A2E4A"/>
          <w:sz w:val="40"/>
        </w:rPr>
        <w:t>Non-Lucrative Visa Spain — Pillar Page</w:t>
      </w:r>
    </w:p>
    <w:p>
      <w:pPr>
        <w:pBdr>
          <w:bottom w:val="single" w:sz="6" w:space="1" w:color="C9A03A"/>
        </w:pBdr>
        <w:spacing w:after="160"/>
      </w:pP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1A2E4A"/>
            <w:vAlign w:val="center"/>
          </w:tcPr>
          <w:p>
            <w:pPr>
              <w:spacing w:after="0"/>
            </w:pPr>
            <w:r>
              <w:rPr>
                <w:rFonts w:ascii="Calibri" w:hAnsi="Calibri"/>
                <w:b/>
                <w:color w:val="FFFFFF"/>
                <w:sz w:val="19"/>
              </w:rPr>
              <w:t>Field</w:t>
            </w:r>
          </w:p>
        </w:tc>
        <w:tc>
          <w:tcPr>
            <w:tcW w:type="dxa" w:w="7632"/>
            <w:shd w:val="clear" w:color="auto" w:fill="1A2E4A"/>
            <w:vAlign w:val="center"/>
          </w:tcPr>
          <w:p>
            <w:pPr>
              <w:spacing w:after="0"/>
            </w:pPr>
            <w:r>
              <w:rPr>
                <w:rFonts w:ascii="Calibri" w:hAnsi="Calibri"/>
                <w:b/>
                <w:color w:val="FFFFFF"/>
                <w:sz w:val="19"/>
              </w:rPr>
              <w:t>Value</w:t>
            </w:r>
          </w:p>
        </w:tc>
      </w:tr>
      <w:tr>
        <w:tc>
          <w:tcPr>
            <w:tcW w:type="dxa" w:w="2880"/>
            <w:shd w:val="clear" w:color="auto" w:fill="F4F7FA"/>
          </w:tcPr>
          <w:p>
            <w:pPr>
              <w:spacing w:after="0"/>
            </w:pPr>
            <w:r>
              <w:rPr>
                <w:rFonts w:ascii="Calibri" w:hAnsi="Calibri"/>
                <w:color w:val="1C1C1C"/>
                <w:sz w:val="19"/>
              </w:rPr>
              <w:t>Page Title (SEO)</w:t>
            </w:r>
          </w:p>
        </w:tc>
        <w:tc>
          <w:tcPr>
            <w:tcW w:type="dxa" w:w="7632"/>
            <w:shd w:val="clear" w:color="auto" w:fill="F4F7FA"/>
          </w:tcPr>
          <w:p>
            <w:pPr>
              <w:spacing w:after="0"/>
            </w:pPr>
            <w:r>
              <w:rPr>
                <w:rFonts w:ascii="Calibri" w:hAnsi="Calibri"/>
                <w:color w:val="1C1C1C"/>
                <w:sz w:val="19"/>
              </w:rPr>
              <w:t>Non-Lucrative Visa Spain: Complete 2026 Guide</w:t>
            </w:r>
          </w:p>
        </w:tc>
      </w:tr>
      <w:tr>
        <w:tc>
          <w:tcPr>
            <w:tcW w:type="dxa" w:w="2880"/>
            <w:shd w:val="clear" w:color="auto" w:fill="FFFFFF"/>
          </w:tcPr>
          <w:p>
            <w:pPr>
              <w:spacing w:after="0"/>
            </w:pPr>
            <w:r>
              <w:rPr>
                <w:rFonts w:ascii="Calibri" w:hAnsi="Calibri"/>
                <w:color w:val="1C1C1C"/>
                <w:sz w:val="19"/>
              </w:rPr>
              <w:t>Meta Description</w:t>
            </w:r>
          </w:p>
        </w:tc>
        <w:tc>
          <w:tcPr>
            <w:tcW w:type="dxa" w:w="7632"/>
            <w:shd w:val="clear" w:color="auto" w:fill="FFFFFF"/>
          </w:tcPr>
          <w:p>
            <w:pPr>
              <w:spacing w:after="0"/>
            </w:pPr>
            <w:r>
              <w:rPr>
                <w:rFonts w:ascii="Calibri" w:hAnsi="Calibri"/>
                <w:color w:val="1C1C1C"/>
                <w:sz w:val="19"/>
              </w:rPr>
              <w:t>Everything you need to know about the Spain Non-Lucrative Visa — requirements, income thresholds, documents, application process, and costs. Expert help from My Spanish Visa, powered by PLS Platinum Legal Spain.</w:t>
            </w:r>
          </w:p>
        </w:tc>
      </w:tr>
      <w:tr>
        <w:tc>
          <w:tcPr>
            <w:tcW w:type="dxa" w:w="2880"/>
            <w:shd w:val="clear" w:color="auto" w:fill="F4F7FA"/>
          </w:tcPr>
          <w:p>
            <w:pPr>
              <w:spacing w:after="0"/>
            </w:pPr>
            <w:r>
              <w:rPr>
                <w:rFonts w:ascii="Calibri" w:hAnsi="Calibri"/>
                <w:color w:val="1C1C1C"/>
                <w:sz w:val="19"/>
              </w:rPr>
              <w:t>URL Slug</w:t>
            </w:r>
          </w:p>
        </w:tc>
        <w:tc>
          <w:tcPr>
            <w:tcW w:type="dxa" w:w="7632"/>
            <w:shd w:val="clear" w:color="auto" w:fill="F4F7FA"/>
          </w:tcPr>
          <w:p>
            <w:pPr>
              <w:spacing w:after="0"/>
            </w:pPr>
            <w:r>
              <w:rPr>
                <w:rFonts w:ascii="Calibri" w:hAnsi="Calibri"/>
                <w:color w:val="1C1C1C"/>
                <w:sz w:val="19"/>
              </w:rPr>
              <w:t>/non-lucrative-visa-spain/</w:t>
            </w:r>
          </w:p>
        </w:tc>
      </w:tr>
      <w:tr>
        <w:tc>
          <w:tcPr>
            <w:tcW w:type="dxa" w:w="2880"/>
            <w:shd w:val="clear" w:color="auto" w:fill="FFFFFF"/>
          </w:tcPr>
          <w:p>
            <w:pPr>
              <w:spacing w:after="0"/>
            </w:pPr>
            <w:r>
              <w:rPr>
                <w:rFonts w:ascii="Calibri" w:hAnsi="Calibri"/>
                <w:color w:val="1C1C1C"/>
                <w:sz w:val="19"/>
              </w:rPr>
              <w:t>H1</w:t>
            </w:r>
          </w:p>
        </w:tc>
        <w:tc>
          <w:tcPr>
            <w:tcW w:type="dxa" w:w="7632"/>
            <w:shd w:val="clear" w:color="auto" w:fill="FFFFFF"/>
          </w:tcPr>
          <w:p>
            <w:pPr>
              <w:spacing w:after="0"/>
            </w:pPr>
            <w:r>
              <w:rPr>
                <w:rFonts w:ascii="Calibri" w:hAnsi="Calibri"/>
                <w:color w:val="1C1C1C"/>
                <w:sz w:val="19"/>
              </w:rPr>
              <w:t>Non-Lucrative Visa Spain: The Complete Guide</w:t>
            </w:r>
          </w:p>
        </w:tc>
      </w:tr>
      <w:tr>
        <w:tc>
          <w:tcPr>
            <w:tcW w:type="dxa" w:w="2880"/>
            <w:shd w:val="clear" w:color="auto" w:fill="F4F7FA"/>
          </w:tcPr>
          <w:p>
            <w:pPr>
              <w:spacing w:after="0"/>
            </w:pPr>
            <w:r>
              <w:rPr>
                <w:rFonts w:ascii="Calibri" w:hAnsi="Calibri"/>
                <w:color w:val="1C1C1C"/>
                <w:sz w:val="19"/>
              </w:rPr>
              <w:t>Primary Keyword</w:t>
            </w:r>
          </w:p>
        </w:tc>
        <w:tc>
          <w:tcPr>
            <w:tcW w:type="dxa" w:w="7632"/>
            <w:shd w:val="clear" w:color="auto" w:fill="F4F7FA"/>
          </w:tcPr>
          <w:p>
            <w:pPr>
              <w:spacing w:after="0"/>
            </w:pPr>
            <w:r>
              <w:rPr>
                <w:rFonts w:ascii="Calibri" w:hAnsi="Calibri"/>
                <w:color w:val="1C1C1C"/>
                <w:sz w:val="19"/>
              </w:rPr>
              <w:t>non lucrative visa Spain</w:t>
            </w:r>
          </w:p>
        </w:tc>
      </w:tr>
      <w:tr>
        <w:tc>
          <w:tcPr>
            <w:tcW w:type="dxa" w:w="2880"/>
            <w:shd w:val="clear" w:color="auto" w:fill="FFFFFF"/>
          </w:tcPr>
          <w:p>
            <w:pPr>
              <w:spacing w:after="0"/>
            </w:pPr>
            <w:r>
              <w:rPr>
                <w:rFonts w:ascii="Calibri" w:hAnsi="Calibri"/>
                <w:color w:val="1C1C1C"/>
                <w:sz w:val="19"/>
              </w:rPr>
              <w:t>Secondary Keywords</w:t>
            </w:r>
          </w:p>
        </w:tc>
        <w:tc>
          <w:tcPr>
            <w:tcW w:type="dxa" w:w="7632"/>
            <w:shd w:val="clear" w:color="auto" w:fill="FFFFFF"/>
          </w:tcPr>
          <w:p>
            <w:pPr>
              <w:spacing w:after="0"/>
            </w:pPr>
            <w:r>
              <w:rPr>
                <w:rFonts w:ascii="Calibri" w:hAnsi="Calibri"/>
                <w:color w:val="1C1C1C"/>
                <w:sz w:val="19"/>
              </w:rPr>
              <w:t>Spain retirement visa, Spain passive income visa, Spain visa without working, Spanish non lucrative visa</w:t>
            </w:r>
          </w:p>
        </w:tc>
      </w:tr>
      <w:tr>
        <w:tc>
          <w:tcPr>
            <w:tcW w:type="dxa" w:w="2880"/>
            <w:shd w:val="clear" w:color="auto" w:fill="F4F7FA"/>
          </w:tcPr>
          <w:p>
            <w:pPr>
              <w:spacing w:after="0"/>
            </w:pPr>
            <w:r>
              <w:rPr>
                <w:rFonts w:ascii="Calibri" w:hAnsi="Calibri"/>
                <w:color w:val="1C1C1C"/>
                <w:sz w:val="19"/>
              </w:rPr>
              <w:t>Word Count Target</w:t>
            </w:r>
          </w:p>
        </w:tc>
        <w:tc>
          <w:tcPr>
            <w:tcW w:type="dxa" w:w="7632"/>
            <w:shd w:val="clear" w:color="auto" w:fill="F4F7FA"/>
          </w:tcPr>
          <w:p>
            <w:pPr>
              <w:spacing w:after="0"/>
            </w:pPr>
            <w:r>
              <w:rPr>
                <w:rFonts w:ascii="Calibri" w:hAnsi="Calibri"/>
                <w:color w:val="1C1C1C"/>
                <w:sz w:val="19"/>
              </w:rPr>
              <w:t>2,800–3,500 words</w:t>
            </w:r>
          </w:p>
        </w:tc>
      </w:tr>
      <w:tr>
        <w:tc>
          <w:tcPr>
            <w:tcW w:type="dxa" w:w="2880"/>
            <w:shd w:val="clear" w:color="auto" w:fill="FFFFFF"/>
          </w:tcPr>
          <w:p>
            <w:pPr>
              <w:spacing w:after="0"/>
            </w:pPr>
            <w:r>
              <w:rPr>
                <w:rFonts w:ascii="Calibri" w:hAnsi="Calibri"/>
                <w:color w:val="1C1C1C"/>
                <w:sz w:val="19"/>
              </w:rPr>
              <w:t>Schema Markup</w:t>
            </w:r>
          </w:p>
        </w:tc>
        <w:tc>
          <w:tcPr>
            <w:tcW w:type="dxa" w:w="7632"/>
            <w:shd w:val="clear" w:color="auto" w:fill="FFFFFF"/>
          </w:tcPr>
          <w:p>
            <w:pPr>
              <w:spacing w:after="0"/>
            </w:pPr>
            <w:r>
              <w:rPr>
                <w:rFonts w:ascii="Calibri" w:hAnsi="Calibri"/>
                <w:color w:val="1C1C1C"/>
                <w:sz w:val="19"/>
              </w:rPr>
              <w:t>Service, FAQ, BreadcrumbList</w:t>
            </w:r>
          </w:p>
        </w:tc>
      </w:tr>
      <w:tr>
        <w:tc>
          <w:tcPr>
            <w:tcW w:type="dxa" w:w="2880"/>
            <w:shd w:val="clear" w:color="auto" w:fill="F4F7FA"/>
          </w:tcPr>
          <w:p>
            <w:pPr>
              <w:spacing w:after="0"/>
            </w:pPr>
            <w:r>
              <w:rPr>
                <w:rFonts w:ascii="Calibri" w:hAnsi="Calibri"/>
                <w:color w:val="1C1C1C"/>
                <w:sz w:val="19"/>
              </w:rPr>
              <w:t>Primary CTA</w:t>
            </w:r>
          </w:p>
        </w:tc>
        <w:tc>
          <w:tcPr>
            <w:tcW w:type="dxa" w:w="7632"/>
            <w:shd w:val="clear" w:color="auto" w:fill="F4F7FA"/>
          </w:tcPr>
          <w:p>
            <w:pPr>
              <w:spacing w:after="0"/>
            </w:pPr>
            <w:r>
              <w:rPr>
                <w:rFonts w:ascii="Calibri" w:hAnsi="Calibri"/>
                <w:color w:val="1C1C1C"/>
                <w:sz w:val="19"/>
              </w:rPr>
              <w:t>Start Free Eligibility Check (→ portal)</w:t>
            </w:r>
          </w:p>
        </w:tc>
      </w:tr>
      <w:tr>
        <w:tc>
          <w:tcPr>
            <w:tcW w:type="dxa" w:w="2880"/>
            <w:shd w:val="clear" w:color="auto" w:fill="FFFFFF"/>
          </w:tcPr>
          <w:p>
            <w:pPr>
              <w:spacing w:after="0"/>
            </w:pPr>
            <w:r>
              <w:rPr>
                <w:rFonts w:ascii="Calibri" w:hAnsi="Calibri"/>
                <w:color w:val="1C1C1C"/>
                <w:sz w:val="19"/>
              </w:rPr>
              <w:t>Secondary CTA</w:t>
            </w:r>
          </w:p>
        </w:tc>
        <w:tc>
          <w:tcPr>
            <w:tcW w:type="dxa" w:w="7632"/>
            <w:shd w:val="clear" w:color="auto" w:fill="FFFFFF"/>
          </w:tcPr>
          <w:p>
            <w:pPr>
              <w:spacing w:after="0"/>
            </w:pPr>
            <w:r>
              <w:rPr>
                <w:rFonts w:ascii="Calibri" w:hAnsi="Calibri"/>
                <w:color w:val="1C1C1C"/>
                <w:sz w:val="19"/>
              </w:rPr>
              <w:t>Book a Consultation</w:t>
            </w:r>
          </w:p>
        </w:tc>
      </w:tr>
      <w:tr>
        <w:tc>
          <w:tcPr>
            <w:tcW w:type="dxa" w:w="2880"/>
            <w:shd w:val="clear" w:color="auto" w:fill="F4F7FA"/>
          </w:tcPr>
          <w:p>
            <w:pPr>
              <w:spacing w:after="0"/>
            </w:pPr>
            <w:r>
              <w:rPr>
                <w:rFonts w:ascii="Calibri" w:hAnsi="Calibri"/>
                <w:color w:val="1C1C1C"/>
                <w:sz w:val="19"/>
              </w:rPr>
              <w:t>Internal Links Out</w:t>
            </w:r>
          </w:p>
        </w:tc>
        <w:tc>
          <w:tcPr>
            <w:tcW w:type="dxa" w:w="7632"/>
            <w:shd w:val="clear" w:color="auto" w:fill="F4F7FA"/>
          </w:tcPr>
          <w:p>
            <w:pPr>
              <w:spacing w:after="0"/>
            </w:pPr>
            <w:r>
              <w:rPr>
                <w:rFonts w:ascii="Calibri" w:hAnsi="Calibri"/>
                <w:color w:val="1C1C1C"/>
                <w:sz w:val="19"/>
              </w:rPr>
              <w:t>NLV Requirements, Income Requirements, Documents, Application Process, Timeline, Cost, Health Insurance, Tax, FAQ Hub</w:t>
            </w:r>
          </w:p>
        </w:tc>
      </w:tr>
    </w:tbl>
    <w:p>
      <w:pPr>
        <w:spacing w:after="80"/>
      </w:pPr>
    </w:p>
    <w:p>
      <w:r>
        <w:br w:type="page"/>
      </w:r>
    </w:p>
    <w:tbl>
      <w:tblPr>
        <w:tblStyle w:val="TableGrid"/>
        <w:tblW w:type="auto" w:w="0"/>
        <w:tblLook w:firstColumn="1" w:firstRow="1" w:lastColumn="0" w:lastRow="0" w:noHBand="0" w:noVBand="1" w:val="04A0"/>
      </w:tblPr>
      <w:tblGrid>
        <w:gridCol w:w="9072"/>
      </w:tblGrid>
      <w:tr>
        <w:tc>
          <w:tcPr>
            <w:tcW w:type="dxa" w:w="9072"/>
            <w:shd w:val="clear" w:color="auto" w:fill="FEF9E7"/>
          </w:tcPr>
          <w:p>
            <w:r>
              <w:rPr>
                <w:rFonts w:ascii="Calibri" w:hAnsi="Calibri"/>
                <w:b/>
                <w:color w:val="C9A03A"/>
                <w:sz w:val="19"/>
              </w:rPr>
              <w:t xml:space="preserve">✏  DESIGN NOTE:  </w:t>
            </w:r>
            <w:r>
              <w:rPr>
                <w:rFonts w:ascii="Calibri" w:hAnsi="Calibri"/>
                <w:color w:val="1C1C1C"/>
                <w:sz w:val="19"/>
              </w:rPr>
              <w:t>HERO SECTION — Above the fold. Large H1, supporting sub-headline, trust line, and two CTA buttons. Keep this tight — users should see the CTA without scrolling on mobile.</w:t>
            </w:r>
          </w:p>
        </w:tc>
      </w:tr>
    </w:tbl>
    <w:p>
      <w:pPr>
        <w:spacing w:after="80"/>
      </w:pPr>
    </w:p>
    <w:p>
      <w:pPr>
        <w:pStyle w:val="Heading1"/>
        <w:spacing w:before="320" w:after="120"/>
      </w:pPr>
      <w:r>
        <w:rPr>
          <w:rFonts w:ascii="Calibri" w:hAnsi="Calibri"/>
          <w:b/>
          <w:color w:val="1A2E4A"/>
          <w:sz w:val="44"/>
        </w:rPr>
        <w:t>Non-Lucrative Visa Spain: The Complete Guide</w:t>
      </w:r>
    </w:p>
    <w:p>
      <w:pPr>
        <w:spacing w:after="120"/>
      </w:pPr>
      <w:r>
        <w:rPr>
          <w:rFonts w:ascii="Calibri" w:hAnsi="Calibri"/>
          <w:b w:val="0"/>
          <w:i w:val="0"/>
          <w:color w:val="1C1C1C"/>
          <w:sz w:val="22"/>
        </w:rPr>
        <w:t>The Non-Lucrative Visa (NLV) is Spain's residency route for people who want to live in Spain without working — funded by passive income, savings, a pension, rental income, or other financial means. It is one of the most popular options for British, American, and other English-speaking retirees and lifestyle movers.</w:t>
      </w:r>
    </w:p>
    <w:p>
      <w:pPr>
        <w:spacing w:after="120"/>
      </w:pPr>
      <w:r>
        <w:rPr>
          <w:rFonts w:ascii="Calibri" w:hAnsi="Calibri"/>
          <w:b w:val="0"/>
          <w:i w:val="0"/>
          <w:color w:val="1C1C1C"/>
          <w:sz w:val="22"/>
        </w:rPr>
        <w:t>This guide covers everything you need to know: who qualifies, the income requirements, what documents you need, how to apply, how long it takes, and what comes next after approval.</w:t>
      </w:r>
    </w:p>
    <w:tbl>
      <w:tblPr>
        <w:tblStyle w:val="TableGrid"/>
        <w:tblW w:type="auto" w:w="0"/>
        <w:tblLook w:firstColumn="1" w:firstRow="1" w:lastColumn="0" w:lastRow="0" w:noHBand="0" w:noVBand="1" w:val="04A0"/>
      </w:tblPr>
      <w:tblGrid>
        <w:gridCol w:w="9072"/>
      </w:tblGrid>
      <w:tr>
        <w:tc>
          <w:tcPr>
            <w:tcW w:type="dxa" w:w="9072"/>
            <w:shd w:val="clear" w:color="auto" w:fill="E8F4EC"/>
          </w:tcPr>
          <w:p>
            <w:r>
              <w:rPr>
                <w:rFonts w:ascii="Calibri" w:hAnsi="Calibri"/>
                <w:b/>
                <w:color w:val="1A6B3A"/>
                <w:sz w:val="22"/>
              </w:rPr>
              <w:t>➤  Start Your Free Eligibility Check — find out if you qualify in minutes.</w:t>
            </w:r>
          </w:p>
          <w:p>
            <w:r>
              <w:rPr>
                <w:rFonts w:ascii="Calibri" w:hAnsi="Calibri"/>
                <w:color w:val="2E5E8E"/>
                <w:sz w:val="20"/>
              </w:rPr>
              <w:t xml:space="preserve">    Or book a consultation with a specialist → Book Now</w:t>
            </w:r>
          </w:p>
        </w:tc>
      </w:tr>
    </w:tbl>
    <w:p>
      <w:pPr>
        <w:spacing w:after="120"/>
      </w:pPr>
    </w:p>
    <w:p>
      <w:pPr>
        <w:pBdr>
          <w:bottom w:val="single" w:sz="6" w:space="1" w:color="C9A03A"/>
        </w:pBdr>
        <w:spacing w:after="160"/>
      </w:pPr>
    </w:p>
    <w:p>
      <w:pPr>
        <w:pStyle w:val="Heading2"/>
        <w:spacing w:before="280" w:after="80"/>
      </w:pPr>
      <w:r>
        <w:rPr>
          <w:rFonts w:ascii="Calibri" w:hAnsi="Calibri"/>
          <w:b/>
          <w:color w:val="2E5E8E"/>
          <w:sz w:val="30"/>
        </w:rPr>
        <w:t>What Is the Non-Lucrative Visa Spain?</w:t>
      </w:r>
    </w:p>
    <w:p>
      <w:pPr>
        <w:spacing w:after="120"/>
      </w:pPr>
      <w:r>
        <w:rPr>
          <w:rFonts w:ascii="Calibri" w:hAnsi="Calibri"/>
          <w:b w:val="0"/>
          <w:i w:val="0"/>
          <w:color w:val="1C1C1C"/>
          <w:sz w:val="21"/>
        </w:rPr>
        <w:t>The Non-Lucrative Visa — known in Spanish as the Visado de Residencia No Lucrativa — is a long-stay residency visa that allows non-EU nationals to live in Spain for more than 90 days without working or carrying out any professional activity in Spain.</w:t>
      </w:r>
    </w:p>
    <w:p>
      <w:pPr>
        <w:spacing w:after="120"/>
      </w:pPr>
      <w:r>
        <w:rPr>
          <w:rFonts w:ascii="Calibri" w:hAnsi="Calibri"/>
          <w:b w:val="0"/>
          <w:i w:val="0"/>
          <w:color w:val="1C1C1C"/>
          <w:sz w:val="21"/>
        </w:rPr>
        <w:t>It is designed for people who have sufficient passive income or assets to support themselves and any dependants without needing to earn money while in Spain. That typically means retirees, people living off investment income, savings, pension payments, or rental income from properties abroad.</w:t>
      </w:r>
    </w:p>
    <w:p>
      <w:pPr>
        <w:spacing w:after="120"/>
      </w:pPr>
      <w:r>
        <w:rPr>
          <w:rFonts w:ascii="Calibri" w:hAnsi="Calibri"/>
          <w:b w:val="0"/>
          <w:i w:val="0"/>
          <w:color w:val="1C1C1C"/>
          <w:sz w:val="21"/>
        </w:rPr>
        <w:t>The NLV is initially issued for one year and can be renewed for two years at a time. After five years of continuous legal residence, you can apply for long-term residency. After ten years, you may be eligible to apply for Spanish citizenship.</w:t>
      </w:r>
    </w:p>
    <w:tbl>
      <w:tblPr>
        <w:tblStyle w:val="TableGrid"/>
        <w:tblW w:type="auto" w:w="0"/>
        <w:tblLook w:firstColumn="1" w:firstRow="1" w:lastColumn="0" w:lastRow="0" w:noHBand="0" w:noVBand="1" w:val="04A0"/>
      </w:tblPr>
      <w:tblGrid>
        <w:gridCol w:w="9072"/>
      </w:tblGrid>
      <w:tr>
        <w:tc>
          <w:tcPr>
            <w:tcW w:type="dxa" w:w="9072"/>
            <w:shd w:val="clear" w:color="auto" w:fill="EBF0F8"/>
          </w:tcPr>
          <w:p>
            <w:r>
              <w:rPr>
                <w:rFonts w:ascii="Calibri" w:hAnsi="Calibri"/>
                <w:b/>
                <w:color w:val="2E5E8E"/>
                <w:sz w:val="19"/>
              </w:rPr>
              <w:t xml:space="preserve">🔗  INTERNAL LINKS FOR THIS SECTION:  </w:t>
            </w:r>
          </w:p>
          <w:p>
            <w:r>
              <w:rPr>
                <w:rFonts w:ascii="Calibri" w:hAnsi="Calibri"/>
                <w:color w:val="2E5E8E"/>
                <w:sz w:val="19"/>
              </w:rPr>
              <w:t xml:space="preserve">  →  How long can you stay in Spain on a Non-Lucrative Visa? → /nlv-faq/</w:t>
            </w:r>
          </w:p>
          <w:p>
            <w:r>
              <w:rPr>
                <w:rFonts w:ascii="Calibri" w:hAnsi="Calibri"/>
                <w:color w:val="2E5E8E"/>
                <w:sz w:val="19"/>
              </w:rPr>
              <w:t xml:space="preserve">  →  NLV vs Digital Nomad Visa — which is right for you? → /digital-nomad-visa-vs-non-lucrative-visa/</w:t>
            </w:r>
          </w:p>
          <w:p>
            <w:r>
              <w:rPr>
                <w:rFonts w:ascii="Calibri" w:hAnsi="Calibri"/>
                <w:color w:val="2E5E8E"/>
                <w:sz w:val="19"/>
              </w:rPr>
              <w:t xml:space="preserve">  →  Long-term residency after NLV → /long-term-residency-after-nlv/</w:t>
            </w:r>
          </w:p>
        </w:tc>
      </w:tr>
    </w:tbl>
    <w:p>
      <w:pPr>
        <w:spacing w:after="80"/>
      </w:pPr>
    </w:p>
    <w:p>
      <w:pPr>
        <w:pStyle w:val="Heading2"/>
        <w:spacing w:before="280" w:after="80"/>
      </w:pPr>
      <w:r>
        <w:rPr>
          <w:rFonts w:ascii="Calibri" w:hAnsi="Calibri"/>
          <w:b/>
          <w:color w:val="2E5E8E"/>
          <w:sz w:val="30"/>
        </w:rPr>
        <w:t>Who Is the Non-Lucrative Visa For?</w:t>
      </w:r>
    </w:p>
    <w:p>
      <w:pPr>
        <w:spacing w:after="120"/>
      </w:pPr>
      <w:r>
        <w:rPr>
          <w:rFonts w:ascii="Calibri" w:hAnsi="Calibri"/>
          <w:b w:val="0"/>
          <w:i w:val="0"/>
          <w:color w:val="1C1C1C"/>
          <w:sz w:val="21"/>
        </w:rPr>
        <w:t>The NLV suits anyone who wants to live in Spain full-time and can demonstrate sufficient financial means to do so — without needing to work in Spain. Common applicants include:</w:t>
      </w:r>
    </w:p>
    <w:p>
      <w:pPr>
        <w:pStyle w:val="ListBullet"/>
        <w:spacing w:after="60"/>
        <w:ind w:left="360"/>
      </w:pPr>
      <w:r>
        <w:rPr>
          <w:rFonts w:ascii="Calibri" w:hAnsi="Calibri"/>
          <w:color w:val="1C1C1C"/>
          <w:sz w:val="21"/>
        </w:rPr>
        <w:t>Retirees from the UK, USA, Canada, Australia, and South Africa who want to make Spain their permanent home</w:t>
      </w:r>
    </w:p>
    <w:p>
      <w:pPr>
        <w:pStyle w:val="ListBullet"/>
        <w:spacing w:after="60"/>
        <w:ind w:left="360"/>
      </w:pPr>
      <w:r>
        <w:rPr>
          <w:rFonts w:ascii="Calibri" w:hAnsi="Calibri"/>
          <w:color w:val="1C1C1C"/>
          <w:sz w:val="21"/>
        </w:rPr>
        <w:t>People who have sold a business or property and have significant savings or investment income</w:t>
      </w:r>
    </w:p>
    <w:p>
      <w:pPr>
        <w:pStyle w:val="ListBullet"/>
        <w:spacing w:after="60"/>
        <w:ind w:left="360"/>
      </w:pPr>
      <w:r>
        <w:rPr>
          <w:rFonts w:ascii="Calibri" w:hAnsi="Calibri"/>
          <w:color w:val="1C1C1C"/>
          <w:sz w:val="21"/>
        </w:rPr>
        <w:t>Those receiving pension income — state pension, private pension, or occupational pension</w:t>
      </w:r>
    </w:p>
    <w:p>
      <w:pPr>
        <w:pStyle w:val="ListBullet"/>
        <w:spacing w:after="60"/>
        <w:ind w:left="360"/>
      </w:pPr>
      <w:r>
        <w:rPr>
          <w:rFonts w:ascii="Calibri" w:hAnsi="Calibri"/>
          <w:color w:val="1C1C1C"/>
          <w:sz w:val="21"/>
        </w:rPr>
        <w:t>Individuals with rental income from properties in their home country</w:t>
      </w:r>
    </w:p>
    <w:p>
      <w:pPr>
        <w:pStyle w:val="ListBullet"/>
        <w:spacing w:after="60"/>
        <w:ind w:left="360"/>
      </w:pPr>
      <w:r>
        <w:rPr>
          <w:rFonts w:ascii="Calibri" w:hAnsi="Calibri"/>
          <w:color w:val="1C1C1C"/>
          <w:sz w:val="21"/>
        </w:rPr>
        <w:t>People with dividend income, investment returns, or other passive financial streams</w:t>
      </w:r>
    </w:p>
    <w:p>
      <w:pPr>
        <w:pStyle w:val="ListBullet"/>
        <w:spacing w:after="60"/>
        <w:ind w:left="360"/>
      </w:pPr>
      <w:r>
        <w:rPr>
          <w:rFonts w:ascii="Calibri" w:hAnsi="Calibri"/>
          <w:color w:val="1C1C1C"/>
          <w:sz w:val="21"/>
        </w:rPr>
        <w:t>Families where one partner has sufficient income to cover the whole household</w:t>
      </w:r>
    </w:p>
    <w:p>
      <w:pPr>
        <w:pStyle w:val="ListBullet"/>
        <w:spacing w:after="60"/>
        <w:ind w:left="360"/>
      </w:pPr>
      <w:r>
        <w:rPr>
          <w:rFonts w:ascii="Calibri" w:hAnsi="Calibri"/>
          <w:color w:val="1C1C1C"/>
          <w:sz w:val="21"/>
        </w:rPr>
        <w:t>Anyone who wants to live in Spain at a slower pace, free from work obligations</w:t>
      </w:r>
    </w:p>
    <w:p>
      <w:pPr>
        <w:spacing w:after="120"/>
      </w:pPr>
      <w:r>
        <w:rPr>
          <w:rFonts w:ascii="Calibri" w:hAnsi="Calibri"/>
          <w:b w:val="0"/>
          <w:i/>
          <w:color w:val="6B7B8D"/>
          <w:sz w:val="21"/>
        </w:rPr>
        <w:t>What the NLV does not permit: working for a Spanish employer, running a business in Spain, or carrying out any professional activity for clients inside Spain. If you want to work remotely for non-Spanish clients, the Digital Nomad Visa may be more appropriate.</w:t>
      </w:r>
    </w:p>
    <w:tbl>
      <w:tblPr>
        <w:tblStyle w:val="TableGrid"/>
        <w:tblW w:type="auto" w:w="0"/>
        <w:tblLook w:firstColumn="1" w:firstRow="1" w:lastColumn="0" w:lastRow="0" w:noHBand="0" w:noVBand="1" w:val="04A0"/>
      </w:tblPr>
      <w:tblGrid>
        <w:gridCol w:w="9072"/>
      </w:tblGrid>
      <w:tr>
        <w:tc>
          <w:tcPr>
            <w:tcW w:type="dxa" w:w="9072"/>
            <w:shd w:val="clear" w:color="auto" w:fill="EBF0F8"/>
          </w:tcPr>
          <w:p>
            <w:r>
              <w:rPr>
                <w:rFonts w:ascii="Calibri" w:hAnsi="Calibri"/>
                <w:b/>
                <w:color w:val="2E5E8E"/>
                <w:sz w:val="19"/>
              </w:rPr>
              <w:t xml:space="preserve">🔗  INTERNAL LINKS FOR THIS SECTION:  </w:t>
            </w:r>
          </w:p>
          <w:p>
            <w:r>
              <w:rPr>
                <w:rFonts w:ascii="Calibri" w:hAnsi="Calibri"/>
                <w:color w:val="2E5E8E"/>
                <w:sz w:val="19"/>
              </w:rPr>
              <w:t xml:space="preserve">  →  Can you work remotely on a Non-Lucrative Visa? → /living-in-spain-on-nlv/</w:t>
            </w:r>
          </w:p>
          <w:p>
            <w:r>
              <w:rPr>
                <w:rFonts w:ascii="Calibri" w:hAnsi="Calibri"/>
                <w:color w:val="2E5E8E"/>
                <w:sz w:val="19"/>
              </w:rPr>
              <w:t xml:space="preserve">  →  NLV vs Digital Nomad Visa comparison → /digital-nomad-visa-vs-non-lucrative-visa/</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E8F4EC"/>
          </w:tcPr>
          <w:p>
            <w:r>
              <w:rPr>
                <w:rFonts w:ascii="Calibri" w:hAnsi="Calibri"/>
                <w:b/>
                <w:color w:val="1A6B3A"/>
                <w:sz w:val="22"/>
              </w:rPr>
              <w:t>➤  Not sure which visa is right for you? Take the free eligibility quiz → Start Now</w:t>
            </w:r>
          </w:p>
        </w:tc>
      </w:tr>
    </w:tbl>
    <w:p>
      <w:pPr>
        <w:spacing w:after="120"/>
      </w:pPr>
    </w:p>
    <w:p>
      <w:pPr>
        <w:pStyle w:val="Heading2"/>
        <w:spacing w:before="280" w:after="80"/>
      </w:pPr>
      <w:r>
        <w:rPr>
          <w:rFonts w:ascii="Calibri" w:hAnsi="Calibri"/>
          <w:b/>
          <w:color w:val="2E5E8E"/>
          <w:sz w:val="30"/>
        </w:rPr>
        <w:t>Non-Lucrative Visa Income Requirements</w:t>
      </w:r>
    </w:p>
    <w:p>
      <w:pPr>
        <w:spacing w:after="120"/>
      </w:pPr>
      <w:r>
        <w:rPr>
          <w:rFonts w:ascii="Calibri" w:hAnsi="Calibri"/>
          <w:b w:val="0"/>
          <w:i w:val="0"/>
          <w:color w:val="1C1C1C"/>
          <w:sz w:val="21"/>
        </w:rPr>
        <w:t>The income requirement is the most important eligibility threshold for the NLV. Spanish consulates require applicants to demonstrate that they have sufficient regular income or savings to support themselves — and any dependants — throughout their stay in Spain.</w:t>
      </w:r>
    </w:p>
    <w:p>
      <w:pPr>
        <w:spacing w:after="120"/>
      </w:pPr>
      <w:r>
        <w:rPr>
          <w:rFonts w:ascii="Calibri" w:hAnsi="Calibri"/>
          <w:b w:val="0"/>
          <w:i w:val="0"/>
          <w:color w:val="1C1C1C"/>
          <w:sz w:val="21"/>
        </w:rPr>
        <w:t>The minimum amounts are calculated as a multiple of the IPREM — Spain's Public Income Indicator for Multiple Effects, which is the benchmark used across Spanish immigration and social systems.</w:t>
      </w:r>
    </w:p>
    <w:tbl>
      <w:tblPr>
        <w:tblStyle w:val="TableGrid"/>
        <w:tblW w:type="auto" w:w="0"/>
        <w:tblLook w:firstColumn="1" w:firstRow="1" w:lastColumn="0" w:lastRow="0" w:noHBand="0" w:noVBand="1" w:val="04A0"/>
      </w:tblPr>
      <w:tblGrid>
        <w:gridCol w:w="9072"/>
      </w:tblGrid>
      <w:tr>
        <w:tc>
          <w:tcPr>
            <w:tcW w:type="dxa" w:w="9072"/>
            <w:shd w:val="clear" w:color="auto" w:fill="FEF9E7"/>
          </w:tcPr>
          <w:p>
            <w:r>
              <w:rPr>
                <w:rFonts w:ascii="Calibri" w:hAnsi="Calibri"/>
                <w:b/>
                <w:color w:val="C9A03A"/>
                <w:sz w:val="19"/>
              </w:rPr>
              <w:t xml:space="preserve">✏  IMPORTANT:  </w:t>
            </w:r>
            <w:r>
              <w:rPr>
                <w:rFonts w:ascii="Calibri" w:hAnsi="Calibri"/>
                <w:color w:val="1C1C1C"/>
                <w:sz w:val="19"/>
              </w:rPr>
              <w:t>IPREM values are updated periodically. The figures below are based on current 2026 IPREM rates. Always verify the current threshold with the relevant Spanish consulate before applying.</w:t>
            </w:r>
          </w:p>
        </w:tc>
      </w:tr>
    </w:tbl>
    <w:p>
      <w:pPr>
        <w:spacing w:after="80"/>
      </w:pPr>
    </w:p>
    <w:p>
      <w:pPr>
        <w:pStyle w:val="Heading3"/>
        <w:spacing w:before="200" w:after="60"/>
      </w:pPr>
      <w:r>
        <w:rPr>
          <w:rFonts w:ascii="Calibri" w:hAnsi="Calibri"/>
          <w:b/>
          <w:color w:val="1A2E4A"/>
          <w:sz w:val="24"/>
        </w:rPr>
        <w:t>Minimum Income Thresholds (2026 Guidance)</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spacing w:after="0"/>
            </w:pPr>
            <w:r>
              <w:rPr>
                <w:rFonts w:ascii="Calibri" w:hAnsi="Calibri"/>
                <w:b/>
                <w:color w:val="FFFFFF"/>
                <w:sz w:val="19"/>
              </w:rPr>
              <w:t>Applicant Type</w:t>
            </w:r>
          </w:p>
        </w:tc>
        <w:tc>
          <w:tcPr>
            <w:tcW w:type="dxa" w:w="3168"/>
            <w:shd w:val="clear" w:color="auto" w:fill="1A2E4A"/>
            <w:vAlign w:val="center"/>
          </w:tcPr>
          <w:p>
            <w:pPr>
              <w:spacing w:after="0"/>
            </w:pPr>
            <w:r>
              <w:rPr>
                <w:rFonts w:ascii="Calibri" w:hAnsi="Calibri"/>
                <w:b/>
                <w:color w:val="FFFFFF"/>
                <w:sz w:val="19"/>
              </w:rPr>
              <w:t>Monthly Minimum (approx.)</w:t>
            </w:r>
          </w:p>
        </w:tc>
        <w:tc>
          <w:tcPr>
            <w:tcW w:type="dxa" w:w="3168"/>
            <w:shd w:val="clear" w:color="auto" w:fill="1A2E4A"/>
            <w:vAlign w:val="center"/>
          </w:tcPr>
          <w:p>
            <w:pPr>
              <w:spacing w:after="0"/>
            </w:pPr>
            <w:r>
              <w:rPr>
                <w:rFonts w:ascii="Calibri" w:hAnsi="Calibri"/>
                <w:b/>
                <w:color w:val="FFFFFF"/>
                <w:sz w:val="19"/>
              </w:rPr>
              <w:t>Annual Minimum (approx.)</w:t>
            </w:r>
          </w:p>
        </w:tc>
      </w:tr>
      <w:tr>
        <w:tc>
          <w:tcPr>
            <w:tcW w:type="dxa" w:w="3600"/>
            <w:shd w:val="clear" w:color="auto" w:fill="F4F7FA"/>
          </w:tcPr>
          <w:p>
            <w:pPr>
              <w:spacing w:after="0"/>
            </w:pPr>
            <w:r>
              <w:rPr>
                <w:rFonts w:ascii="Calibri" w:hAnsi="Calibri"/>
                <w:color w:val="1C1C1C"/>
                <w:sz w:val="19"/>
              </w:rPr>
              <w:t>Main applicant</w:t>
            </w:r>
          </w:p>
        </w:tc>
        <w:tc>
          <w:tcPr>
            <w:tcW w:type="dxa" w:w="3168"/>
            <w:shd w:val="clear" w:color="auto" w:fill="F4F7FA"/>
          </w:tcPr>
          <w:p>
            <w:pPr>
              <w:spacing w:after="0"/>
            </w:pPr>
            <w:r>
              <w:rPr>
                <w:rFonts w:ascii="Calibri" w:hAnsi="Calibri"/>
                <w:color w:val="1C1C1C"/>
                <w:sz w:val="19"/>
              </w:rPr>
              <w:t>€2,400 / month</w:t>
            </w:r>
          </w:p>
        </w:tc>
        <w:tc>
          <w:tcPr>
            <w:tcW w:type="dxa" w:w="3168"/>
            <w:shd w:val="clear" w:color="auto" w:fill="F4F7FA"/>
          </w:tcPr>
          <w:p>
            <w:pPr>
              <w:spacing w:after="0"/>
            </w:pPr>
            <w:r>
              <w:rPr>
                <w:rFonts w:ascii="Calibri" w:hAnsi="Calibri"/>
                <w:color w:val="1C1C1C"/>
                <w:sz w:val="19"/>
              </w:rPr>
              <w:t>€28,800 / year</w:t>
            </w:r>
          </w:p>
        </w:tc>
      </w:tr>
      <w:tr>
        <w:tc>
          <w:tcPr>
            <w:tcW w:type="dxa" w:w="3600"/>
            <w:shd w:val="clear" w:color="auto" w:fill="FFFFFF"/>
          </w:tcPr>
          <w:p>
            <w:pPr>
              <w:spacing w:after="0"/>
            </w:pPr>
            <w:r>
              <w:rPr>
                <w:rFonts w:ascii="Calibri" w:hAnsi="Calibri"/>
                <w:color w:val="1C1C1C"/>
                <w:sz w:val="19"/>
              </w:rPr>
              <w:t>Each additional dependant</w:t>
            </w:r>
          </w:p>
        </w:tc>
        <w:tc>
          <w:tcPr>
            <w:tcW w:type="dxa" w:w="3168"/>
            <w:shd w:val="clear" w:color="auto" w:fill="FFFFFF"/>
          </w:tcPr>
          <w:p>
            <w:pPr>
              <w:spacing w:after="0"/>
            </w:pPr>
            <w:r>
              <w:rPr>
                <w:rFonts w:ascii="Calibri" w:hAnsi="Calibri"/>
                <w:color w:val="1C1C1C"/>
                <w:sz w:val="19"/>
              </w:rPr>
              <w:t>+€600 / month</w:t>
            </w:r>
          </w:p>
        </w:tc>
        <w:tc>
          <w:tcPr>
            <w:tcW w:type="dxa" w:w="3168"/>
            <w:shd w:val="clear" w:color="auto" w:fill="FFFFFF"/>
          </w:tcPr>
          <w:p>
            <w:pPr>
              <w:spacing w:after="0"/>
            </w:pPr>
            <w:r>
              <w:rPr>
                <w:rFonts w:ascii="Calibri" w:hAnsi="Calibri"/>
                <w:color w:val="1C1C1C"/>
                <w:sz w:val="19"/>
              </w:rPr>
              <w:t>+€7,200 / year</w:t>
            </w:r>
          </w:p>
        </w:tc>
      </w:tr>
      <w:tr>
        <w:tc>
          <w:tcPr>
            <w:tcW w:type="dxa" w:w="3600"/>
            <w:shd w:val="clear" w:color="auto" w:fill="F4F7FA"/>
          </w:tcPr>
          <w:p>
            <w:pPr>
              <w:spacing w:after="0"/>
            </w:pPr>
            <w:r>
              <w:rPr>
                <w:rFonts w:ascii="Calibri" w:hAnsi="Calibri"/>
                <w:color w:val="1C1C1C"/>
                <w:sz w:val="19"/>
              </w:rPr>
              <w:t>Family of 2</w:t>
            </w:r>
          </w:p>
        </w:tc>
        <w:tc>
          <w:tcPr>
            <w:tcW w:type="dxa" w:w="3168"/>
            <w:shd w:val="clear" w:color="auto" w:fill="F4F7FA"/>
          </w:tcPr>
          <w:p>
            <w:pPr>
              <w:spacing w:after="0"/>
            </w:pPr>
            <w:r>
              <w:rPr>
                <w:rFonts w:ascii="Calibri" w:hAnsi="Calibri"/>
                <w:color w:val="1C1C1C"/>
                <w:sz w:val="19"/>
              </w:rPr>
              <w:t>€3,000 / month</w:t>
            </w:r>
          </w:p>
        </w:tc>
        <w:tc>
          <w:tcPr>
            <w:tcW w:type="dxa" w:w="3168"/>
            <w:shd w:val="clear" w:color="auto" w:fill="F4F7FA"/>
          </w:tcPr>
          <w:p>
            <w:pPr>
              <w:spacing w:after="0"/>
            </w:pPr>
            <w:r>
              <w:rPr>
                <w:rFonts w:ascii="Calibri" w:hAnsi="Calibri"/>
                <w:color w:val="1C1C1C"/>
                <w:sz w:val="19"/>
              </w:rPr>
              <w:t>€36,000 / year</w:t>
            </w:r>
          </w:p>
        </w:tc>
      </w:tr>
      <w:tr>
        <w:tc>
          <w:tcPr>
            <w:tcW w:type="dxa" w:w="3600"/>
            <w:shd w:val="clear" w:color="auto" w:fill="FFFFFF"/>
          </w:tcPr>
          <w:p>
            <w:pPr>
              <w:spacing w:after="0"/>
            </w:pPr>
            <w:r>
              <w:rPr>
                <w:rFonts w:ascii="Calibri" w:hAnsi="Calibri"/>
                <w:color w:val="1C1C1C"/>
                <w:sz w:val="19"/>
              </w:rPr>
              <w:t>Family of 3</w:t>
            </w:r>
          </w:p>
        </w:tc>
        <w:tc>
          <w:tcPr>
            <w:tcW w:type="dxa" w:w="3168"/>
            <w:shd w:val="clear" w:color="auto" w:fill="FFFFFF"/>
          </w:tcPr>
          <w:p>
            <w:pPr>
              <w:spacing w:after="0"/>
            </w:pPr>
            <w:r>
              <w:rPr>
                <w:rFonts w:ascii="Calibri" w:hAnsi="Calibri"/>
                <w:color w:val="1C1C1C"/>
                <w:sz w:val="19"/>
              </w:rPr>
              <w:t>€3,600 / month</w:t>
            </w:r>
          </w:p>
        </w:tc>
        <w:tc>
          <w:tcPr>
            <w:tcW w:type="dxa" w:w="3168"/>
            <w:shd w:val="clear" w:color="auto" w:fill="FFFFFF"/>
          </w:tcPr>
          <w:p>
            <w:pPr>
              <w:spacing w:after="0"/>
            </w:pPr>
            <w:r>
              <w:rPr>
                <w:rFonts w:ascii="Calibri" w:hAnsi="Calibri"/>
                <w:color w:val="1C1C1C"/>
                <w:sz w:val="19"/>
              </w:rPr>
              <w:t>€43,200 / year</w:t>
            </w:r>
          </w:p>
        </w:tc>
      </w:tr>
      <w:tr>
        <w:tc>
          <w:tcPr>
            <w:tcW w:type="dxa" w:w="3600"/>
            <w:shd w:val="clear" w:color="auto" w:fill="F4F7FA"/>
          </w:tcPr>
          <w:p>
            <w:pPr>
              <w:spacing w:after="0"/>
            </w:pPr>
            <w:r>
              <w:rPr>
                <w:rFonts w:ascii="Calibri" w:hAnsi="Calibri"/>
                <w:color w:val="1C1C1C"/>
                <w:sz w:val="19"/>
              </w:rPr>
              <w:t>Family of 4</w:t>
            </w:r>
          </w:p>
        </w:tc>
        <w:tc>
          <w:tcPr>
            <w:tcW w:type="dxa" w:w="3168"/>
            <w:shd w:val="clear" w:color="auto" w:fill="F4F7FA"/>
          </w:tcPr>
          <w:p>
            <w:pPr>
              <w:spacing w:after="0"/>
            </w:pPr>
            <w:r>
              <w:rPr>
                <w:rFonts w:ascii="Calibri" w:hAnsi="Calibri"/>
                <w:color w:val="1C1C1C"/>
                <w:sz w:val="19"/>
              </w:rPr>
              <w:t>€4,200 / month</w:t>
            </w:r>
          </w:p>
        </w:tc>
        <w:tc>
          <w:tcPr>
            <w:tcW w:type="dxa" w:w="3168"/>
            <w:shd w:val="clear" w:color="auto" w:fill="F4F7FA"/>
          </w:tcPr>
          <w:p>
            <w:pPr>
              <w:spacing w:after="0"/>
            </w:pPr>
            <w:r>
              <w:rPr>
                <w:rFonts w:ascii="Calibri" w:hAnsi="Calibri"/>
                <w:color w:val="1C1C1C"/>
                <w:sz w:val="19"/>
              </w:rPr>
              <w:t>€50,400 / year</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EF9E7"/>
          </w:tcPr>
          <w:p>
            <w:r>
              <w:rPr>
                <w:rFonts w:ascii="Calibri" w:hAnsi="Calibri"/>
                <w:b/>
                <w:color w:val="C9A03A"/>
                <w:sz w:val="19"/>
              </w:rPr>
              <w:t xml:space="preserve">✏  CONSULATE NOTE:  </w:t>
            </w:r>
            <w:r>
              <w:rPr>
                <w:rFonts w:ascii="Calibri" w:hAnsi="Calibri"/>
                <w:color w:val="1C1C1C"/>
                <w:sz w:val="19"/>
              </w:rPr>
              <w:t>These figures are approximate. Exact IPREM multiples vary by consulate, and some consulates apply stricter standards than others. Our specialists confirm current thresholds for your specific consulate at point of application.</w:t>
            </w:r>
          </w:p>
        </w:tc>
      </w:tr>
    </w:tbl>
    <w:p>
      <w:pPr>
        <w:spacing w:after="80"/>
      </w:pPr>
    </w:p>
    <w:p>
      <w:pPr>
        <w:spacing w:after="120"/>
      </w:pPr>
      <w:r>
        <w:rPr>
          <w:rFonts w:ascii="Calibri" w:hAnsi="Calibri"/>
          <w:b w:val="0"/>
          <w:i w:val="0"/>
          <w:color w:val="1C1C1C"/>
          <w:sz w:val="21"/>
        </w:rPr>
        <w:t>Income can be demonstrated through a variety of financial sources, including:</w:t>
      </w:r>
    </w:p>
    <w:p>
      <w:pPr>
        <w:pStyle w:val="ListBullet"/>
        <w:spacing w:after="60"/>
        <w:ind w:left="360"/>
      </w:pPr>
      <w:r>
        <w:rPr>
          <w:rFonts w:ascii="Calibri" w:hAnsi="Calibri"/>
          <w:b/>
          <w:color w:val="1A2E4A"/>
          <w:sz w:val="21"/>
        </w:rPr>
        <w:t xml:space="preserve">Pension income: </w:t>
      </w:r>
      <w:r>
        <w:rPr>
          <w:rFonts w:ascii="Calibri" w:hAnsi="Calibri"/>
          <w:color w:val="1C1C1C"/>
          <w:sz w:val="21"/>
        </w:rPr>
        <w:t>state, private, or occupational pensions from your home country</w:t>
      </w:r>
    </w:p>
    <w:p>
      <w:pPr>
        <w:pStyle w:val="ListBullet"/>
        <w:spacing w:after="60"/>
        <w:ind w:left="360"/>
      </w:pPr>
      <w:r>
        <w:rPr>
          <w:rFonts w:ascii="Calibri" w:hAnsi="Calibri"/>
          <w:b/>
          <w:color w:val="1A2E4A"/>
          <w:sz w:val="21"/>
        </w:rPr>
        <w:t xml:space="preserve">Investment income: </w:t>
      </w:r>
      <w:r>
        <w:rPr>
          <w:rFonts w:ascii="Calibri" w:hAnsi="Calibri"/>
          <w:color w:val="1C1C1C"/>
          <w:sz w:val="21"/>
        </w:rPr>
        <w:t>dividends, interest, or returns from investment portfolios</w:t>
      </w:r>
    </w:p>
    <w:p>
      <w:pPr>
        <w:pStyle w:val="ListBullet"/>
        <w:spacing w:after="60"/>
        <w:ind w:left="360"/>
      </w:pPr>
      <w:r>
        <w:rPr>
          <w:rFonts w:ascii="Calibri" w:hAnsi="Calibri"/>
          <w:b/>
          <w:color w:val="1A2E4A"/>
          <w:sz w:val="21"/>
        </w:rPr>
        <w:t xml:space="preserve">Rental income: </w:t>
      </w:r>
      <w:r>
        <w:rPr>
          <w:rFonts w:ascii="Calibri" w:hAnsi="Calibri"/>
          <w:color w:val="1C1C1C"/>
          <w:sz w:val="21"/>
        </w:rPr>
        <w:t>income from properties you own in your home country or elsewhere</w:t>
      </w:r>
    </w:p>
    <w:p>
      <w:pPr>
        <w:pStyle w:val="ListBullet"/>
        <w:spacing w:after="60"/>
        <w:ind w:left="360"/>
      </w:pPr>
      <w:r>
        <w:rPr>
          <w:rFonts w:ascii="Calibri" w:hAnsi="Calibri"/>
          <w:b/>
          <w:color w:val="1A2E4A"/>
          <w:sz w:val="21"/>
        </w:rPr>
        <w:t xml:space="preserve">Savings: </w:t>
      </w:r>
      <w:r>
        <w:rPr>
          <w:rFonts w:ascii="Calibri" w:hAnsi="Calibri"/>
          <w:color w:val="1C1C1C"/>
          <w:sz w:val="21"/>
        </w:rPr>
        <w:t>bank savings can supplement income, though savings alone are less straightforward — consulates prefer regular monthly income streams</w:t>
      </w:r>
    </w:p>
    <w:p>
      <w:pPr>
        <w:pStyle w:val="ListBullet"/>
        <w:spacing w:after="60"/>
        <w:ind w:left="360"/>
      </w:pPr>
      <w:r>
        <w:rPr>
          <w:rFonts w:ascii="Calibri" w:hAnsi="Calibri"/>
          <w:b/>
          <w:color w:val="1A2E4A"/>
          <w:sz w:val="21"/>
        </w:rPr>
        <w:t xml:space="preserve">Business dividends: </w:t>
      </w:r>
      <w:r>
        <w:rPr>
          <w:rFonts w:ascii="Calibri" w:hAnsi="Calibri"/>
          <w:color w:val="1C1C1C"/>
          <w:sz w:val="21"/>
        </w:rPr>
        <w:t>passive returns from businesses you do not actively manage</w:t>
      </w:r>
    </w:p>
    <w:tbl>
      <w:tblPr>
        <w:tblStyle w:val="TableGrid"/>
        <w:tblW w:type="auto" w:w="0"/>
        <w:tblLook w:firstColumn="1" w:firstRow="1" w:lastColumn="0" w:lastRow="0" w:noHBand="0" w:noVBand="1" w:val="04A0"/>
      </w:tblPr>
      <w:tblGrid>
        <w:gridCol w:w="9072"/>
      </w:tblGrid>
      <w:tr>
        <w:tc>
          <w:tcPr>
            <w:tcW w:type="dxa" w:w="9072"/>
            <w:shd w:val="clear" w:color="auto" w:fill="EBF0F8"/>
          </w:tcPr>
          <w:p>
            <w:r>
              <w:rPr>
                <w:rFonts w:ascii="Calibri" w:hAnsi="Calibri"/>
                <w:b/>
                <w:color w:val="2E5E8E"/>
                <w:sz w:val="19"/>
              </w:rPr>
              <w:t xml:space="preserve">🔗  INTERNAL LINKS FOR THIS SECTION:  </w:t>
            </w:r>
          </w:p>
          <w:p>
            <w:r>
              <w:rPr>
                <w:rFonts w:ascii="Calibri" w:hAnsi="Calibri"/>
                <w:color w:val="2E5E8E"/>
                <w:sz w:val="19"/>
              </w:rPr>
              <w:t xml:space="preserve">  →  Full NLV income requirements guide → /non-lucrative-visa-income-requirements/</w:t>
            </w:r>
          </w:p>
          <w:p>
            <w:r>
              <w:rPr>
                <w:rFonts w:ascii="Calibri" w:hAnsi="Calibri"/>
                <w:color w:val="2E5E8E"/>
                <w:sz w:val="19"/>
              </w:rPr>
              <w:t xml:space="preserve">  →  How to use savings to support your NLV application → /nlv-savings-requirements/</w:t>
            </w:r>
          </w:p>
          <w:p>
            <w:r>
              <w:rPr>
                <w:rFonts w:ascii="Calibri" w:hAnsi="Calibri"/>
                <w:color w:val="2E5E8E"/>
                <w:sz w:val="19"/>
              </w:rPr>
              <w:t xml:space="preserve">  →  Pension income and the NLV → /nlv-pension-income/</w:t>
            </w:r>
          </w:p>
          <w:p>
            <w:r>
              <w:rPr>
                <w:rFonts w:ascii="Calibri" w:hAnsi="Calibri"/>
                <w:color w:val="2E5E8E"/>
                <w:sz w:val="19"/>
              </w:rPr>
              <w:t xml:space="preserve">  →  What bank statements do you need? → /nlv-bank-statements/</w:t>
            </w:r>
          </w:p>
          <w:p>
            <w:r>
              <w:rPr>
                <w:rFonts w:ascii="Calibri" w:hAnsi="Calibri"/>
                <w:color w:val="2E5E8E"/>
                <w:sz w:val="19"/>
              </w:rPr>
              <w:t xml:space="preserve">  →  NLV income calculator → /tools/nlv-income-calculator/</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E8F4EC"/>
          </w:tcPr>
          <w:p>
            <w:r>
              <w:rPr>
                <w:rFonts w:ascii="Calibri" w:hAnsi="Calibri"/>
                <w:b/>
                <w:color w:val="1A6B3A"/>
                <w:sz w:val="22"/>
              </w:rPr>
              <w:t>➤  Check if your income meets the NLV threshold — Start Free Eligibility Quiz →</w:t>
            </w:r>
          </w:p>
        </w:tc>
      </w:tr>
    </w:tbl>
    <w:p>
      <w:pPr>
        <w:spacing w:after="120"/>
      </w:pPr>
    </w:p>
    <w:p>
      <w:pPr>
        <w:pStyle w:val="Heading2"/>
        <w:spacing w:before="280" w:after="80"/>
      </w:pPr>
      <w:r>
        <w:rPr>
          <w:rFonts w:ascii="Calibri" w:hAnsi="Calibri"/>
          <w:b/>
          <w:color w:val="2E5E8E"/>
          <w:sz w:val="30"/>
        </w:rPr>
        <w:t>Non-Lucrative Visa Requirements</w:t>
      </w:r>
    </w:p>
    <w:p>
      <w:pPr>
        <w:spacing w:after="120"/>
      </w:pPr>
      <w:r>
        <w:rPr>
          <w:rFonts w:ascii="Calibri" w:hAnsi="Calibri"/>
          <w:b w:val="0"/>
          <w:i w:val="0"/>
          <w:color w:val="1C1C1C"/>
          <w:sz w:val="21"/>
        </w:rPr>
        <w:t>Beyond the income threshold, there are several other conditions that all NLV applicants must meet. Here is a summary of the core eligibility criteria.</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1A2E4A"/>
            <w:vAlign w:val="center"/>
          </w:tcPr>
          <w:p>
            <w:pPr>
              <w:spacing w:after="0"/>
            </w:pPr>
            <w:r>
              <w:rPr>
                <w:rFonts w:ascii="Calibri" w:hAnsi="Calibri"/>
                <w:b/>
                <w:color w:val="FFFFFF"/>
                <w:sz w:val="19"/>
              </w:rPr>
              <w:t>Requirement</w:t>
            </w:r>
          </w:p>
        </w:tc>
        <w:tc>
          <w:tcPr>
            <w:tcW w:type="dxa" w:w="7344"/>
            <w:shd w:val="clear" w:color="auto" w:fill="1A2E4A"/>
            <w:vAlign w:val="center"/>
          </w:tcPr>
          <w:p>
            <w:pPr>
              <w:spacing w:after="0"/>
            </w:pPr>
            <w:r>
              <w:rPr>
                <w:rFonts w:ascii="Calibri" w:hAnsi="Calibri"/>
                <w:b/>
                <w:color w:val="FFFFFF"/>
                <w:sz w:val="19"/>
              </w:rPr>
              <w:t>Details</w:t>
            </w:r>
          </w:p>
        </w:tc>
      </w:tr>
      <w:tr>
        <w:tc>
          <w:tcPr>
            <w:tcW w:type="dxa" w:w="3168"/>
            <w:shd w:val="clear" w:color="auto" w:fill="F4F7FA"/>
          </w:tcPr>
          <w:p>
            <w:pPr>
              <w:spacing w:after="0"/>
            </w:pPr>
            <w:r>
              <w:rPr>
                <w:rFonts w:ascii="Calibri" w:hAnsi="Calibri"/>
                <w:color w:val="1C1C1C"/>
                <w:sz w:val="19"/>
              </w:rPr>
              <w:t>Nationality</w:t>
            </w:r>
          </w:p>
        </w:tc>
        <w:tc>
          <w:tcPr>
            <w:tcW w:type="dxa" w:w="7344"/>
            <w:shd w:val="clear" w:color="auto" w:fill="F4F7FA"/>
          </w:tcPr>
          <w:p>
            <w:pPr>
              <w:spacing w:after="0"/>
            </w:pPr>
            <w:r>
              <w:rPr>
                <w:rFonts w:ascii="Calibri" w:hAnsi="Calibri"/>
                <w:color w:val="1C1C1C"/>
                <w:sz w:val="19"/>
              </w:rPr>
              <w:t>Must be a non-EU/EEA/Swiss national. EU citizens have the right to live in Spain freely.</w:t>
            </w:r>
          </w:p>
        </w:tc>
      </w:tr>
      <w:tr>
        <w:tc>
          <w:tcPr>
            <w:tcW w:type="dxa" w:w="3168"/>
            <w:shd w:val="clear" w:color="auto" w:fill="FFFFFF"/>
          </w:tcPr>
          <w:p>
            <w:pPr>
              <w:spacing w:after="0"/>
            </w:pPr>
            <w:r>
              <w:rPr>
                <w:rFonts w:ascii="Calibri" w:hAnsi="Calibri"/>
                <w:color w:val="1C1C1C"/>
                <w:sz w:val="19"/>
              </w:rPr>
              <w:t>No prior removal orders</w:t>
            </w:r>
          </w:p>
        </w:tc>
        <w:tc>
          <w:tcPr>
            <w:tcW w:type="dxa" w:w="7344"/>
            <w:shd w:val="clear" w:color="auto" w:fill="FFFFFF"/>
          </w:tcPr>
          <w:p>
            <w:pPr>
              <w:spacing w:after="0"/>
            </w:pPr>
            <w:r>
              <w:rPr>
                <w:rFonts w:ascii="Calibri" w:hAnsi="Calibri"/>
                <w:color w:val="1C1C1C"/>
                <w:sz w:val="19"/>
              </w:rPr>
              <w:t>Must not have been previously expelled or removed from Spain or the Schengen Area.</w:t>
            </w:r>
          </w:p>
        </w:tc>
      </w:tr>
      <w:tr>
        <w:tc>
          <w:tcPr>
            <w:tcW w:type="dxa" w:w="3168"/>
            <w:shd w:val="clear" w:color="auto" w:fill="F4F7FA"/>
          </w:tcPr>
          <w:p>
            <w:pPr>
              <w:spacing w:after="0"/>
            </w:pPr>
            <w:r>
              <w:rPr>
                <w:rFonts w:ascii="Calibri" w:hAnsi="Calibri"/>
                <w:color w:val="1C1C1C"/>
                <w:sz w:val="19"/>
              </w:rPr>
              <w:t>Clean criminal record</w:t>
            </w:r>
          </w:p>
        </w:tc>
        <w:tc>
          <w:tcPr>
            <w:tcW w:type="dxa" w:w="7344"/>
            <w:shd w:val="clear" w:color="auto" w:fill="F4F7FA"/>
          </w:tcPr>
          <w:p>
            <w:pPr>
              <w:spacing w:after="0"/>
            </w:pPr>
            <w:r>
              <w:rPr>
                <w:rFonts w:ascii="Calibri" w:hAnsi="Calibri"/>
                <w:color w:val="1C1C1C"/>
                <w:sz w:val="19"/>
              </w:rPr>
              <w:t>Must provide a criminal record certificate from your home country (and any country where you have lived in the past 5 years).</w:t>
            </w:r>
          </w:p>
        </w:tc>
      </w:tr>
      <w:tr>
        <w:tc>
          <w:tcPr>
            <w:tcW w:type="dxa" w:w="3168"/>
            <w:shd w:val="clear" w:color="auto" w:fill="FFFFFF"/>
          </w:tcPr>
          <w:p>
            <w:pPr>
              <w:spacing w:after="0"/>
            </w:pPr>
            <w:r>
              <w:rPr>
                <w:rFonts w:ascii="Calibri" w:hAnsi="Calibri"/>
                <w:color w:val="1C1C1C"/>
                <w:sz w:val="19"/>
              </w:rPr>
              <w:t>Private health insurance</w:t>
            </w:r>
          </w:p>
        </w:tc>
        <w:tc>
          <w:tcPr>
            <w:tcW w:type="dxa" w:w="7344"/>
            <w:shd w:val="clear" w:color="auto" w:fill="FFFFFF"/>
          </w:tcPr>
          <w:p>
            <w:pPr>
              <w:spacing w:after="0"/>
            </w:pPr>
            <w:r>
              <w:rPr>
                <w:rFonts w:ascii="Calibri" w:hAnsi="Calibri"/>
                <w:color w:val="1C1C1C"/>
                <w:sz w:val="19"/>
              </w:rPr>
              <w:t>Must hold a private health insurance policy with full coverage in Spain, no copayments, and no geographical limits. Public health insurance from your home country (e.g. NHS) does not satisfy this requirement.</w:t>
            </w:r>
          </w:p>
        </w:tc>
      </w:tr>
      <w:tr>
        <w:tc>
          <w:tcPr>
            <w:tcW w:type="dxa" w:w="3168"/>
            <w:shd w:val="clear" w:color="auto" w:fill="F4F7FA"/>
          </w:tcPr>
          <w:p>
            <w:pPr>
              <w:spacing w:after="0"/>
            </w:pPr>
            <w:r>
              <w:rPr>
                <w:rFonts w:ascii="Calibri" w:hAnsi="Calibri"/>
                <w:color w:val="1C1C1C"/>
                <w:sz w:val="19"/>
              </w:rPr>
              <w:t>Medical certificate</w:t>
            </w:r>
          </w:p>
        </w:tc>
        <w:tc>
          <w:tcPr>
            <w:tcW w:type="dxa" w:w="7344"/>
            <w:shd w:val="clear" w:color="auto" w:fill="F4F7FA"/>
          </w:tcPr>
          <w:p>
            <w:pPr>
              <w:spacing w:after="0"/>
            </w:pPr>
            <w:r>
              <w:rPr>
                <w:rFonts w:ascii="Calibri" w:hAnsi="Calibri"/>
                <w:color w:val="1C1C1C"/>
                <w:sz w:val="19"/>
              </w:rPr>
              <w:t>Must provide a medical certificate confirming you have no conditions that could pose a serious public health risk.</w:t>
            </w:r>
          </w:p>
        </w:tc>
      </w:tr>
      <w:tr>
        <w:tc>
          <w:tcPr>
            <w:tcW w:type="dxa" w:w="3168"/>
            <w:shd w:val="clear" w:color="auto" w:fill="FFFFFF"/>
          </w:tcPr>
          <w:p>
            <w:pPr>
              <w:spacing w:after="0"/>
            </w:pPr>
            <w:r>
              <w:rPr>
                <w:rFonts w:ascii="Calibri" w:hAnsi="Calibri"/>
                <w:color w:val="1C1C1C"/>
                <w:sz w:val="19"/>
              </w:rPr>
              <w:t>Sufficient income</w:t>
            </w:r>
          </w:p>
        </w:tc>
        <w:tc>
          <w:tcPr>
            <w:tcW w:type="dxa" w:w="7344"/>
            <w:shd w:val="clear" w:color="auto" w:fill="FFFFFF"/>
          </w:tcPr>
          <w:p>
            <w:pPr>
              <w:spacing w:after="0"/>
            </w:pPr>
            <w:r>
              <w:rPr>
                <w:rFonts w:ascii="Calibri" w:hAnsi="Calibri"/>
                <w:color w:val="1C1C1C"/>
                <w:sz w:val="19"/>
              </w:rPr>
              <w:t>Must meet the current IPREM-based monthly income threshold for your household size.</w:t>
            </w:r>
          </w:p>
        </w:tc>
      </w:tr>
      <w:tr>
        <w:tc>
          <w:tcPr>
            <w:tcW w:type="dxa" w:w="3168"/>
            <w:shd w:val="clear" w:color="auto" w:fill="F4F7FA"/>
          </w:tcPr>
          <w:p>
            <w:pPr>
              <w:spacing w:after="0"/>
            </w:pPr>
            <w:r>
              <w:rPr>
                <w:rFonts w:ascii="Calibri" w:hAnsi="Calibri"/>
                <w:color w:val="1C1C1C"/>
                <w:sz w:val="19"/>
              </w:rPr>
              <w:t>No intention to work</w:t>
            </w:r>
          </w:p>
        </w:tc>
        <w:tc>
          <w:tcPr>
            <w:tcW w:type="dxa" w:w="7344"/>
            <w:shd w:val="clear" w:color="auto" w:fill="F4F7FA"/>
          </w:tcPr>
          <w:p>
            <w:pPr>
              <w:spacing w:after="0"/>
            </w:pPr>
            <w:r>
              <w:rPr>
                <w:rFonts w:ascii="Calibri" w:hAnsi="Calibri"/>
                <w:color w:val="1C1C1C"/>
                <w:sz w:val="19"/>
              </w:rPr>
              <w:t>You must confirm you do not intend to carry out paid work in Spain.</w:t>
            </w:r>
          </w:p>
        </w:tc>
      </w:tr>
      <w:tr>
        <w:tc>
          <w:tcPr>
            <w:tcW w:type="dxa" w:w="3168"/>
            <w:shd w:val="clear" w:color="auto" w:fill="FFFFFF"/>
          </w:tcPr>
          <w:p>
            <w:pPr>
              <w:spacing w:after="0"/>
            </w:pPr>
            <w:r>
              <w:rPr>
                <w:rFonts w:ascii="Calibri" w:hAnsi="Calibri"/>
                <w:color w:val="1C1C1C"/>
                <w:sz w:val="19"/>
              </w:rPr>
              <w:t>No criminal record in Spain</w:t>
            </w:r>
          </w:p>
        </w:tc>
        <w:tc>
          <w:tcPr>
            <w:tcW w:type="dxa" w:w="7344"/>
            <w:shd w:val="clear" w:color="auto" w:fill="FFFFFF"/>
          </w:tcPr>
          <w:p>
            <w:pPr>
              <w:spacing w:after="0"/>
            </w:pPr>
            <w:r>
              <w:rPr>
                <w:rFonts w:ascii="Calibri" w:hAnsi="Calibri"/>
                <w:color w:val="1C1C1C"/>
                <w:sz w:val="19"/>
              </w:rPr>
              <w:t>Must not have any criminal record in Spain.</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EBF0F8"/>
          </w:tcPr>
          <w:p>
            <w:r>
              <w:rPr>
                <w:rFonts w:ascii="Calibri" w:hAnsi="Calibri"/>
                <w:b/>
                <w:color w:val="2E5E8E"/>
                <w:sz w:val="19"/>
              </w:rPr>
              <w:t xml:space="preserve">🔗  INTERNAL LINKS FOR THIS SECTION:  </w:t>
            </w:r>
          </w:p>
          <w:p>
            <w:r>
              <w:rPr>
                <w:rFonts w:ascii="Calibri" w:hAnsi="Calibri"/>
                <w:color w:val="2E5E8E"/>
                <w:sz w:val="19"/>
              </w:rPr>
              <w:t xml:space="preserve">  →  Full NLV requirements breakdown → /non-lucrative-visa-requirements/</w:t>
            </w:r>
          </w:p>
          <w:p>
            <w:r>
              <w:rPr>
                <w:rFonts w:ascii="Calibri" w:hAnsi="Calibri"/>
                <w:color w:val="2E5E8E"/>
                <w:sz w:val="19"/>
              </w:rPr>
              <w:t xml:space="preserve">  →  Health insurance for the NLV — what's accepted → /non-lucrative-visa-health-insurance/</w:t>
            </w:r>
          </w:p>
          <w:p>
            <w:r>
              <w:rPr>
                <w:rFonts w:ascii="Calibri" w:hAnsi="Calibri"/>
                <w:color w:val="2E5E8E"/>
                <w:sz w:val="19"/>
              </w:rPr>
              <w:t xml:space="preserve">  →  Criminal record certificate Spain — how to get one → /non-lucrative-visa-documents/</w:t>
            </w:r>
          </w:p>
        </w:tc>
      </w:tr>
    </w:tbl>
    <w:p>
      <w:pPr>
        <w:spacing w:after="80"/>
      </w:pPr>
    </w:p>
    <w:p>
      <w:pPr>
        <w:pStyle w:val="Heading2"/>
        <w:spacing w:before="280" w:after="80"/>
      </w:pPr>
      <w:r>
        <w:rPr>
          <w:rFonts w:ascii="Calibri" w:hAnsi="Calibri"/>
          <w:b/>
          <w:color w:val="2E5E8E"/>
          <w:sz w:val="30"/>
        </w:rPr>
        <w:t>Documents Required for the Non-Lucrative Visa Spain</w:t>
      </w:r>
    </w:p>
    <w:p>
      <w:pPr>
        <w:spacing w:after="120"/>
      </w:pPr>
      <w:r>
        <w:rPr>
          <w:rFonts w:ascii="Calibri" w:hAnsi="Calibri"/>
          <w:b w:val="0"/>
          <w:i w:val="0"/>
          <w:color w:val="1C1C1C"/>
          <w:sz w:val="21"/>
        </w:rPr>
        <w:t>Preparing your documents correctly is one of the most common areas where NLV applications run into problems. Incomplete documents, missing apostilles, or translations that do not meet consulate standards are a leading cause of delays and refusals.</w:t>
      </w:r>
    </w:p>
    <w:p>
      <w:pPr>
        <w:spacing w:after="120"/>
      </w:pPr>
      <w:r>
        <w:rPr>
          <w:rFonts w:ascii="Calibri" w:hAnsi="Calibri"/>
          <w:b w:val="0"/>
          <w:i w:val="0"/>
          <w:color w:val="1C1C1C"/>
          <w:sz w:val="21"/>
        </w:rPr>
        <w:t>Below is an overview of the standard document checklist. Requirements can vary slightly depending on which consulate you apply through.</w:t>
      </w:r>
    </w:p>
    <w:p>
      <w:pPr>
        <w:pStyle w:val="ListBullet"/>
        <w:spacing w:after="60"/>
        <w:ind w:left="360"/>
      </w:pPr>
      <w:r>
        <w:rPr>
          <w:rFonts w:ascii="Calibri" w:hAnsi="Calibri"/>
          <w:color w:val="1C1C1C"/>
          <w:sz w:val="21"/>
        </w:rPr>
        <w:t>Completed and signed Spanish national visa application form</w:t>
      </w:r>
    </w:p>
    <w:p>
      <w:pPr>
        <w:pStyle w:val="ListBullet"/>
        <w:spacing w:after="60"/>
        <w:ind w:left="360"/>
      </w:pPr>
      <w:r>
        <w:rPr>
          <w:rFonts w:ascii="Calibri" w:hAnsi="Calibri"/>
          <w:color w:val="1C1C1C"/>
          <w:sz w:val="21"/>
        </w:rPr>
        <w:t>Valid passport (valid for at least one year beyond your intended stay, with at least two blank pages)</w:t>
      </w:r>
    </w:p>
    <w:p>
      <w:pPr>
        <w:pStyle w:val="ListBullet"/>
        <w:spacing w:after="60"/>
        <w:ind w:left="360"/>
      </w:pPr>
      <w:r>
        <w:rPr>
          <w:rFonts w:ascii="Calibri" w:hAnsi="Calibri"/>
          <w:color w:val="1C1C1C"/>
          <w:sz w:val="21"/>
        </w:rPr>
        <w:t>Passport-sized photos meeting Spanish consulate specifications</w:t>
      </w:r>
    </w:p>
    <w:p>
      <w:pPr>
        <w:pStyle w:val="ListBullet"/>
        <w:spacing w:after="60"/>
        <w:ind w:left="360"/>
      </w:pPr>
      <w:r>
        <w:rPr>
          <w:rFonts w:ascii="Calibri" w:hAnsi="Calibri"/>
          <w:color w:val="1C1C1C"/>
          <w:sz w:val="21"/>
        </w:rPr>
        <w:t>Proof of financial means — bank statements, pension letters, investment statements, or similar</w:t>
      </w:r>
    </w:p>
    <w:p>
      <w:pPr>
        <w:pStyle w:val="ListBullet"/>
        <w:spacing w:after="60"/>
        <w:ind w:left="360"/>
      </w:pPr>
      <w:r>
        <w:rPr>
          <w:rFonts w:ascii="Calibri" w:hAnsi="Calibri"/>
          <w:color w:val="1C1C1C"/>
          <w:sz w:val="21"/>
        </w:rPr>
        <w:t>Criminal record certificate from your home country, apostilled and translated into Spanish</w:t>
      </w:r>
    </w:p>
    <w:p>
      <w:pPr>
        <w:pStyle w:val="ListBullet"/>
        <w:spacing w:after="60"/>
        <w:ind w:left="360"/>
      </w:pPr>
      <w:r>
        <w:rPr>
          <w:rFonts w:ascii="Calibri" w:hAnsi="Calibri"/>
          <w:color w:val="1C1C1C"/>
          <w:sz w:val="21"/>
        </w:rPr>
        <w:t>Medical certificate in the prescribed Spanish format, apostilled and translated</w:t>
      </w:r>
    </w:p>
    <w:p>
      <w:pPr>
        <w:pStyle w:val="ListBullet"/>
        <w:spacing w:after="60"/>
        <w:ind w:left="360"/>
      </w:pPr>
      <w:r>
        <w:rPr>
          <w:rFonts w:ascii="Calibri" w:hAnsi="Calibri"/>
          <w:color w:val="1C1C1C"/>
          <w:sz w:val="21"/>
        </w:rPr>
        <w:t>Private health insurance certificate covering full medical treatment in Spain</w:t>
      </w:r>
    </w:p>
    <w:p>
      <w:pPr>
        <w:pStyle w:val="ListBullet"/>
        <w:spacing w:after="60"/>
        <w:ind w:left="360"/>
      </w:pPr>
      <w:r>
        <w:rPr>
          <w:rFonts w:ascii="Calibri" w:hAnsi="Calibri"/>
          <w:color w:val="1C1C1C"/>
          <w:sz w:val="21"/>
        </w:rPr>
        <w:t>Proof of accommodation in Spain (rental agreement, property title, or letter from host)</w:t>
      </w:r>
    </w:p>
    <w:p>
      <w:pPr>
        <w:pStyle w:val="ListBullet"/>
        <w:spacing w:after="60"/>
        <w:ind w:left="360"/>
      </w:pPr>
      <w:r>
        <w:rPr>
          <w:rFonts w:ascii="Calibri" w:hAnsi="Calibri"/>
          <w:color w:val="1C1C1C"/>
          <w:sz w:val="21"/>
        </w:rPr>
        <w:t>Completed EX-01 form (Spain's specific residency visa application supplement)</w:t>
      </w:r>
    </w:p>
    <w:p>
      <w:pPr>
        <w:pStyle w:val="ListBullet"/>
        <w:spacing w:after="60"/>
        <w:ind w:left="360"/>
      </w:pPr>
      <w:r>
        <w:rPr>
          <w:rFonts w:ascii="Calibri" w:hAnsi="Calibri"/>
          <w:color w:val="1C1C1C"/>
          <w:sz w:val="21"/>
        </w:rPr>
        <w:t>Consulate fee payment receipt</w:t>
      </w:r>
    </w:p>
    <w:tbl>
      <w:tblPr>
        <w:tblStyle w:val="TableGrid"/>
        <w:tblW w:type="auto" w:w="0"/>
        <w:tblLook w:firstColumn="1" w:firstRow="1" w:lastColumn="0" w:lastRow="0" w:noHBand="0" w:noVBand="1" w:val="04A0"/>
      </w:tblPr>
      <w:tblGrid>
        <w:gridCol w:w="9072"/>
      </w:tblGrid>
      <w:tr>
        <w:tc>
          <w:tcPr>
            <w:tcW w:type="dxa" w:w="9072"/>
            <w:shd w:val="clear" w:color="auto" w:fill="EBF0F8"/>
          </w:tcPr>
          <w:p>
            <w:r>
              <w:rPr>
                <w:rFonts w:ascii="Calibri" w:hAnsi="Calibri"/>
                <w:b/>
                <w:color w:val="2E5E8E"/>
                <w:sz w:val="19"/>
              </w:rPr>
              <w:t xml:space="preserve">🔗  INTERNAL LINKS FOR THIS SECTION:  </w:t>
            </w:r>
          </w:p>
          <w:p>
            <w:r>
              <w:rPr>
                <w:rFonts w:ascii="Calibri" w:hAnsi="Calibri"/>
                <w:color w:val="2E5E8E"/>
                <w:sz w:val="19"/>
              </w:rPr>
              <w:t xml:space="preserve">  →  Full NLV document checklist (with apostille and translation guidance) → /non-lucrative-visa-documents/</w:t>
            </w:r>
          </w:p>
          <w:p>
            <w:r>
              <w:rPr>
                <w:rFonts w:ascii="Calibri" w:hAnsi="Calibri"/>
                <w:color w:val="2E5E8E"/>
                <w:sz w:val="19"/>
              </w:rPr>
              <w:t xml:space="preserve">  →  Best health insurance for the NLV → /best-health-insurance-nlv-spain/</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EF9E7"/>
          </w:tcPr>
          <w:p>
            <w:r>
              <w:rPr>
                <w:rFonts w:ascii="Calibri" w:hAnsi="Calibri"/>
                <w:b/>
                <w:color w:val="C9A03A"/>
                <w:sz w:val="19"/>
              </w:rPr>
              <w:t xml:space="preserve">✏  IMPLEMENTATION NOTE:  </w:t>
            </w:r>
            <w:r>
              <w:rPr>
                <w:rFonts w:ascii="Calibri" w:hAnsi="Calibri"/>
                <w:color w:val="1C1C1C"/>
                <w:sz w:val="19"/>
              </w:rPr>
              <w:t>All foreign documents must be apostilled and officially translated into Spanish by a sworn translator. Consulates will not accept untranslated or non-apostilled documents. This is one of the most common application errors.</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E8F4EC"/>
          </w:tcPr>
          <w:p>
            <w:r>
              <w:rPr>
                <w:rFonts w:ascii="Calibri" w:hAnsi="Calibri"/>
                <w:b/>
                <w:color w:val="1A6B3A"/>
                <w:sz w:val="22"/>
              </w:rPr>
              <w:t>➤  Let us handle your document preparation — our specialists manage the full checklist for you.</w:t>
            </w:r>
          </w:p>
          <w:p>
            <w:r>
              <w:rPr>
                <w:rFonts w:ascii="Calibri" w:hAnsi="Calibri"/>
                <w:color w:val="2E5E8E"/>
                <w:sz w:val="20"/>
              </w:rPr>
              <w:t xml:space="preserve">    Start your application → Start Now</w:t>
            </w:r>
          </w:p>
        </w:tc>
      </w:tr>
    </w:tbl>
    <w:p>
      <w:pPr>
        <w:spacing w:after="120"/>
      </w:pPr>
    </w:p>
    <w:p>
      <w:pPr>
        <w:pStyle w:val="Heading2"/>
        <w:spacing w:before="280" w:after="80"/>
      </w:pPr>
      <w:r>
        <w:rPr>
          <w:rFonts w:ascii="Calibri" w:hAnsi="Calibri"/>
          <w:b/>
          <w:color w:val="2E5E8E"/>
          <w:sz w:val="30"/>
        </w:rPr>
        <w:t>How the NLV Application Works — With My Spanish Visa</w:t>
      </w:r>
    </w:p>
    <w:p>
      <w:pPr>
        <w:spacing w:after="120"/>
      </w:pPr>
      <w:r>
        <w:rPr>
          <w:rFonts w:ascii="Calibri" w:hAnsi="Calibri"/>
          <w:b w:val="0"/>
          <w:i w:val="0"/>
          <w:color w:val="1C1C1C"/>
          <w:sz w:val="21"/>
        </w:rPr>
        <w:t>The NLV must be applied for from outside Spain, at the Spanish consulate with jurisdiction over your place of residence. You cannot apply from within Spain, and you cannot convert a tourist visa into an NLV once you are already in the country.</w:t>
      </w:r>
    </w:p>
    <w:p>
      <w:pPr>
        <w:spacing w:after="120"/>
      </w:pPr>
      <w:r>
        <w:rPr>
          <w:rFonts w:ascii="Calibri" w:hAnsi="Calibri"/>
          <w:b w:val="0"/>
          <w:i w:val="0"/>
          <w:color w:val="1C1C1C"/>
          <w:sz w:val="21"/>
        </w:rPr>
        <w:t>Through My Spanish Visa, the process is managed end-to-end through your secure online client portal. We handle the complexity. You focus on planning your move.</w:t>
      </w:r>
    </w:p>
    <w:p>
      <w:pPr>
        <w:pStyle w:val="Heading3"/>
        <w:spacing w:before="200" w:after="60"/>
      </w:pPr>
      <w:r>
        <w:rPr>
          <w:rFonts w:ascii="Calibri" w:hAnsi="Calibri"/>
          <w:b/>
          <w:color w:val="1A2E4A"/>
          <w:sz w:val="24"/>
        </w:rPr>
        <w:t>Step 1 — Take the Free Eligibility Quiz</w:t>
      </w:r>
    </w:p>
    <w:p>
      <w:pPr>
        <w:spacing w:after="120"/>
      </w:pPr>
      <w:r>
        <w:rPr>
          <w:rFonts w:ascii="Calibri" w:hAnsi="Calibri"/>
          <w:b w:val="0"/>
          <w:i w:val="0"/>
          <w:color w:val="1C1C1C"/>
          <w:sz w:val="21"/>
        </w:rPr>
        <w:t>Start with our free quiz. It takes around five minutes and gives you a clear, immediate picture of whether you qualify, what income threshold applies to your household size, and what the process looks like for your specific situation. No commitment, no cost.</w:t>
      </w:r>
    </w:p>
    <w:p>
      <w:pPr>
        <w:pStyle w:val="Heading3"/>
        <w:spacing w:before="200" w:after="60"/>
      </w:pPr>
      <w:r>
        <w:rPr>
          <w:rFonts w:ascii="Calibri" w:hAnsi="Calibri"/>
          <w:b/>
          <w:color w:val="1A2E4A"/>
          <w:sz w:val="24"/>
        </w:rPr>
        <w:t>Step 2 — Book Your Specialist Onboarding Call</w:t>
      </w:r>
    </w:p>
    <w:p>
      <w:pPr>
        <w:spacing w:after="120"/>
      </w:pPr>
      <w:r>
        <w:rPr>
          <w:rFonts w:ascii="Calibri" w:hAnsi="Calibri"/>
          <w:b w:val="0"/>
          <w:i w:val="0"/>
          <w:color w:val="1C1C1C"/>
          <w:sz w:val="21"/>
        </w:rPr>
        <w:t>Once your quiz is complete, you book a one-to-one call with one of our NLV specialists. On this call, we map your full application, explain exactly what documents are needed, set realistic timelines, and answer any questions you have before you start.</w:t>
      </w:r>
    </w:p>
    <w:p>
      <w:pPr>
        <w:pStyle w:val="Heading3"/>
        <w:spacing w:before="200" w:after="60"/>
      </w:pPr>
      <w:r>
        <w:rPr>
          <w:rFonts w:ascii="Calibri" w:hAnsi="Calibri"/>
          <w:b/>
          <w:color w:val="1A2E4A"/>
          <w:sz w:val="24"/>
        </w:rPr>
        <w:t>Step 3 — We Handle Your Documents</w:t>
      </w:r>
    </w:p>
    <w:p>
      <w:pPr>
        <w:spacing w:after="120"/>
      </w:pPr>
      <w:r>
        <w:rPr>
          <w:rFonts w:ascii="Calibri" w:hAnsi="Calibri"/>
          <w:b w:val="0"/>
          <w:i w:val="0"/>
          <w:color w:val="1C1C1C"/>
          <w:sz w:val="21"/>
        </w:rPr>
        <w:t>This is where most applicants run into trouble on their own — and where we take everything off your plate. Through your client portal, we manage your complete document checklist. We coordinate your apostilles, connect you with the right sworn translators, and check every document for consulate compliance before submission. Your NLV package includes €100 of certified translation costs per applicant, built into the price.</w:t>
      </w:r>
    </w:p>
    <w:p>
      <w:pPr>
        <w:pStyle w:val="Heading3"/>
        <w:spacing w:before="200" w:after="60"/>
      </w:pPr>
      <w:r>
        <w:rPr>
          <w:rFonts w:ascii="Calibri" w:hAnsi="Calibri"/>
          <w:b/>
          <w:color w:val="1A2E4A"/>
          <w:sz w:val="24"/>
        </w:rPr>
        <w:t>Step 4 — We Prepare Your Consulate Pack and Brief You</w:t>
      </w:r>
    </w:p>
    <w:p>
      <w:pPr>
        <w:spacing w:after="120"/>
      </w:pPr>
      <w:r>
        <w:rPr>
          <w:rFonts w:ascii="Calibri" w:hAnsi="Calibri"/>
          <w:b w:val="0"/>
          <w:i w:val="0"/>
          <w:color w:val="1C1C1C"/>
          <w:sz w:val="21"/>
        </w:rPr>
        <w:t>We prepare your complete, fully-checked application pack ready for submission. Before your consulate appointment, we brief you on exactly what to expect — what the officer is likely to ask, what to bring on the day, and how to present your financial documentation. You walk into your appointment prepared, not guessing.</w:t>
      </w:r>
    </w:p>
    <w:p>
      <w:pPr>
        <w:pStyle w:val="Heading3"/>
        <w:spacing w:before="200" w:after="60"/>
      </w:pPr>
      <w:r>
        <w:rPr>
          <w:rFonts w:ascii="Calibri" w:hAnsi="Calibri"/>
          <w:b/>
          <w:color w:val="1A2E4A"/>
          <w:sz w:val="24"/>
        </w:rPr>
        <w:t>Step 5 — You Attend Your Consulate Appointment</w:t>
      </w:r>
    </w:p>
    <w:p>
      <w:pPr>
        <w:spacing w:after="120"/>
      </w:pPr>
      <w:r>
        <w:rPr>
          <w:rFonts w:ascii="Calibri" w:hAnsi="Calibri"/>
          <w:b w:val="0"/>
          <w:i w:val="0"/>
          <w:color w:val="1C1C1C"/>
          <w:sz w:val="21"/>
        </w:rPr>
        <w:t>You attend your appointment with a complete, professionally prepared pack. This is the one step only you can do — but with our preparation behind you, most of our clients find it straightforward. We're on hand to answer any questions that come up before or after.</w:t>
      </w:r>
    </w:p>
    <w:p>
      <w:pPr>
        <w:pStyle w:val="Heading3"/>
        <w:spacing w:before="200" w:after="60"/>
      </w:pPr>
      <w:r>
        <w:rPr>
          <w:rFonts w:ascii="Calibri" w:hAnsi="Calibri"/>
          <w:b/>
          <w:color w:val="1A2E4A"/>
          <w:sz w:val="24"/>
        </w:rPr>
        <w:t>Step 6 — We Track Your Application and Support Your Arrival</w:t>
      </w:r>
    </w:p>
    <w:p>
      <w:pPr>
        <w:spacing w:after="120"/>
      </w:pPr>
      <w:r>
        <w:rPr>
          <w:rFonts w:ascii="Calibri" w:hAnsi="Calibri"/>
          <w:b w:val="0"/>
          <w:i w:val="0"/>
          <w:color w:val="1C1C1C"/>
          <w:sz w:val="21"/>
        </w:rPr>
        <w:t>Once submitted, we track the progress of your application. When your visa is approved, we guide you through the next steps: entering Spain within the visa window, applying for your TIE card within 30 days of arrival, and registering at your local town hall (padrón). We stay with you through the whole journey.</w:t>
      </w:r>
    </w:p>
    <w:tbl>
      <w:tblPr>
        <w:tblStyle w:val="TableGrid"/>
        <w:tblW w:type="auto" w:w="0"/>
        <w:tblLook w:firstColumn="1" w:firstRow="1" w:lastColumn="0" w:lastRow="0" w:noHBand="0" w:noVBand="1" w:val="04A0"/>
      </w:tblPr>
      <w:tblGrid>
        <w:gridCol w:w="9072"/>
      </w:tblGrid>
      <w:tr>
        <w:tc>
          <w:tcPr>
            <w:tcW w:type="dxa" w:w="9072"/>
            <w:shd w:val="clear" w:color="auto" w:fill="EBF0F8"/>
          </w:tcPr>
          <w:p>
            <w:r>
              <w:rPr>
                <w:rFonts w:ascii="Calibri" w:hAnsi="Calibri"/>
                <w:b/>
                <w:color w:val="2E5E8E"/>
                <w:sz w:val="19"/>
              </w:rPr>
              <w:t xml:space="preserve">🔗  INTERNAL LINKS FOR THIS SECTION:  </w:t>
            </w:r>
          </w:p>
          <w:p>
            <w:r>
              <w:rPr>
                <w:rFonts w:ascii="Calibri" w:hAnsi="Calibri"/>
                <w:color w:val="2E5E8E"/>
                <w:sz w:val="19"/>
              </w:rPr>
              <w:t xml:space="preserve">  →  Full step-by-step NLV application guide → /non-lucrative-visa-application-process/</w:t>
            </w:r>
          </w:p>
          <w:p>
            <w:r>
              <w:rPr>
                <w:rFonts w:ascii="Calibri" w:hAnsi="Calibri"/>
                <w:color w:val="2E5E8E"/>
                <w:sz w:val="19"/>
              </w:rPr>
              <w:t xml:space="preserve">  →  TIE card Spain — what it is and how to get it → /tie-card-spain/</w:t>
            </w:r>
          </w:p>
          <w:p>
            <w:r>
              <w:rPr>
                <w:rFonts w:ascii="Calibri" w:hAnsi="Calibri"/>
                <w:color w:val="2E5E8E"/>
                <w:sz w:val="19"/>
              </w:rPr>
              <w:t xml:space="preserve">  →  Padrón registration in Spain → /padron-registration-spain/</w:t>
            </w:r>
          </w:p>
          <w:p>
            <w:r>
              <w:rPr>
                <w:rFonts w:ascii="Calibri" w:hAnsi="Calibri"/>
                <w:color w:val="2E5E8E"/>
                <w:sz w:val="19"/>
              </w:rPr>
              <w:t xml:space="preserve">  →  NLV consulate guide — London → /non-lucrative-visa-spain-london-consulate/</w:t>
            </w:r>
          </w:p>
          <w:p>
            <w:r>
              <w:rPr>
                <w:rFonts w:ascii="Calibri" w:hAnsi="Calibri"/>
                <w:color w:val="2E5E8E"/>
                <w:sz w:val="19"/>
              </w:rPr>
              <w:t xml:space="preserve">  →  NLV consulate guide — New York → /non-lucrative-visa-spain-new-york/</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E8F4EC"/>
          </w:tcPr>
          <w:p>
            <w:r>
              <w:rPr>
                <w:rFonts w:ascii="Calibri" w:hAnsi="Calibri"/>
                <w:b/>
                <w:color w:val="1A6B3A"/>
                <w:sz w:val="22"/>
              </w:rPr>
              <w:t>➤  Start your NLV application now — take the free eligibility quiz and we'll take it from there.</w:t>
            </w:r>
          </w:p>
          <w:p>
            <w:r>
              <w:rPr>
                <w:rFonts w:ascii="Calibri" w:hAnsi="Calibri"/>
                <w:color w:val="2E5E8E"/>
                <w:sz w:val="20"/>
              </w:rPr>
              <w:t xml:space="preserve">    Prefer to speak first? Book a consultation → Book Now</w:t>
            </w:r>
          </w:p>
        </w:tc>
      </w:tr>
    </w:tbl>
    <w:p>
      <w:pPr>
        <w:spacing w:after="120"/>
      </w:pPr>
    </w:p>
    <w:p>
      <w:pPr>
        <w:pStyle w:val="Heading2"/>
        <w:spacing w:before="280" w:after="80"/>
      </w:pPr>
      <w:r>
        <w:rPr>
          <w:rFonts w:ascii="Calibri" w:hAnsi="Calibri"/>
          <w:b/>
          <w:color w:val="2E5E8E"/>
          <w:sz w:val="30"/>
        </w:rPr>
        <w:t>Non-Lucrative Visa Processing Time</w:t>
      </w:r>
    </w:p>
    <w:p>
      <w:pPr>
        <w:spacing w:after="120"/>
      </w:pPr>
      <w:r>
        <w:rPr>
          <w:rFonts w:ascii="Calibri" w:hAnsi="Calibri"/>
          <w:b w:val="0"/>
          <w:i w:val="0"/>
          <w:color w:val="1C1C1C"/>
          <w:sz w:val="21"/>
        </w:rPr>
        <w:t>The NLV typically takes between 1 and 3 months to process once your application has been submitted at the consulate. However, processing times vary by consulate, season, and the completeness of your application.</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A2E4A"/>
            <w:vAlign w:val="center"/>
          </w:tcPr>
          <w:p>
            <w:pPr>
              <w:spacing w:after="0"/>
            </w:pPr>
            <w:r>
              <w:rPr>
                <w:rFonts w:ascii="Calibri" w:hAnsi="Calibri"/>
                <w:b/>
                <w:color w:val="FFFFFF"/>
                <w:sz w:val="19"/>
              </w:rPr>
              <w:t>Consulate</w:t>
            </w:r>
          </w:p>
        </w:tc>
        <w:tc>
          <w:tcPr>
            <w:tcW w:type="dxa" w:w="2880"/>
            <w:shd w:val="clear" w:color="auto" w:fill="1A2E4A"/>
            <w:vAlign w:val="center"/>
          </w:tcPr>
          <w:p>
            <w:pPr>
              <w:spacing w:after="0"/>
            </w:pPr>
            <w:r>
              <w:rPr>
                <w:rFonts w:ascii="Calibri" w:hAnsi="Calibri"/>
                <w:b/>
                <w:color w:val="FFFFFF"/>
                <w:sz w:val="19"/>
              </w:rPr>
              <w:t>Typical Processing Time</w:t>
            </w:r>
          </w:p>
        </w:tc>
        <w:tc>
          <w:tcPr>
            <w:tcW w:type="dxa" w:w="4752"/>
            <w:shd w:val="clear" w:color="auto" w:fill="1A2E4A"/>
            <w:vAlign w:val="center"/>
          </w:tcPr>
          <w:p>
            <w:pPr>
              <w:spacing w:after="0"/>
            </w:pPr>
            <w:r>
              <w:rPr>
                <w:rFonts w:ascii="Calibri" w:hAnsi="Calibri"/>
                <w:b/>
                <w:color w:val="FFFFFF"/>
                <w:sz w:val="19"/>
              </w:rPr>
              <w:t>Notes</w:t>
            </w:r>
          </w:p>
        </w:tc>
      </w:tr>
      <w:tr>
        <w:tc>
          <w:tcPr>
            <w:tcW w:type="dxa" w:w="2880"/>
            <w:shd w:val="clear" w:color="auto" w:fill="F4F7FA"/>
          </w:tcPr>
          <w:p>
            <w:pPr>
              <w:spacing w:after="0"/>
            </w:pPr>
            <w:r>
              <w:rPr>
                <w:rFonts w:ascii="Calibri" w:hAnsi="Calibri"/>
                <w:color w:val="1C1C1C"/>
                <w:sz w:val="19"/>
              </w:rPr>
              <w:t>London, UK</w:t>
            </w:r>
          </w:p>
        </w:tc>
        <w:tc>
          <w:tcPr>
            <w:tcW w:type="dxa" w:w="2880"/>
            <w:shd w:val="clear" w:color="auto" w:fill="F4F7FA"/>
          </w:tcPr>
          <w:p>
            <w:pPr>
              <w:spacing w:after="0"/>
            </w:pPr>
            <w:r>
              <w:rPr>
                <w:rFonts w:ascii="Calibri" w:hAnsi="Calibri"/>
                <w:color w:val="1C1C1C"/>
                <w:sz w:val="19"/>
              </w:rPr>
              <w:t>6–10 weeks</w:t>
            </w:r>
          </w:p>
        </w:tc>
        <w:tc>
          <w:tcPr>
            <w:tcW w:type="dxa" w:w="4752"/>
            <w:shd w:val="clear" w:color="auto" w:fill="F4F7FA"/>
          </w:tcPr>
          <w:p>
            <w:pPr>
              <w:spacing w:after="0"/>
            </w:pPr>
            <w:r>
              <w:rPr>
                <w:rFonts w:ascii="Calibri" w:hAnsi="Calibri"/>
                <w:color w:val="1C1C1C"/>
                <w:sz w:val="19"/>
              </w:rPr>
              <w:t>High volume; appointment availability can be limited</w:t>
            </w:r>
          </w:p>
        </w:tc>
      </w:tr>
      <w:tr>
        <w:tc>
          <w:tcPr>
            <w:tcW w:type="dxa" w:w="2880"/>
            <w:shd w:val="clear" w:color="auto" w:fill="FFFFFF"/>
          </w:tcPr>
          <w:p>
            <w:pPr>
              <w:spacing w:after="0"/>
            </w:pPr>
            <w:r>
              <w:rPr>
                <w:rFonts w:ascii="Calibri" w:hAnsi="Calibri"/>
                <w:color w:val="1C1C1C"/>
                <w:sz w:val="19"/>
              </w:rPr>
              <w:t>Manchester, UK</w:t>
            </w:r>
          </w:p>
        </w:tc>
        <w:tc>
          <w:tcPr>
            <w:tcW w:type="dxa" w:w="2880"/>
            <w:shd w:val="clear" w:color="auto" w:fill="FFFFFF"/>
          </w:tcPr>
          <w:p>
            <w:pPr>
              <w:spacing w:after="0"/>
            </w:pPr>
            <w:r>
              <w:rPr>
                <w:rFonts w:ascii="Calibri" w:hAnsi="Calibri"/>
                <w:color w:val="1C1C1C"/>
                <w:sz w:val="19"/>
              </w:rPr>
              <w:t>4–8 weeks</w:t>
            </w:r>
          </w:p>
        </w:tc>
        <w:tc>
          <w:tcPr>
            <w:tcW w:type="dxa" w:w="4752"/>
            <w:shd w:val="clear" w:color="auto" w:fill="FFFFFF"/>
          </w:tcPr>
          <w:p>
            <w:pPr>
              <w:spacing w:after="0"/>
            </w:pPr>
            <w:r>
              <w:rPr>
                <w:rFonts w:ascii="Calibri" w:hAnsi="Calibri"/>
                <w:color w:val="1C1C1C"/>
                <w:sz w:val="19"/>
              </w:rPr>
              <w:t>Generally faster than London</w:t>
            </w:r>
          </w:p>
        </w:tc>
      </w:tr>
      <w:tr>
        <w:tc>
          <w:tcPr>
            <w:tcW w:type="dxa" w:w="2880"/>
            <w:shd w:val="clear" w:color="auto" w:fill="F4F7FA"/>
          </w:tcPr>
          <w:p>
            <w:pPr>
              <w:spacing w:after="0"/>
            </w:pPr>
            <w:r>
              <w:rPr>
                <w:rFonts w:ascii="Calibri" w:hAnsi="Calibri"/>
                <w:color w:val="1C1C1C"/>
                <w:sz w:val="19"/>
              </w:rPr>
              <w:t>New York, USA</w:t>
            </w:r>
          </w:p>
        </w:tc>
        <w:tc>
          <w:tcPr>
            <w:tcW w:type="dxa" w:w="2880"/>
            <w:shd w:val="clear" w:color="auto" w:fill="F4F7FA"/>
          </w:tcPr>
          <w:p>
            <w:pPr>
              <w:spacing w:after="0"/>
            </w:pPr>
            <w:r>
              <w:rPr>
                <w:rFonts w:ascii="Calibri" w:hAnsi="Calibri"/>
                <w:color w:val="1C1C1C"/>
                <w:sz w:val="19"/>
              </w:rPr>
              <w:t>6–12 weeks</w:t>
            </w:r>
          </w:p>
        </w:tc>
        <w:tc>
          <w:tcPr>
            <w:tcW w:type="dxa" w:w="4752"/>
            <w:shd w:val="clear" w:color="auto" w:fill="F4F7FA"/>
          </w:tcPr>
          <w:p>
            <w:pPr>
              <w:spacing w:after="0"/>
            </w:pPr>
            <w:r>
              <w:rPr>
                <w:rFonts w:ascii="Calibri" w:hAnsi="Calibri"/>
                <w:color w:val="1C1C1C"/>
                <w:sz w:val="19"/>
              </w:rPr>
              <w:t>Variable; longer in peak season</w:t>
            </w:r>
          </w:p>
        </w:tc>
      </w:tr>
      <w:tr>
        <w:tc>
          <w:tcPr>
            <w:tcW w:type="dxa" w:w="2880"/>
            <w:shd w:val="clear" w:color="auto" w:fill="FFFFFF"/>
          </w:tcPr>
          <w:p>
            <w:pPr>
              <w:spacing w:after="0"/>
            </w:pPr>
            <w:r>
              <w:rPr>
                <w:rFonts w:ascii="Calibri" w:hAnsi="Calibri"/>
                <w:color w:val="1C1C1C"/>
                <w:sz w:val="19"/>
              </w:rPr>
              <w:t>Los Angeles</w:t>
            </w:r>
          </w:p>
        </w:tc>
        <w:tc>
          <w:tcPr>
            <w:tcW w:type="dxa" w:w="2880"/>
            <w:shd w:val="clear" w:color="auto" w:fill="FFFFFF"/>
          </w:tcPr>
          <w:p>
            <w:pPr>
              <w:spacing w:after="0"/>
            </w:pPr>
            <w:r>
              <w:rPr>
                <w:rFonts w:ascii="Calibri" w:hAnsi="Calibri"/>
                <w:color w:val="1C1C1C"/>
                <w:sz w:val="19"/>
              </w:rPr>
              <w:t>6–10 weeks</w:t>
            </w:r>
          </w:p>
        </w:tc>
        <w:tc>
          <w:tcPr>
            <w:tcW w:type="dxa" w:w="4752"/>
            <w:shd w:val="clear" w:color="auto" w:fill="FFFFFF"/>
          </w:tcPr>
          <w:p>
            <w:pPr>
              <w:spacing w:after="0"/>
            </w:pPr>
            <w:r>
              <w:rPr>
                <w:rFonts w:ascii="Calibri" w:hAnsi="Calibri"/>
                <w:color w:val="1C1C1C"/>
                <w:sz w:val="19"/>
              </w:rPr>
            </w:r>
          </w:p>
        </w:tc>
      </w:tr>
      <w:tr>
        <w:tc>
          <w:tcPr>
            <w:tcW w:type="dxa" w:w="2880"/>
            <w:shd w:val="clear" w:color="auto" w:fill="F4F7FA"/>
          </w:tcPr>
          <w:p>
            <w:pPr>
              <w:spacing w:after="0"/>
            </w:pPr>
            <w:r>
              <w:rPr>
                <w:rFonts w:ascii="Calibri" w:hAnsi="Calibri"/>
                <w:color w:val="1C1C1C"/>
                <w:sz w:val="19"/>
              </w:rPr>
              <w:t>Miami</w:t>
            </w:r>
          </w:p>
        </w:tc>
        <w:tc>
          <w:tcPr>
            <w:tcW w:type="dxa" w:w="2880"/>
            <w:shd w:val="clear" w:color="auto" w:fill="F4F7FA"/>
          </w:tcPr>
          <w:p>
            <w:pPr>
              <w:spacing w:after="0"/>
            </w:pPr>
            <w:r>
              <w:rPr>
                <w:rFonts w:ascii="Calibri" w:hAnsi="Calibri"/>
                <w:color w:val="1C1C1C"/>
                <w:sz w:val="19"/>
              </w:rPr>
              <w:t>4–8 weeks</w:t>
            </w:r>
          </w:p>
        </w:tc>
        <w:tc>
          <w:tcPr>
            <w:tcW w:type="dxa" w:w="4752"/>
            <w:shd w:val="clear" w:color="auto" w:fill="F4F7FA"/>
          </w:tcPr>
          <w:p>
            <w:pPr>
              <w:spacing w:after="0"/>
            </w:pPr>
            <w:r>
              <w:rPr>
                <w:rFonts w:ascii="Calibri" w:hAnsi="Calibri"/>
                <w:color w:val="1C1C1C"/>
                <w:sz w:val="19"/>
              </w:rPr>
              <w:t>Generally efficient</w:t>
            </w:r>
          </w:p>
        </w:tc>
      </w:tr>
      <w:tr>
        <w:tc>
          <w:tcPr>
            <w:tcW w:type="dxa" w:w="2880"/>
            <w:shd w:val="clear" w:color="auto" w:fill="FFFFFF"/>
          </w:tcPr>
          <w:p>
            <w:pPr>
              <w:spacing w:after="0"/>
            </w:pPr>
            <w:r>
              <w:rPr>
                <w:rFonts w:ascii="Calibri" w:hAnsi="Calibri"/>
                <w:color w:val="1C1C1C"/>
                <w:sz w:val="19"/>
              </w:rPr>
              <w:t>Toronto, Canada</w:t>
            </w:r>
          </w:p>
        </w:tc>
        <w:tc>
          <w:tcPr>
            <w:tcW w:type="dxa" w:w="2880"/>
            <w:shd w:val="clear" w:color="auto" w:fill="FFFFFF"/>
          </w:tcPr>
          <w:p>
            <w:pPr>
              <w:spacing w:after="0"/>
            </w:pPr>
            <w:r>
              <w:rPr>
                <w:rFonts w:ascii="Calibri" w:hAnsi="Calibri"/>
                <w:color w:val="1C1C1C"/>
                <w:sz w:val="19"/>
              </w:rPr>
              <w:t>6–10 weeks</w:t>
            </w:r>
          </w:p>
        </w:tc>
        <w:tc>
          <w:tcPr>
            <w:tcW w:type="dxa" w:w="4752"/>
            <w:shd w:val="clear" w:color="auto" w:fill="FFFFFF"/>
          </w:tcPr>
          <w:p>
            <w:pPr>
              <w:spacing w:after="0"/>
            </w:pPr>
            <w:r>
              <w:rPr>
                <w:rFonts w:ascii="Calibri" w:hAnsi="Calibri"/>
                <w:color w:val="1C1C1C"/>
                <w:sz w:val="19"/>
              </w:rPr>
            </w:r>
          </w:p>
        </w:tc>
      </w:tr>
      <w:tr>
        <w:tc>
          <w:tcPr>
            <w:tcW w:type="dxa" w:w="2880"/>
            <w:shd w:val="clear" w:color="auto" w:fill="F4F7FA"/>
          </w:tcPr>
          <w:p>
            <w:pPr>
              <w:spacing w:after="0"/>
            </w:pPr>
            <w:r>
              <w:rPr>
                <w:rFonts w:ascii="Calibri" w:hAnsi="Calibri"/>
                <w:color w:val="1C1C1C"/>
                <w:sz w:val="19"/>
              </w:rPr>
              <w:t>Sydney, Australia</w:t>
            </w:r>
          </w:p>
        </w:tc>
        <w:tc>
          <w:tcPr>
            <w:tcW w:type="dxa" w:w="2880"/>
            <w:shd w:val="clear" w:color="auto" w:fill="F4F7FA"/>
          </w:tcPr>
          <w:p>
            <w:pPr>
              <w:spacing w:after="0"/>
            </w:pPr>
            <w:r>
              <w:rPr>
                <w:rFonts w:ascii="Calibri" w:hAnsi="Calibri"/>
                <w:color w:val="1C1C1C"/>
                <w:sz w:val="19"/>
              </w:rPr>
              <w:t>8–14 weeks</w:t>
            </w:r>
          </w:p>
        </w:tc>
        <w:tc>
          <w:tcPr>
            <w:tcW w:type="dxa" w:w="4752"/>
            <w:shd w:val="clear" w:color="auto" w:fill="F4F7FA"/>
          </w:tcPr>
          <w:p>
            <w:pPr>
              <w:spacing w:after="0"/>
            </w:pPr>
            <w:r>
              <w:rPr>
                <w:rFonts w:ascii="Calibri" w:hAnsi="Calibri"/>
                <w:color w:val="1C1C1C"/>
                <w:sz w:val="19"/>
              </w:rPr>
              <w:t>Limited Spanish consulate capacity</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FEF9E7"/>
          </w:tcPr>
          <w:p>
            <w:r>
              <w:rPr>
                <w:rFonts w:ascii="Calibri" w:hAnsi="Calibri"/>
                <w:b/>
                <w:color w:val="C9A03A"/>
                <w:sz w:val="19"/>
              </w:rPr>
              <w:t xml:space="preserve">✏  IMPLEMENTATION NOTE:  </w:t>
            </w:r>
            <w:r>
              <w:rPr>
                <w:rFonts w:ascii="Calibri" w:hAnsi="Calibri"/>
                <w:color w:val="1C1C1C"/>
                <w:sz w:val="19"/>
              </w:rPr>
              <w:t>Processing time begins from the date your application is submitted — not from the date your appointment is booked. A complete, well-prepared application significantly reduces the risk of delays or requests for additional documentation.</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EBF0F8"/>
          </w:tcPr>
          <w:p>
            <w:r>
              <w:rPr>
                <w:rFonts w:ascii="Calibri" w:hAnsi="Calibri"/>
                <w:b/>
                <w:color w:val="2E5E8E"/>
                <w:sz w:val="19"/>
              </w:rPr>
              <w:t xml:space="preserve">🔗  INTERNAL LINKS FOR THIS SECTION:  </w:t>
            </w:r>
          </w:p>
          <w:p>
            <w:r>
              <w:rPr>
                <w:rFonts w:ascii="Calibri" w:hAnsi="Calibri"/>
                <w:color w:val="2E5E8E"/>
                <w:sz w:val="19"/>
              </w:rPr>
              <w:t xml:space="preserve">  →  NLV processing time — full breakdown by consulate → /non-lucrative-visa-timeline/</w:t>
            </w:r>
          </w:p>
        </w:tc>
      </w:tr>
    </w:tbl>
    <w:p>
      <w:pPr>
        <w:spacing w:after="80"/>
      </w:pPr>
    </w:p>
    <w:p>
      <w:pPr>
        <w:pStyle w:val="Heading2"/>
        <w:spacing w:before="280" w:after="80"/>
      </w:pPr>
      <w:r>
        <w:rPr>
          <w:rFonts w:ascii="Calibri" w:hAnsi="Calibri"/>
          <w:b/>
          <w:color w:val="2E5E8E"/>
          <w:sz w:val="30"/>
        </w:rPr>
        <w:t>Non-Lucrative Visa Cost</w:t>
      </w:r>
    </w:p>
    <w:p>
      <w:pPr>
        <w:spacing w:after="120"/>
      </w:pPr>
      <w:r>
        <w:rPr>
          <w:rFonts w:ascii="Calibri" w:hAnsi="Calibri"/>
          <w:b w:val="0"/>
          <w:i w:val="0"/>
          <w:color w:val="1C1C1C"/>
          <w:sz w:val="21"/>
        </w:rPr>
        <w:t>The cost of applying for the NLV includes the consulate fee, document preparation costs, and — if using a professional service — the cost of specialist support. Here is a realistic overview.</w:t>
      </w:r>
    </w:p>
    <w:tbl>
      <w:tblPr>
        <w:tblStyle w:val="TableGrid"/>
        <w:tblW w:type="auto" w:w="0"/>
        <w:jc w:val="left"/>
        <w:tblLook w:firstColumn="1" w:firstRow="1" w:lastColumn="0" w:lastRow="0" w:noHBand="0" w:noVBand="1" w:val="04A0"/>
      </w:tblPr>
      <w:tblGrid>
        <w:gridCol w:w="4536"/>
        <w:gridCol w:w="4536"/>
      </w:tblGrid>
      <w:tr>
        <w:tc>
          <w:tcPr>
            <w:tcW w:type="dxa" w:w="4320"/>
            <w:shd w:val="clear" w:color="auto" w:fill="1A2E4A"/>
            <w:vAlign w:val="center"/>
          </w:tcPr>
          <w:p>
            <w:pPr>
              <w:spacing w:after="0"/>
            </w:pPr>
            <w:r>
              <w:rPr>
                <w:rFonts w:ascii="Calibri" w:hAnsi="Calibri"/>
                <w:b/>
                <w:color w:val="FFFFFF"/>
                <w:sz w:val="19"/>
              </w:rPr>
              <w:t>Cost Item</w:t>
            </w:r>
          </w:p>
        </w:tc>
        <w:tc>
          <w:tcPr>
            <w:tcW w:type="dxa" w:w="6192"/>
            <w:shd w:val="clear" w:color="auto" w:fill="1A2E4A"/>
            <w:vAlign w:val="center"/>
          </w:tcPr>
          <w:p>
            <w:pPr>
              <w:spacing w:after="0"/>
            </w:pPr>
            <w:r>
              <w:rPr>
                <w:rFonts w:ascii="Calibri" w:hAnsi="Calibri"/>
                <w:b/>
                <w:color w:val="FFFFFF"/>
                <w:sz w:val="19"/>
              </w:rPr>
              <w:t>Approximate Cost</w:t>
            </w:r>
          </w:p>
        </w:tc>
      </w:tr>
      <w:tr>
        <w:tc>
          <w:tcPr>
            <w:tcW w:type="dxa" w:w="4320"/>
            <w:shd w:val="clear" w:color="auto" w:fill="F4F7FA"/>
          </w:tcPr>
          <w:p>
            <w:pPr>
              <w:spacing w:after="0"/>
            </w:pPr>
            <w:r>
              <w:rPr>
                <w:rFonts w:ascii="Calibri" w:hAnsi="Calibri"/>
                <w:color w:val="1C1C1C"/>
                <w:sz w:val="19"/>
              </w:rPr>
              <w:t>Consulate visa fee</w:t>
            </w:r>
          </w:p>
        </w:tc>
        <w:tc>
          <w:tcPr>
            <w:tcW w:type="dxa" w:w="6192"/>
            <w:shd w:val="clear" w:color="auto" w:fill="F4F7FA"/>
          </w:tcPr>
          <w:p>
            <w:pPr>
              <w:spacing w:after="0"/>
            </w:pPr>
            <w:r>
              <w:rPr>
                <w:rFonts w:ascii="Calibri" w:hAnsi="Calibri"/>
                <w:color w:val="1C1C1C"/>
                <w:sz w:val="19"/>
              </w:rPr>
              <w:t>€80–€150 (varies by consulate and nationality)</w:t>
            </w:r>
          </w:p>
        </w:tc>
      </w:tr>
      <w:tr>
        <w:tc>
          <w:tcPr>
            <w:tcW w:type="dxa" w:w="4320"/>
            <w:shd w:val="clear" w:color="auto" w:fill="FFFFFF"/>
          </w:tcPr>
          <w:p>
            <w:pPr>
              <w:spacing w:after="0"/>
            </w:pPr>
            <w:r>
              <w:rPr>
                <w:rFonts w:ascii="Calibri" w:hAnsi="Calibri"/>
                <w:color w:val="1C1C1C"/>
                <w:sz w:val="19"/>
              </w:rPr>
              <w:t>Apostille fees</w:t>
            </w:r>
          </w:p>
        </w:tc>
        <w:tc>
          <w:tcPr>
            <w:tcW w:type="dxa" w:w="6192"/>
            <w:shd w:val="clear" w:color="auto" w:fill="FFFFFF"/>
          </w:tcPr>
          <w:p>
            <w:pPr>
              <w:spacing w:after="0"/>
            </w:pPr>
            <w:r>
              <w:rPr>
                <w:rFonts w:ascii="Calibri" w:hAnsi="Calibri"/>
                <w:color w:val="1C1C1C"/>
                <w:sz w:val="19"/>
              </w:rPr>
              <w:t>£50–£200 per document depending on your home country</w:t>
            </w:r>
          </w:p>
        </w:tc>
      </w:tr>
      <w:tr>
        <w:tc>
          <w:tcPr>
            <w:tcW w:type="dxa" w:w="4320"/>
            <w:shd w:val="clear" w:color="auto" w:fill="F4F7FA"/>
          </w:tcPr>
          <w:p>
            <w:pPr>
              <w:spacing w:after="0"/>
            </w:pPr>
            <w:r>
              <w:rPr>
                <w:rFonts w:ascii="Calibri" w:hAnsi="Calibri"/>
                <w:color w:val="1C1C1C"/>
                <w:sz w:val="19"/>
              </w:rPr>
              <w:t>Sworn translation (per document)</w:t>
            </w:r>
          </w:p>
        </w:tc>
        <w:tc>
          <w:tcPr>
            <w:tcW w:type="dxa" w:w="6192"/>
            <w:shd w:val="clear" w:color="auto" w:fill="F4F7FA"/>
          </w:tcPr>
          <w:p>
            <w:pPr>
              <w:spacing w:after="0"/>
            </w:pPr>
            <w:r>
              <w:rPr>
                <w:rFonts w:ascii="Calibri" w:hAnsi="Calibri"/>
                <w:color w:val="1C1C1C"/>
                <w:sz w:val="19"/>
              </w:rPr>
              <w:t>€50–€150 per document</w:t>
            </w:r>
          </w:p>
        </w:tc>
      </w:tr>
      <w:tr>
        <w:tc>
          <w:tcPr>
            <w:tcW w:type="dxa" w:w="4320"/>
            <w:shd w:val="clear" w:color="auto" w:fill="FFFFFF"/>
          </w:tcPr>
          <w:p>
            <w:pPr>
              <w:spacing w:after="0"/>
            </w:pPr>
            <w:r>
              <w:rPr>
                <w:rFonts w:ascii="Calibri" w:hAnsi="Calibri"/>
                <w:color w:val="1C1C1C"/>
                <w:sz w:val="19"/>
              </w:rPr>
              <w:t>Private health insurance (annual)</w:t>
            </w:r>
          </w:p>
        </w:tc>
        <w:tc>
          <w:tcPr>
            <w:tcW w:type="dxa" w:w="6192"/>
            <w:shd w:val="clear" w:color="auto" w:fill="FFFFFF"/>
          </w:tcPr>
          <w:p>
            <w:pPr>
              <w:spacing w:after="0"/>
            </w:pPr>
            <w:r>
              <w:rPr>
                <w:rFonts w:ascii="Calibri" w:hAnsi="Calibri"/>
                <w:color w:val="1C1C1C"/>
                <w:sz w:val="19"/>
              </w:rPr>
              <w:t>€700–€2,500 depending on age and coverage level</w:t>
            </w:r>
          </w:p>
        </w:tc>
      </w:tr>
      <w:tr>
        <w:tc>
          <w:tcPr>
            <w:tcW w:type="dxa" w:w="4320"/>
            <w:shd w:val="clear" w:color="auto" w:fill="F4F7FA"/>
          </w:tcPr>
          <w:p>
            <w:pPr>
              <w:spacing w:after="0"/>
            </w:pPr>
            <w:r>
              <w:rPr>
                <w:rFonts w:ascii="Calibri" w:hAnsi="Calibri"/>
                <w:color w:val="1C1C1C"/>
                <w:sz w:val="19"/>
              </w:rPr>
              <w:t>Professional application support (MSV)</w:t>
            </w:r>
          </w:p>
        </w:tc>
        <w:tc>
          <w:tcPr>
            <w:tcW w:type="dxa" w:w="6192"/>
            <w:shd w:val="clear" w:color="auto" w:fill="F4F7FA"/>
          </w:tcPr>
          <w:p>
            <w:pPr>
              <w:spacing w:after="0"/>
            </w:pPr>
            <w:r>
              <w:rPr>
                <w:rFonts w:ascii="Calibri" w:hAnsi="Calibri"/>
                <w:color w:val="1C1C1C"/>
                <w:sz w:val="19"/>
              </w:rPr>
              <w:t>From [pricing shown in portal]</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EBF0F8"/>
          </w:tcPr>
          <w:p>
            <w:r>
              <w:rPr>
                <w:rFonts w:ascii="Calibri" w:hAnsi="Calibri"/>
                <w:b/>
                <w:color w:val="2E5E8E"/>
                <w:sz w:val="19"/>
              </w:rPr>
              <w:t xml:space="preserve">🔗  INTERNAL LINKS FOR THIS SECTION:  </w:t>
            </w:r>
          </w:p>
          <w:p>
            <w:r>
              <w:rPr>
                <w:rFonts w:ascii="Calibri" w:hAnsi="Calibri"/>
                <w:color w:val="2E5E8E"/>
                <w:sz w:val="19"/>
              </w:rPr>
              <w:t xml:space="preserve">  →  Full NLV cost breakdown → /non-lucrative-visa-cost/</w:t>
            </w:r>
          </w:p>
          <w:p>
            <w:r>
              <w:rPr>
                <w:rFonts w:ascii="Calibri" w:hAnsi="Calibri"/>
                <w:color w:val="2E5E8E"/>
                <w:sz w:val="19"/>
              </w:rPr>
              <w:t xml:space="preserve">  →  Health insurance for the NLV — pricing guide → /best-health-insurance-nlv-spain/</w:t>
            </w:r>
          </w:p>
        </w:tc>
      </w:tr>
    </w:tbl>
    <w:p>
      <w:pPr>
        <w:spacing w:after="80"/>
      </w:pPr>
    </w:p>
    <w:p>
      <w:pPr>
        <w:pStyle w:val="Heading2"/>
        <w:spacing w:before="280" w:after="80"/>
      </w:pPr>
      <w:r>
        <w:rPr>
          <w:rFonts w:ascii="Calibri" w:hAnsi="Calibri"/>
          <w:b/>
          <w:color w:val="2E5E8E"/>
          <w:sz w:val="30"/>
        </w:rPr>
        <w:t>Non-Lucrative Visa and Tax in Spain</w:t>
      </w:r>
    </w:p>
    <w:p>
      <w:pPr>
        <w:spacing w:after="120"/>
      </w:pPr>
      <w:r>
        <w:rPr>
          <w:rFonts w:ascii="Calibri" w:hAnsi="Calibri"/>
          <w:b w:val="0"/>
          <w:i w:val="0"/>
          <w:color w:val="1C1C1C"/>
          <w:sz w:val="21"/>
        </w:rPr>
        <w:t>Tax is one of the most misunderstood aspects of the NLV — and one of the most important. Understanding your tax position before you apply can save you from unexpected obligations after you arrive.</w:t>
      </w:r>
    </w:p>
    <w:p>
      <w:pPr>
        <w:spacing w:after="120"/>
      </w:pPr>
      <w:r>
        <w:rPr>
          <w:rFonts w:ascii="Calibri" w:hAnsi="Calibri"/>
          <w:b w:val="0"/>
          <w:i w:val="0"/>
          <w:color w:val="1C1C1C"/>
          <w:sz w:val="21"/>
        </w:rPr>
        <w:t>Once you have lived in Spain for more than 183 days in a calendar year, you will generally be considered a tax resident in Spain. As a Spanish tax resident, you are required to declare your worldwide income to the Spanish tax authorities (Agencia Tributaria).</w:t>
      </w:r>
    </w:p>
    <w:p>
      <w:pPr>
        <w:spacing w:after="120"/>
      </w:pPr>
      <w:r>
        <w:rPr>
          <w:rFonts w:ascii="Calibri" w:hAnsi="Calibri"/>
          <w:b w:val="0"/>
          <w:i w:val="0"/>
          <w:color w:val="1C1C1C"/>
          <w:sz w:val="21"/>
        </w:rPr>
        <w:t>This is particularly relevant for people with pension income, investment income, or rental income from abroad. The good news is that Spain has double taxation agreements with many countries — including the UK, USA, and Canada — which means you should not be taxed twice on the same income. However, the precise implications depend on your individual circumstances.</w:t>
      </w:r>
    </w:p>
    <w:tbl>
      <w:tblPr>
        <w:tblStyle w:val="TableGrid"/>
        <w:tblW w:type="auto" w:w="0"/>
        <w:tblLook w:firstColumn="1" w:firstRow="1" w:lastColumn="0" w:lastRow="0" w:noHBand="0" w:noVBand="1" w:val="04A0"/>
      </w:tblPr>
      <w:tblGrid>
        <w:gridCol w:w="9072"/>
      </w:tblGrid>
      <w:tr>
        <w:tc>
          <w:tcPr>
            <w:tcW w:type="dxa" w:w="9072"/>
            <w:shd w:val="clear" w:color="auto" w:fill="FEF9E7"/>
          </w:tcPr>
          <w:p>
            <w:r>
              <w:rPr>
                <w:rFonts w:ascii="Calibri" w:hAnsi="Calibri"/>
                <w:b/>
                <w:color w:val="C9A03A"/>
                <w:sz w:val="19"/>
              </w:rPr>
              <w:t xml:space="preserve">✏  TAX DISCLAIMER:  </w:t>
            </w:r>
            <w:r>
              <w:rPr>
                <w:rFonts w:ascii="Calibri" w:hAnsi="Calibri"/>
                <w:color w:val="1C1C1C"/>
                <w:sz w:val="19"/>
              </w:rPr>
              <w:t>Tax residency rules are complex and individual. This page provides a general overview only. Always take specialist tax advice before applying for the NLV — ideally from a professional familiar with both Spanish tax law and your home country's tax system.</w:t>
            </w:r>
          </w:p>
        </w:tc>
      </w:tr>
    </w:tbl>
    <w:p>
      <w:pPr>
        <w:spacing w:after="80"/>
      </w:pPr>
    </w:p>
    <w:tbl>
      <w:tblPr>
        <w:tblStyle w:val="TableGrid"/>
        <w:tblW w:type="auto" w:w="0"/>
        <w:tblLook w:firstColumn="1" w:firstRow="1" w:lastColumn="0" w:lastRow="0" w:noHBand="0" w:noVBand="1" w:val="04A0"/>
      </w:tblPr>
      <w:tblGrid>
        <w:gridCol w:w="9072"/>
      </w:tblGrid>
      <w:tr>
        <w:tc>
          <w:tcPr>
            <w:tcW w:type="dxa" w:w="9072"/>
            <w:shd w:val="clear" w:color="auto" w:fill="EBF0F8"/>
          </w:tcPr>
          <w:p>
            <w:r>
              <w:rPr>
                <w:rFonts w:ascii="Calibri" w:hAnsi="Calibri"/>
                <w:b/>
                <w:color w:val="2E5E8E"/>
                <w:sz w:val="19"/>
              </w:rPr>
              <w:t xml:space="preserve">🔗  INTERNAL LINKS FOR THIS SECTION:  </w:t>
            </w:r>
          </w:p>
          <w:p>
            <w:r>
              <w:rPr>
                <w:rFonts w:ascii="Calibri" w:hAnsi="Calibri"/>
                <w:color w:val="2E5E8E"/>
                <w:sz w:val="19"/>
              </w:rPr>
              <w:t xml:space="preserve">  →  Tax guide for Non-Lucrative Visa holders → /non-lucrative-visa-tax-spain/</w:t>
            </w:r>
          </w:p>
        </w:tc>
      </w:tr>
    </w:tbl>
    <w:p>
      <w:pPr>
        <w:spacing w:after="80"/>
      </w:pPr>
    </w:p>
    <w:p>
      <w:pPr>
        <w:pStyle w:val="Heading2"/>
        <w:spacing w:before="280" w:after="80"/>
      </w:pPr>
      <w:r>
        <w:rPr>
          <w:rFonts w:ascii="Calibri" w:hAnsi="Calibri"/>
          <w:b/>
          <w:color w:val="2E5E8E"/>
          <w:sz w:val="30"/>
        </w:rPr>
        <w:t>Renewing Your Non-Lucrative Visa</w:t>
      </w:r>
    </w:p>
    <w:p>
      <w:pPr>
        <w:spacing w:after="120"/>
      </w:pPr>
      <w:r>
        <w:rPr>
          <w:rFonts w:ascii="Calibri" w:hAnsi="Calibri"/>
          <w:b w:val="0"/>
          <w:i w:val="0"/>
          <w:color w:val="1C1C1C"/>
          <w:sz w:val="21"/>
        </w:rPr>
        <w:t>The NLV is initially granted for one year. Before it expires, you can apply for a renewal — known as a renovación de autorización de residencia — which will be issued for two years. After a further two years, you can renew again for another two-year period.</w:t>
      </w:r>
    </w:p>
    <w:p>
      <w:pPr>
        <w:spacing w:after="120"/>
      </w:pPr>
      <w:r>
        <w:rPr>
          <w:rFonts w:ascii="Calibri" w:hAnsi="Calibri"/>
          <w:b w:val="0"/>
          <w:i w:val="0"/>
          <w:color w:val="1C1C1C"/>
          <w:sz w:val="21"/>
        </w:rPr>
        <w:t>After five years of continuous legal residence in Spain, you become eligible to apply for long-term residency (residencia de larga duración). After ten years of legal residence, you may be eligible to apply for Spanish citizenship, provided you meet the other citizenship requirements.</w:t>
      </w:r>
    </w:p>
    <w:p>
      <w:pPr>
        <w:spacing w:after="120"/>
      </w:pPr>
      <w:r>
        <w:rPr>
          <w:rFonts w:ascii="Calibri" w:hAnsi="Calibri"/>
          <w:b w:val="0"/>
          <w:i w:val="0"/>
          <w:color w:val="1C1C1C"/>
          <w:sz w:val="21"/>
        </w:rPr>
        <w:t>Renewal applications are submitted in Spain through the Extranjería (immigration authority), not through a consulate. The income requirements and documentation requirements for renewal are broadly similar to the initial application, though the process is different.</w:t>
      </w:r>
    </w:p>
    <w:tbl>
      <w:tblPr>
        <w:tblStyle w:val="TableGrid"/>
        <w:tblW w:type="auto" w:w="0"/>
        <w:tblLook w:firstColumn="1" w:firstRow="1" w:lastColumn="0" w:lastRow="0" w:noHBand="0" w:noVBand="1" w:val="04A0"/>
      </w:tblPr>
      <w:tblGrid>
        <w:gridCol w:w="9072"/>
      </w:tblGrid>
      <w:tr>
        <w:tc>
          <w:tcPr>
            <w:tcW w:type="dxa" w:w="9072"/>
            <w:shd w:val="clear" w:color="auto" w:fill="EBF0F8"/>
          </w:tcPr>
          <w:p>
            <w:r>
              <w:rPr>
                <w:rFonts w:ascii="Calibri" w:hAnsi="Calibri"/>
                <w:b/>
                <w:color w:val="2E5E8E"/>
                <w:sz w:val="19"/>
              </w:rPr>
              <w:t xml:space="preserve">🔗  INTERNAL LINKS FOR THIS SECTION:  </w:t>
            </w:r>
          </w:p>
          <w:p>
            <w:r>
              <w:rPr>
                <w:rFonts w:ascii="Calibri" w:hAnsi="Calibri"/>
                <w:color w:val="2E5E8E"/>
                <w:sz w:val="19"/>
              </w:rPr>
              <w:t xml:space="preserve">  →  NLV renewal guide — full process and requirements → /non-lucrative-visa-renewal/</w:t>
            </w:r>
          </w:p>
          <w:p>
            <w:r>
              <w:rPr>
                <w:rFonts w:ascii="Calibri" w:hAnsi="Calibri"/>
                <w:color w:val="2E5E8E"/>
                <w:sz w:val="19"/>
              </w:rPr>
              <w:t xml:space="preserve">  →  Long-term residency after NLV → /long-term-residency-after-nlv/</w:t>
            </w:r>
          </w:p>
          <w:p>
            <w:r>
              <w:rPr>
                <w:rFonts w:ascii="Calibri" w:hAnsi="Calibri"/>
                <w:color w:val="2E5E8E"/>
                <w:sz w:val="19"/>
              </w:rPr>
              <w:t xml:space="preserve">  →  Permanent residency after NLV → /permanent-residency-after-nlv/</w:t>
            </w:r>
          </w:p>
        </w:tc>
      </w:tr>
    </w:tbl>
    <w:p>
      <w:pPr>
        <w:spacing w:after="80"/>
      </w:pPr>
    </w:p>
    <w:p>
      <w:pPr>
        <w:pStyle w:val="Heading2"/>
        <w:spacing w:before="280" w:after="80"/>
      </w:pPr>
      <w:r>
        <w:rPr>
          <w:rFonts w:ascii="Calibri" w:hAnsi="Calibri"/>
          <w:b/>
          <w:color w:val="2E5E8E"/>
          <w:sz w:val="30"/>
        </w:rPr>
        <w:t>Bringing Family Members on the Non-Lucrative Visa</w:t>
      </w:r>
    </w:p>
    <w:p>
      <w:pPr>
        <w:spacing w:after="120"/>
      </w:pPr>
      <w:r>
        <w:rPr>
          <w:rFonts w:ascii="Calibri" w:hAnsi="Calibri"/>
          <w:b w:val="0"/>
          <w:i w:val="0"/>
          <w:color w:val="1C1C1C"/>
          <w:sz w:val="21"/>
        </w:rPr>
        <w:t>You can include your spouse or civil partner and dependent children in your NLV application. Dependants do not need to apply separately — they are included as part of your application, known as reagrupación familiar at application stage, or they can apply simultaneously.</w:t>
      </w:r>
    </w:p>
    <w:p>
      <w:pPr>
        <w:spacing w:after="120"/>
      </w:pPr>
      <w:r>
        <w:rPr>
          <w:rFonts w:ascii="Calibri" w:hAnsi="Calibri"/>
          <w:b w:val="0"/>
          <w:i w:val="0"/>
          <w:color w:val="1C1C1C"/>
          <w:sz w:val="21"/>
        </w:rPr>
        <w:t>Including dependants increases the income threshold of your application. Each additional dependant requires approximately 25% of the base IPREM figure on top of the main applicant's requirement.</w:t>
      </w:r>
    </w:p>
    <w:tbl>
      <w:tblPr>
        <w:tblStyle w:val="TableGrid"/>
        <w:tblW w:type="auto" w:w="0"/>
        <w:tblLook w:firstColumn="1" w:firstRow="1" w:lastColumn="0" w:lastRow="0" w:noHBand="0" w:noVBand="1" w:val="04A0"/>
      </w:tblPr>
      <w:tblGrid>
        <w:gridCol w:w="9072"/>
      </w:tblGrid>
      <w:tr>
        <w:tc>
          <w:tcPr>
            <w:tcW w:type="dxa" w:w="9072"/>
            <w:shd w:val="clear" w:color="auto" w:fill="EBF0F8"/>
          </w:tcPr>
          <w:p>
            <w:r>
              <w:rPr>
                <w:rFonts w:ascii="Calibri" w:hAnsi="Calibri"/>
                <w:b/>
                <w:color w:val="2E5E8E"/>
                <w:sz w:val="19"/>
              </w:rPr>
              <w:t xml:space="preserve">🔗  INTERNAL LINKS FOR THIS SECTION:  </w:t>
            </w:r>
          </w:p>
          <w:p>
            <w:r>
              <w:rPr>
                <w:rFonts w:ascii="Calibri" w:hAnsi="Calibri"/>
                <w:color w:val="2E5E8E"/>
                <w:sz w:val="19"/>
              </w:rPr>
              <w:t xml:space="preserve">  →  NLV Spain for families — full guide → /non-lucrative-visa-family/</w:t>
            </w:r>
          </w:p>
          <w:p>
            <w:r>
              <w:rPr>
                <w:rFonts w:ascii="Calibri" w:hAnsi="Calibri"/>
                <w:color w:val="2E5E8E"/>
                <w:sz w:val="19"/>
              </w:rPr>
              <w:t xml:space="preserve">  →  Adding a spouse to your NLV → /nlv-spouse/</w:t>
            </w:r>
          </w:p>
          <w:p>
            <w:r>
              <w:rPr>
                <w:rFonts w:ascii="Calibri" w:hAnsi="Calibri"/>
                <w:color w:val="2E5E8E"/>
                <w:sz w:val="19"/>
              </w:rPr>
              <w:t xml:space="preserve">  →  Bringing children to Spain on NLV → /nlv-children/</w:t>
            </w:r>
          </w:p>
        </w:tc>
      </w:tr>
    </w:tbl>
    <w:p>
      <w:pPr>
        <w:spacing w:after="80"/>
      </w:pPr>
    </w:p>
    <w:p>
      <w:pPr>
        <w:pStyle w:val="Heading2"/>
        <w:spacing w:before="280" w:after="80"/>
      </w:pPr>
      <w:r>
        <w:rPr>
          <w:rFonts w:ascii="Calibri" w:hAnsi="Calibri"/>
          <w:b/>
          <w:color w:val="2E5E8E"/>
          <w:sz w:val="30"/>
        </w:rPr>
        <w:t>Why Use My Spanish Visa?</w:t>
      </w:r>
    </w:p>
    <w:p>
      <w:pPr>
        <w:spacing w:after="120"/>
      </w:pPr>
      <w:r>
        <w:rPr>
          <w:rFonts w:ascii="Calibri" w:hAnsi="Calibri"/>
          <w:b w:val="0"/>
          <w:i w:val="0"/>
          <w:color w:val="1C1C1C"/>
          <w:sz w:val="21"/>
        </w:rPr>
        <w:t>Applying for the Non-Lucrative Visa can be straightforward when everything goes right. But consulate requirements vary, document standards are strict, translation errors cause refusals, and application mistakes are common — even among well-prepared applicants.</w:t>
      </w:r>
    </w:p>
    <w:p>
      <w:pPr>
        <w:spacing w:after="120"/>
      </w:pPr>
      <w:r>
        <w:rPr>
          <w:rFonts w:ascii="Calibri" w:hAnsi="Calibri"/>
          <w:b w:val="0"/>
          <w:i w:val="0"/>
          <w:color w:val="1C1C1C"/>
          <w:sz w:val="21"/>
        </w:rPr>
        <w:t>My Spanish Visa, powered by PLS Platinum Legal Spain, manages the entire process for you through our online client portal. From your first eligibility check through to TIE card registration after you arrive in Spain.</w:t>
      </w:r>
    </w:p>
    <w:p>
      <w:pPr>
        <w:pStyle w:val="ListBullet"/>
        <w:spacing w:after="60"/>
        <w:ind w:left="360"/>
      </w:pPr>
      <w:r>
        <w:rPr>
          <w:rFonts w:ascii="Calibri" w:hAnsi="Calibri"/>
          <w:b/>
          <w:color w:val="1A2E4A"/>
          <w:sz w:val="21"/>
        </w:rPr>
        <w:t xml:space="preserve">Free eligibility quiz: </w:t>
      </w:r>
      <w:r>
        <w:rPr>
          <w:rFonts w:ascii="Calibri" w:hAnsi="Calibri"/>
          <w:color w:val="1C1C1C"/>
          <w:sz w:val="21"/>
        </w:rPr>
        <w:t>find out if you qualify before you commit to anything</w:t>
      </w:r>
    </w:p>
    <w:p>
      <w:pPr>
        <w:pStyle w:val="ListBullet"/>
        <w:spacing w:after="60"/>
        <w:ind w:left="360"/>
      </w:pPr>
      <w:r>
        <w:rPr>
          <w:rFonts w:ascii="Calibri" w:hAnsi="Calibri"/>
          <w:b/>
          <w:color w:val="1A2E4A"/>
          <w:sz w:val="21"/>
        </w:rPr>
        <w:t xml:space="preserve">Specialist onboarding call: </w:t>
      </w:r>
      <w:r>
        <w:rPr>
          <w:rFonts w:ascii="Calibri" w:hAnsi="Calibri"/>
          <w:color w:val="1C1C1C"/>
          <w:sz w:val="21"/>
        </w:rPr>
        <w:t>speak with one of our visa experts to map your application</w:t>
      </w:r>
    </w:p>
    <w:p>
      <w:pPr>
        <w:pStyle w:val="ListBullet"/>
        <w:spacing w:after="60"/>
        <w:ind w:left="360"/>
      </w:pPr>
      <w:r>
        <w:rPr>
          <w:rFonts w:ascii="Calibri" w:hAnsi="Calibri"/>
          <w:b/>
          <w:color w:val="1A2E4A"/>
          <w:sz w:val="21"/>
        </w:rPr>
        <w:t xml:space="preserve">Full document management: </w:t>
      </w:r>
      <w:r>
        <w:rPr>
          <w:rFonts w:ascii="Calibri" w:hAnsi="Calibri"/>
          <w:color w:val="1C1C1C"/>
          <w:sz w:val="21"/>
        </w:rPr>
        <w:t>we guide you through every document, apostille, and translation</w:t>
      </w:r>
    </w:p>
    <w:p>
      <w:pPr>
        <w:pStyle w:val="ListBullet"/>
        <w:spacing w:after="60"/>
        <w:ind w:left="360"/>
      </w:pPr>
      <w:r>
        <w:rPr>
          <w:rFonts w:ascii="Calibri" w:hAnsi="Calibri"/>
          <w:b/>
          <w:color w:val="1A2E4A"/>
          <w:sz w:val="21"/>
        </w:rPr>
        <w:t xml:space="preserve">Consulate preparation: </w:t>
      </w:r>
      <w:r>
        <w:rPr>
          <w:rFonts w:ascii="Calibri" w:hAnsi="Calibri"/>
          <w:color w:val="1C1C1C"/>
          <w:sz w:val="21"/>
        </w:rPr>
        <w:t>we prepare your full application pack and brief you for your appointment</w:t>
      </w:r>
    </w:p>
    <w:p>
      <w:pPr>
        <w:pStyle w:val="ListBullet"/>
        <w:spacing w:after="60"/>
        <w:ind w:left="360"/>
      </w:pPr>
      <w:r>
        <w:rPr>
          <w:rFonts w:ascii="Calibri" w:hAnsi="Calibri"/>
          <w:b/>
          <w:color w:val="1A2E4A"/>
          <w:sz w:val="21"/>
        </w:rPr>
        <w:t xml:space="preserve">Payment flexibility: </w:t>
      </w:r>
      <w:r>
        <w:rPr>
          <w:rFonts w:ascii="Calibri" w:hAnsi="Calibri"/>
          <w:color w:val="1C1C1C"/>
          <w:sz w:val="21"/>
        </w:rPr>
        <w:t>our fees can be split into 3 card payments</w:t>
      </w:r>
    </w:p>
    <w:p>
      <w:pPr>
        <w:pStyle w:val="ListBullet"/>
        <w:spacing w:after="60"/>
        <w:ind w:left="360"/>
      </w:pPr>
      <w:r>
        <w:rPr>
          <w:rFonts w:ascii="Calibri" w:hAnsi="Calibri"/>
          <w:b/>
          <w:color w:val="1A2E4A"/>
          <w:sz w:val="21"/>
        </w:rPr>
        <w:t xml:space="preserve">Post-arrival support: </w:t>
      </w:r>
      <w:r>
        <w:rPr>
          <w:rFonts w:ascii="Calibri" w:hAnsi="Calibri"/>
          <w:color w:val="1C1C1C"/>
          <w:sz w:val="21"/>
        </w:rPr>
        <w:t>we help with your TIE card, padrón, and early life admin in Spain</w:t>
      </w:r>
    </w:p>
    <w:tbl>
      <w:tblPr>
        <w:tblStyle w:val="TableGrid"/>
        <w:tblW w:type="auto" w:w="0"/>
        <w:tblLook w:firstColumn="1" w:firstRow="1" w:lastColumn="0" w:lastRow="0" w:noHBand="0" w:noVBand="1" w:val="04A0"/>
      </w:tblPr>
      <w:tblGrid>
        <w:gridCol w:w="9072"/>
      </w:tblGrid>
      <w:tr>
        <w:tc>
          <w:tcPr>
            <w:tcW w:type="dxa" w:w="9072"/>
            <w:shd w:val="clear" w:color="auto" w:fill="E8F4EC"/>
          </w:tcPr>
          <w:p>
            <w:r>
              <w:rPr>
                <w:rFonts w:ascii="Calibri" w:hAnsi="Calibri"/>
                <w:b/>
                <w:color w:val="1A6B3A"/>
                <w:sz w:val="22"/>
              </w:rPr>
              <w:t>➤  Start your NLV application online — take the free eligibility quiz now.</w:t>
            </w:r>
          </w:p>
          <w:p>
            <w:r>
              <w:rPr>
                <w:rFonts w:ascii="Calibri" w:hAnsi="Calibri"/>
                <w:color w:val="2E5E8E"/>
                <w:sz w:val="20"/>
              </w:rPr>
              <w:t xml:space="preserve">    Or speak to a specialist first → Book a Consultation</w:t>
            </w:r>
          </w:p>
        </w:tc>
      </w:tr>
    </w:tbl>
    <w:p>
      <w:pPr>
        <w:spacing w:after="120"/>
      </w:pPr>
    </w:p>
    <w:p>
      <w:pPr>
        <w:pStyle w:val="Heading2"/>
        <w:spacing w:before="280" w:after="80"/>
      </w:pPr>
      <w:r>
        <w:rPr>
          <w:rFonts w:ascii="Calibri" w:hAnsi="Calibri"/>
          <w:b/>
          <w:color w:val="2E5E8E"/>
          <w:sz w:val="30"/>
        </w:rPr>
        <w:t>Frequently Asked Questions — Non-Lucrative Visa Spain</w:t>
      </w:r>
    </w:p>
    <w:tbl>
      <w:tblPr>
        <w:tblStyle w:val="TableGrid"/>
        <w:tblW w:type="auto" w:w="0"/>
        <w:tblLook w:firstColumn="1" w:firstRow="1" w:lastColumn="0" w:lastRow="0" w:noHBand="0" w:noVBand="1" w:val="04A0"/>
      </w:tblPr>
      <w:tblGrid>
        <w:gridCol w:w="9072"/>
      </w:tblGrid>
      <w:tr>
        <w:tc>
          <w:tcPr>
            <w:tcW w:type="dxa" w:w="9072"/>
            <w:shd w:val="clear" w:color="auto" w:fill="FEF9E7"/>
          </w:tcPr>
          <w:p>
            <w:r>
              <w:rPr>
                <w:rFonts w:ascii="Calibri" w:hAnsi="Calibri"/>
                <w:b/>
                <w:color w:val="C9A03A"/>
                <w:sz w:val="19"/>
              </w:rPr>
              <w:t xml:space="preserve">✏  SEO NOTE:  </w:t>
            </w:r>
            <w:r>
              <w:rPr>
                <w:rFonts w:ascii="Calibri" w:hAnsi="Calibri"/>
                <w:color w:val="1C1C1C"/>
                <w:sz w:val="19"/>
              </w:rPr>
              <w:t>Add FAQ schema markup to this section. Target featured snippets for each question.</w:t>
            </w:r>
          </w:p>
        </w:tc>
      </w:tr>
    </w:tbl>
    <w:p>
      <w:pPr>
        <w:spacing w:after="80"/>
      </w:pPr>
    </w:p>
    <w:p>
      <w:pPr>
        <w:pStyle w:val="Heading3"/>
        <w:spacing w:before="200" w:after="60"/>
      </w:pPr>
      <w:r>
        <w:rPr>
          <w:rFonts w:ascii="Calibri" w:hAnsi="Calibri"/>
          <w:b/>
          <w:color w:val="1A2E4A"/>
          <w:sz w:val="24"/>
        </w:rPr>
        <w:t>Can I work on a Non-Lucrative Visa in Spain?</w:t>
      </w:r>
    </w:p>
    <w:p>
      <w:pPr>
        <w:spacing w:after="120"/>
      </w:pPr>
      <w:r>
        <w:rPr>
          <w:rFonts w:ascii="Calibri" w:hAnsi="Calibri"/>
          <w:b w:val="0"/>
          <w:i w:val="0"/>
          <w:color w:val="1C1C1C"/>
          <w:sz w:val="21"/>
        </w:rPr>
        <w:t>No. The NLV specifically prohibits the holder from carrying out any paid work or professional activity in Spain. This includes working for a Spanish employer, working for a foreign employer while based in Spain, or running a business in Spain. If you want to work remotely for non-Spanish clients, the Digital Nomad Visa may be a better option.</w:t>
      </w:r>
    </w:p>
    <w:p>
      <w:pPr>
        <w:pStyle w:val="Heading3"/>
        <w:spacing w:before="200" w:after="60"/>
      </w:pPr>
      <w:r>
        <w:rPr>
          <w:rFonts w:ascii="Calibri" w:hAnsi="Calibri"/>
          <w:b/>
          <w:color w:val="1A2E4A"/>
          <w:sz w:val="24"/>
        </w:rPr>
        <w:t>How much income do I need for the Non-Lucrative Visa Spain?</w:t>
      </w:r>
    </w:p>
    <w:p>
      <w:pPr>
        <w:spacing w:after="120"/>
      </w:pPr>
      <w:r>
        <w:rPr>
          <w:rFonts w:ascii="Calibri" w:hAnsi="Calibri"/>
          <w:b w:val="0"/>
          <w:i w:val="0"/>
          <w:color w:val="1C1C1C"/>
          <w:sz w:val="21"/>
        </w:rPr>
        <w:t>As a rough guide, you need to demonstrate approximately €2,400 per month for a single applicant, plus around €600 per month for each additional dependant. These amounts are based on IPREM multiples and are updated periodically. Your specific consulate may apply different standards, so always confirm current thresholds before applying.</w:t>
      </w:r>
    </w:p>
    <w:p>
      <w:pPr>
        <w:pStyle w:val="Heading3"/>
        <w:spacing w:before="200" w:after="60"/>
      </w:pPr>
      <w:r>
        <w:rPr>
          <w:rFonts w:ascii="Calibri" w:hAnsi="Calibri"/>
          <w:b/>
          <w:color w:val="1A2E4A"/>
          <w:sz w:val="24"/>
        </w:rPr>
        <w:t>Can I include my spouse in my NLV application?</w:t>
      </w:r>
    </w:p>
    <w:p>
      <w:pPr>
        <w:spacing w:after="120"/>
      </w:pPr>
      <w:r>
        <w:rPr>
          <w:rFonts w:ascii="Calibri" w:hAnsi="Calibri"/>
          <w:b w:val="0"/>
          <w:i w:val="0"/>
          <w:color w:val="1C1C1C"/>
          <w:sz w:val="21"/>
        </w:rPr>
        <w:t>Yes. Your spouse or civil partner can be included as a dependant in your application. Their inclusion increases the income threshold of your application by approximately €600 per month. They will be issued their own residence authorisation linked to your application.</w:t>
      </w:r>
    </w:p>
    <w:p>
      <w:pPr>
        <w:pStyle w:val="Heading3"/>
        <w:spacing w:before="200" w:after="60"/>
      </w:pPr>
      <w:r>
        <w:rPr>
          <w:rFonts w:ascii="Calibri" w:hAnsi="Calibri"/>
          <w:b/>
          <w:color w:val="1A2E4A"/>
          <w:sz w:val="24"/>
        </w:rPr>
        <w:t>Do I need private health insurance for the NLV?</w:t>
      </w:r>
    </w:p>
    <w:p>
      <w:pPr>
        <w:spacing w:after="120"/>
      </w:pPr>
      <w:r>
        <w:rPr>
          <w:rFonts w:ascii="Calibri" w:hAnsi="Calibri"/>
          <w:b w:val="0"/>
          <w:i w:val="0"/>
          <w:color w:val="1C1C1C"/>
          <w:sz w:val="21"/>
        </w:rPr>
        <w:t>Yes. Private health insurance is a mandatory requirement for the NLV. The policy must provide full medical coverage in Spain, with no copayments, no territorial exclusions, and no time limits. Standard travel insurance and NHS cover do not satisfy this requirement.</w:t>
      </w:r>
    </w:p>
    <w:p>
      <w:pPr>
        <w:pStyle w:val="Heading3"/>
        <w:spacing w:before="200" w:after="60"/>
      </w:pPr>
      <w:r>
        <w:rPr>
          <w:rFonts w:ascii="Calibri" w:hAnsi="Calibri"/>
          <w:b/>
          <w:color w:val="1A2E4A"/>
          <w:sz w:val="24"/>
        </w:rPr>
        <w:t>Where do I apply for the Non-Lucrative Visa?</w:t>
      </w:r>
    </w:p>
    <w:p>
      <w:pPr>
        <w:spacing w:after="120"/>
      </w:pPr>
      <w:r>
        <w:rPr>
          <w:rFonts w:ascii="Calibri" w:hAnsi="Calibri"/>
          <w:b w:val="0"/>
          <w:i w:val="0"/>
          <w:color w:val="1C1C1C"/>
          <w:sz w:val="21"/>
        </w:rPr>
        <w:t>You must apply at the Spanish consulate with jurisdiction over your place of residence in your home country. You cannot apply from within Spain. For UK residents, this is typically the Spanish Consulate in London or Manchester. For US residents, the relevant consulate depends on your state of residence.</w:t>
      </w:r>
    </w:p>
    <w:p>
      <w:pPr>
        <w:pStyle w:val="Heading3"/>
        <w:spacing w:before="200" w:after="60"/>
      </w:pPr>
      <w:r>
        <w:rPr>
          <w:rFonts w:ascii="Calibri" w:hAnsi="Calibri"/>
          <w:b/>
          <w:color w:val="1A2E4A"/>
          <w:sz w:val="24"/>
        </w:rPr>
        <w:t>How long does the NLV take to process?</w:t>
      </w:r>
    </w:p>
    <w:p>
      <w:pPr>
        <w:spacing w:after="120"/>
      </w:pPr>
      <w:r>
        <w:rPr>
          <w:rFonts w:ascii="Calibri" w:hAnsi="Calibri"/>
          <w:b w:val="0"/>
          <w:i w:val="0"/>
          <w:color w:val="1C1C1C"/>
          <w:sz w:val="21"/>
        </w:rPr>
        <w:t>Processing typically takes between 6 and 12 weeks from the date of your consulate appointment, depending on which consulate you apply through and the time of year. A well-prepared, complete application reduces the risk of delays.</w:t>
      </w:r>
    </w:p>
    <w:p>
      <w:pPr>
        <w:pStyle w:val="Heading3"/>
        <w:spacing w:before="200" w:after="60"/>
      </w:pPr>
      <w:r>
        <w:rPr>
          <w:rFonts w:ascii="Calibri" w:hAnsi="Calibri"/>
          <w:b/>
          <w:color w:val="1A2E4A"/>
          <w:sz w:val="24"/>
        </w:rPr>
        <w:t>Can I buy property in Spain on a Non-Lucrative Visa?</w:t>
      </w:r>
    </w:p>
    <w:p>
      <w:pPr>
        <w:spacing w:after="120"/>
      </w:pPr>
      <w:r>
        <w:rPr>
          <w:rFonts w:ascii="Calibri" w:hAnsi="Calibri"/>
          <w:b w:val="0"/>
          <w:i w:val="0"/>
          <w:color w:val="1C1C1C"/>
          <w:sz w:val="21"/>
        </w:rPr>
        <w:t>Yes. Holding an NLV does not prevent you from purchasing property in Spain. Many NLV holders buy property, which can also serve as proof of accommodation for the visa. Note that buying property in Spain does not automatically grant you residency — a separate visa application is required.</w:t>
      </w:r>
    </w:p>
    <w:p>
      <w:pPr>
        <w:pStyle w:val="Heading3"/>
        <w:spacing w:before="200" w:after="60"/>
      </w:pPr>
      <w:r>
        <w:rPr>
          <w:rFonts w:ascii="Calibri" w:hAnsi="Calibri"/>
          <w:b/>
          <w:color w:val="1A2E4A"/>
          <w:sz w:val="24"/>
        </w:rPr>
        <w:t>What happens after my NLV is approved?</w:t>
      </w:r>
    </w:p>
    <w:p>
      <w:pPr>
        <w:spacing w:after="120"/>
      </w:pPr>
      <w:r>
        <w:rPr>
          <w:rFonts w:ascii="Calibri" w:hAnsi="Calibri"/>
          <w:b w:val="0"/>
          <w:i w:val="0"/>
          <w:color w:val="1C1C1C"/>
          <w:sz w:val="21"/>
        </w:rPr>
        <w:t>Once your NLV is approved, you will receive a visa sticker in your passport. You must enter Spain within the validity period of this visa. Once in Spain, you must apply for your TIE card within 30 days of arrival and register on the local padrón. Your TIE card is your official resident ID in Spain.</w:t>
      </w:r>
    </w:p>
    <w:p>
      <w:pPr>
        <w:pStyle w:val="Heading3"/>
        <w:spacing w:before="200" w:after="60"/>
      </w:pPr>
      <w:r>
        <w:rPr>
          <w:rFonts w:ascii="Calibri" w:hAnsi="Calibri"/>
          <w:b/>
          <w:color w:val="1A2E4A"/>
          <w:sz w:val="24"/>
        </w:rPr>
        <w:t>Can the NLV lead to permanent residency or citizenship?</w:t>
      </w:r>
    </w:p>
    <w:p>
      <w:pPr>
        <w:spacing w:after="120"/>
      </w:pPr>
      <w:r>
        <w:rPr>
          <w:rFonts w:ascii="Calibri" w:hAnsi="Calibri"/>
          <w:b w:val="0"/>
          <w:i w:val="0"/>
          <w:color w:val="1C1C1C"/>
          <w:sz w:val="21"/>
        </w:rPr>
        <w:t>Yes. After five years of continuous legal residence on the NLV (and renewals), you can apply for long-term EU residency (residencia de larga duración). After ten years of legal residence, you may be eligible to apply for Spanish citizenship, subject to other requirements including language proficiency.</w:t>
      </w:r>
    </w:p>
    <w:tbl>
      <w:tblPr>
        <w:tblStyle w:val="TableGrid"/>
        <w:tblW w:type="auto" w:w="0"/>
        <w:tblLook w:firstColumn="1" w:firstRow="1" w:lastColumn="0" w:lastRow="0" w:noHBand="0" w:noVBand="1" w:val="04A0"/>
      </w:tblPr>
      <w:tblGrid>
        <w:gridCol w:w="9072"/>
      </w:tblGrid>
      <w:tr>
        <w:tc>
          <w:tcPr>
            <w:tcW w:type="dxa" w:w="9072"/>
            <w:shd w:val="clear" w:color="auto" w:fill="EBF0F8"/>
          </w:tcPr>
          <w:p>
            <w:r>
              <w:rPr>
                <w:rFonts w:ascii="Calibri" w:hAnsi="Calibri"/>
                <w:b/>
                <w:color w:val="2E5E8E"/>
                <w:sz w:val="19"/>
              </w:rPr>
              <w:t xml:space="preserve">🔗  INTERNAL LINKS FOR THIS SECTION:  </w:t>
            </w:r>
          </w:p>
          <w:p>
            <w:r>
              <w:rPr>
                <w:rFonts w:ascii="Calibri" w:hAnsi="Calibri"/>
                <w:color w:val="2E5E8E"/>
                <w:sz w:val="19"/>
              </w:rPr>
              <w:t xml:space="preserve">  →  Full NLV FAQ hub — 50+ questions answered → /non-lucrative-visa-faq/</w:t>
            </w:r>
          </w:p>
        </w:tc>
      </w:tr>
    </w:tbl>
    <w:p>
      <w:pPr>
        <w:spacing w:after="80"/>
      </w:pPr>
    </w:p>
    <w:p>
      <w:pPr>
        <w:pStyle w:val="Heading2"/>
        <w:spacing w:before="280" w:after="80"/>
      </w:pPr>
      <w:r>
        <w:rPr>
          <w:rFonts w:ascii="Calibri" w:hAnsi="Calibri"/>
          <w:b/>
          <w:color w:val="2E5E8E"/>
          <w:sz w:val="30"/>
        </w:rPr>
        <w:t>NLV Deep-Dive Guides</w:t>
      </w:r>
    </w:p>
    <w:tbl>
      <w:tblPr>
        <w:tblStyle w:val="TableGrid"/>
        <w:tblW w:type="auto" w:w="0"/>
        <w:tblLook w:firstColumn="1" w:firstRow="1" w:lastColumn="0" w:lastRow="0" w:noHBand="0" w:noVBand="1" w:val="04A0"/>
      </w:tblPr>
      <w:tblGrid>
        <w:gridCol w:w="9072"/>
      </w:tblGrid>
      <w:tr>
        <w:tc>
          <w:tcPr>
            <w:tcW w:type="dxa" w:w="9072"/>
            <w:shd w:val="clear" w:color="auto" w:fill="FEF9E7"/>
          </w:tcPr>
          <w:p>
            <w:r>
              <w:rPr>
                <w:rFonts w:ascii="Calibri" w:hAnsi="Calibri"/>
                <w:b/>
                <w:color w:val="C9A03A"/>
                <w:sz w:val="19"/>
              </w:rPr>
              <w:t xml:space="preserve">✏  DESIGN NOTE:  </w:t>
            </w:r>
            <w:r>
              <w:rPr>
                <w:rFonts w:ascii="Calibri" w:hAnsi="Calibri"/>
                <w:color w:val="1C1C1C"/>
                <w:sz w:val="19"/>
              </w:rPr>
              <w:t>DESIGN: Render this as a 3-column card grid. Each card has a small icon, bold guide title, one-line description, and a 'Read guide →' link. This should feel like a resource hub, not a table. Appears before the FAQ section on the live page.</w:t>
            </w:r>
          </w:p>
        </w:tc>
      </w:tr>
    </w:tbl>
    <w:p>
      <w:pPr>
        <w:spacing w:after="80"/>
      </w:pPr>
    </w:p>
    <w:p>
      <w:pPr>
        <w:spacing w:after="120"/>
      </w:pPr>
      <w:r>
        <w:rPr>
          <w:rFonts w:ascii="Calibri" w:hAnsi="Calibri"/>
          <w:b w:val="0"/>
          <w:i w:val="0"/>
          <w:color w:val="1C1C1C"/>
          <w:sz w:val="21"/>
        </w:rPr>
        <w:t>Every aspect of the Non-Lucrative Visa deserves proper attention. Whether you need to understand the exact income threshold for your household, find the right health insurance policy, or know what happens if your application is refused — we have a dedicated guide for it.</w:t>
      </w:r>
    </w:p>
    <w:p>
      <w:pPr>
        <w:spacing w:after="120"/>
      </w:pPr>
      <w:r>
        <w:rPr>
          <w:rFonts w:ascii="Calibri" w:hAnsi="Calibri"/>
          <w:b w:val="0"/>
          <w:i w:val="0"/>
          <w:color w:val="1C1C1C"/>
          <w:sz w:val="21"/>
        </w:rPr>
        <w:t>Use these guides to go deeper on any part of the process. Each one is written by our specialists and kept up to date with current consulate requirements.</w:t>
      </w:r>
    </w:p>
    <w:tbl>
      <w:tblPr>
        <w:tblStyle w:val="TableGrid"/>
        <w:tblW w:type="auto" w:w="0"/>
        <w:jc w:val="left"/>
        <w:tblLook w:firstColumn="1" w:firstRow="1" w:lastColumn="0" w:lastRow="0" w:noHBand="0" w:noVBand="1" w:val="04A0"/>
      </w:tblPr>
      <w:tblGrid>
        <w:gridCol w:w="3024"/>
        <w:gridCol w:w="3024"/>
        <w:gridCol w:w="3024"/>
      </w:tblGrid>
      <w:tr>
        <w:tc>
          <w:tcPr>
            <w:tcW w:type="dxa" w:w="2736"/>
            <w:shd w:val="clear" w:color="auto" w:fill="1A2E4A"/>
            <w:vAlign w:val="center"/>
          </w:tcPr>
          <w:p>
            <w:pPr>
              <w:spacing w:after="0"/>
            </w:pPr>
            <w:r>
              <w:rPr>
                <w:rFonts w:ascii="Calibri" w:hAnsi="Calibri"/>
                <w:b/>
                <w:color w:val="FFFFFF"/>
                <w:sz w:val="19"/>
              </w:rPr>
              <w:t>Guide</w:t>
            </w:r>
          </w:p>
        </w:tc>
        <w:tc>
          <w:tcPr>
            <w:tcW w:type="dxa" w:w="4320"/>
            <w:shd w:val="clear" w:color="auto" w:fill="1A2E4A"/>
            <w:vAlign w:val="center"/>
          </w:tcPr>
          <w:p>
            <w:pPr>
              <w:spacing w:after="0"/>
            </w:pPr>
            <w:r>
              <w:rPr>
                <w:rFonts w:ascii="Calibri" w:hAnsi="Calibri"/>
                <w:b/>
                <w:color w:val="FFFFFF"/>
                <w:sz w:val="19"/>
              </w:rPr>
              <w:t>What It Covers</w:t>
            </w:r>
          </w:p>
        </w:tc>
        <w:tc>
          <w:tcPr>
            <w:tcW w:type="dxa" w:w="3456"/>
            <w:shd w:val="clear" w:color="auto" w:fill="1A2E4A"/>
            <w:vAlign w:val="center"/>
          </w:tcPr>
          <w:p>
            <w:pPr>
              <w:spacing w:after="0"/>
            </w:pPr>
            <w:r>
              <w:rPr>
                <w:rFonts w:ascii="Calibri" w:hAnsi="Calibri"/>
                <w:b/>
                <w:color w:val="FFFFFF"/>
                <w:sz w:val="19"/>
              </w:rPr>
              <w:t>URL</w:t>
            </w:r>
          </w:p>
        </w:tc>
      </w:tr>
      <w:tr>
        <w:tc>
          <w:tcPr>
            <w:tcW w:type="dxa" w:w="2736"/>
            <w:shd w:val="clear" w:color="auto" w:fill="F4F7FA"/>
          </w:tcPr>
          <w:p>
            <w:pPr>
              <w:spacing w:after="0"/>
            </w:pPr>
            <w:r>
              <w:rPr>
                <w:rFonts w:ascii="Calibri" w:hAnsi="Calibri"/>
                <w:color w:val="1C1C1C"/>
                <w:sz w:val="19"/>
              </w:rPr>
              <w:t>NLV Requirements</w:t>
            </w:r>
          </w:p>
        </w:tc>
        <w:tc>
          <w:tcPr>
            <w:tcW w:type="dxa" w:w="4320"/>
            <w:shd w:val="clear" w:color="auto" w:fill="F4F7FA"/>
          </w:tcPr>
          <w:p>
            <w:pPr>
              <w:spacing w:after="0"/>
            </w:pPr>
            <w:r>
              <w:rPr>
                <w:rFonts w:ascii="Calibri" w:hAnsi="Calibri"/>
                <w:color w:val="1C1C1C"/>
                <w:sz w:val="19"/>
              </w:rPr>
              <w:t>Full eligibility criteria — who qualifies and who doesn't</w:t>
            </w:r>
          </w:p>
        </w:tc>
        <w:tc>
          <w:tcPr>
            <w:tcW w:type="dxa" w:w="3456"/>
            <w:shd w:val="clear" w:color="auto" w:fill="F4F7FA"/>
          </w:tcPr>
          <w:p>
            <w:pPr>
              <w:spacing w:after="0"/>
            </w:pPr>
            <w:r>
              <w:rPr>
                <w:rFonts w:ascii="Calibri" w:hAnsi="Calibri"/>
                <w:color w:val="1C1C1C"/>
                <w:sz w:val="19"/>
              </w:rPr>
              <w:t>/non-lucrative-visa-requirements/</w:t>
            </w:r>
          </w:p>
        </w:tc>
      </w:tr>
      <w:tr>
        <w:tc>
          <w:tcPr>
            <w:tcW w:type="dxa" w:w="2736"/>
            <w:shd w:val="clear" w:color="auto" w:fill="FFFFFF"/>
          </w:tcPr>
          <w:p>
            <w:pPr>
              <w:spacing w:after="0"/>
            </w:pPr>
            <w:r>
              <w:rPr>
                <w:rFonts w:ascii="Calibri" w:hAnsi="Calibri"/>
                <w:color w:val="1C1C1C"/>
                <w:sz w:val="19"/>
              </w:rPr>
              <w:t>Income Requirements</w:t>
            </w:r>
          </w:p>
        </w:tc>
        <w:tc>
          <w:tcPr>
            <w:tcW w:type="dxa" w:w="4320"/>
            <w:shd w:val="clear" w:color="auto" w:fill="FFFFFF"/>
          </w:tcPr>
          <w:p>
            <w:pPr>
              <w:spacing w:after="0"/>
            </w:pPr>
            <w:r>
              <w:rPr>
                <w:rFonts w:ascii="Calibri" w:hAnsi="Calibri"/>
                <w:color w:val="1C1C1C"/>
                <w:sz w:val="19"/>
              </w:rPr>
              <w:t>IPREM thresholds explained with 2026 figures and examples</w:t>
            </w:r>
          </w:p>
        </w:tc>
        <w:tc>
          <w:tcPr>
            <w:tcW w:type="dxa" w:w="3456"/>
            <w:shd w:val="clear" w:color="auto" w:fill="FFFFFF"/>
          </w:tcPr>
          <w:p>
            <w:pPr>
              <w:spacing w:after="0"/>
            </w:pPr>
            <w:r>
              <w:rPr>
                <w:rFonts w:ascii="Calibri" w:hAnsi="Calibri"/>
                <w:color w:val="1C1C1C"/>
                <w:sz w:val="19"/>
              </w:rPr>
              <w:t>/non-lucrative-visa-income-requirements/</w:t>
            </w:r>
          </w:p>
        </w:tc>
      </w:tr>
      <w:tr>
        <w:tc>
          <w:tcPr>
            <w:tcW w:type="dxa" w:w="2736"/>
            <w:shd w:val="clear" w:color="auto" w:fill="F4F7FA"/>
          </w:tcPr>
          <w:p>
            <w:pPr>
              <w:spacing w:after="0"/>
            </w:pPr>
            <w:r>
              <w:rPr>
                <w:rFonts w:ascii="Calibri" w:hAnsi="Calibri"/>
                <w:color w:val="1C1C1C"/>
                <w:sz w:val="19"/>
              </w:rPr>
              <w:t>Documents Checklist</w:t>
            </w:r>
          </w:p>
        </w:tc>
        <w:tc>
          <w:tcPr>
            <w:tcW w:type="dxa" w:w="4320"/>
            <w:shd w:val="clear" w:color="auto" w:fill="F4F7FA"/>
          </w:tcPr>
          <w:p>
            <w:pPr>
              <w:spacing w:after="0"/>
            </w:pPr>
            <w:r>
              <w:rPr>
                <w:rFonts w:ascii="Calibri" w:hAnsi="Calibri"/>
                <w:color w:val="1C1C1C"/>
                <w:sz w:val="19"/>
              </w:rPr>
              <w:t>Every document you need, with apostille and translation guidance</w:t>
            </w:r>
          </w:p>
        </w:tc>
        <w:tc>
          <w:tcPr>
            <w:tcW w:type="dxa" w:w="3456"/>
            <w:shd w:val="clear" w:color="auto" w:fill="F4F7FA"/>
          </w:tcPr>
          <w:p>
            <w:pPr>
              <w:spacing w:after="0"/>
            </w:pPr>
            <w:r>
              <w:rPr>
                <w:rFonts w:ascii="Calibri" w:hAnsi="Calibri"/>
                <w:color w:val="1C1C1C"/>
                <w:sz w:val="19"/>
              </w:rPr>
              <w:t>/non-lucrative-visa-documents/</w:t>
            </w:r>
          </w:p>
        </w:tc>
      </w:tr>
      <w:tr>
        <w:tc>
          <w:tcPr>
            <w:tcW w:type="dxa" w:w="2736"/>
            <w:shd w:val="clear" w:color="auto" w:fill="FFFFFF"/>
          </w:tcPr>
          <w:p>
            <w:pPr>
              <w:spacing w:after="0"/>
            </w:pPr>
            <w:r>
              <w:rPr>
                <w:rFonts w:ascii="Calibri" w:hAnsi="Calibri"/>
                <w:color w:val="1C1C1C"/>
                <w:sz w:val="19"/>
              </w:rPr>
              <w:t>Application Process</w:t>
            </w:r>
          </w:p>
        </w:tc>
        <w:tc>
          <w:tcPr>
            <w:tcW w:type="dxa" w:w="4320"/>
            <w:shd w:val="clear" w:color="auto" w:fill="FFFFFF"/>
          </w:tcPr>
          <w:p>
            <w:pPr>
              <w:spacing w:after="0"/>
            </w:pPr>
            <w:r>
              <w:rPr>
                <w:rFonts w:ascii="Calibri" w:hAnsi="Calibri"/>
                <w:color w:val="1C1C1C"/>
                <w:sz w:val="19"/>
              </w:rPr>
              <w:t>The full step-by-step process, from quiz to TIE card</w:t>
            </w:r>
          </w:p>
        </w:tc>
        <w:tc>
          <w:tcPr>
            <w:tcW w:type="dxa" w:w="3456"/>
            <w:shd w:val="clear" w:color="auto" w:fill="FFFFFF"/>
          </w:tcPr>
          <w:p>
            <w:pPr>
              <w:spacing w:after="0"/>
            </w:pPr>
            <w:r>
              <w:rPr>
                <w:rFonts w:ascii="Calibri" w:hAnsi="Calibri"/>
                <w:color w:val="1C1C1C"/>
                <w:sz w:val="19"/>
              </w:rPr>
              <w:t>/non-lucrative-visa-application-process/</w:t>
            </w:r>
          </w:p>
        </w:tc>
      </w:tr>
      <w:tr>
        <w:tc>
          <w:tcPr>
            <w:tcW w:type="dxa" w:w="2736"/>
            <w:shd w:val="clear" w:color="auto" w:fill="F4F7FA"/>
          </w:tcPr>
          <w:p>
            <w:pPr>
              <w:spacing w:after="0"/>
            </w:pPr>
            <w:r>
              <w:rPr>
                <w:rFonts w:ascii="Calibri" w:hAnsi="Calibri"/>
                <w:color w:val="1C1C1C"/>
                <w:sz w:val="19"/>
              </w:rPr>
              <w:t>Processing Time</w:t>
            </w:r>
          </w:p>
        </w:tc>
        <w:tc>
          <w:tcPr>
            <w:tcW w:type="dxa" w:w="4320"/>
            <w:shd w:val="clear" w:color="auto" w:fill="F4F7FA"/>
          </w:tcPr>
          <w:p>
            <w:pPr>
              <w:spacing w:after="0"/>
            </w:pPr>
            <w:r>
              <w:rPr>
                <w:rFonts w:ascii="Calibri" w:hAnsi="Calibri"/>
                <w:color w:val="1C1C1C"/>
                <w:sz w:val="19"/>
              </w:rPr>
              <w:t>Current timelines by consulate — what to expect and when</w:t>
            </w:r>
          </w:p>
        </w:tc>
        <w:tc>
          <w:tcPr>
            <w:tcW w:type="dxa" w:w="3456"/>
            <w:shd w:val="clear" w:color="auto" w:fill="F4F7FA"/>
          </w:tcPr>
          <w:p>
            <w:pPr>
              <w:spacing w:after="0"/>
            </w:pPr>
            <w:r>
              <w:rPr>
                <w:rFonts w:ascii="Calibri" w:hAnsi="Calibri"/>
                <w:color w:val="1C1C1C"/>
                <w:sz w:val="19"/>
              </w:rPr>
              <w:t>/non-lucrative-visa-timeline/</w:t>
            </w:r>
          </w:p>
        </w:tc>
      </w:tr>
      <w:tr>
        <w:tc>
          <w:tcPr>
            <w:tcW w:type="dxa" w:w="2736"/>
            <w:shd w:val="clear" w:color="auto" w:fill="FFFFFF"/>
          </w:tcPr>
          <w:p>
            <w:pPr>
              <w:spacing w:after="0"/>
            </w:pPr>
            <w:r>
              <w:rPr>
                <w:rFonts w:ascii="Calibri" w:hAnsi="Calibri"/>
                <w:color w:val="1C1C1C"/>
                <w:sz w:val="19"/>
              </w:rPr>
              <w:t>Cost &amp; Fees</w:t>
            </w:r>
          </w:p>
        </w:tc>
        <w:tc>
          <w:tcPr>
            <w:tcW w:type="dxa" w:w="4320"/>
            <w:shd w:val="clear" w:color="auto" w:fill="FFFFFF"/>
          </w:tcPr>
          <w:p>
            <w:pPr>
              <w:spacing w:after="0"/>
            </w:pPr>
            <w:r>
              <w:rPr>
                <w:rFonts w:ascii="Calibri" w:hAnsi="Calibri"/>
                <w:color w:val="1C1C1C"/>
                <w:sz w:val="19"/>
              </w:rPr>
              <w:t>Everything you'll pay — consulate fees, translations, insurance</w:t>
            </w:r>
          </w:p>
        </w:tc>
        <w:tc>
          <w:tcPr>
            <w:tcW w:type="dxa" w:w="3456"/>
            <w:shd w:val="clear" w:color="auto" w:fill="FFFFFF"/>
          </w:tcPr>
          <w:p>
            <w:pPr>
              <w:spacing w:after="0"/>
            </w:pPr>
            <w:r>
              <w:rPr>
                <w:rFonts w:ascii="Calibri" w:hAnsi="Calibri"/>
                <w:color w:val="1C1C1C"/>
                <w:sz w:val="19"/>
              </w:rPr>
              <w:t>/non-lucrative-visa-cost/</w:t>
            </w:r>
          </w:p>
        </w:tc>
      </w:tr>
      <w:tr>
        <w:tc>
          <w:tcPr>
            <w:tcW w:type="dxa" w:w="2736"/>
            <w:shd w:val="clear" w:color="auto" w:fill="F4F7FA"/>
          </w:tcPr>
          <w:p>
            <w:pPr>
              <w:spacing w:after="0"/>
            </w:pPr>
            <w:r>
              <w:rPr>
                <w:rFonts w:ascii="Calibri" w:hAnsi="Calibri"/>
                <w:color w:val="1C1C1C"/>
                <w:sz w:val="19"/>
              </w:rPr>
              <w:t>Health Insurance</w:t>
            </w:r>
          </w:p>
        </w:tc>
        <w:tc>
          <w:tcPr>
            <w:tcW w:type="dxa" w:w="4320"/>
            <w:shd w:val="clear" w:color="auto" w:fill="F4F7FA"/>
          </w:tcPr>
          <w:p>
            <w:pPr>
              <w:spacing w:after="0"/>
            </w:pPr>
            <w:r>
              <w:rPr>
                <w:rFonts w:ascii="Calibri" w:hAnsi="Calibri"/>
                <w:color w:val="1C1C1C"/>
                <w:sz w:val="19"/>
              </w:rPr>
              <w:t>What policies are accepted, what's not, and how to choose</w:t>
            </w:r>
          </w:p>
        </w:tc>
        <w:tc>
          <w:tcPr>
            <w:tcW w:type="dxa" w:w="3456"/>
            <w:shd w:val="clear" w:color="auto" w:fill="F4F7FA"/>
          </w:tcPr>
          <w:p>
            <w:pPr>
              <w:spacing w:after="0"/>
            </w:pPr>
            <w:r>
              <w:rPr>
                <w:rFonts w:ascii="Calibri" w:hAnsi="Calibri"/>
                <w:color w:val="1C1C1C"/>
                <w:sz w:val="19"/>
              </w:rPr>
              <w:t>/non-lucrative-visa-health-insurance/</w:t>
            </w:r>
          </w:p>
        </w:tc>
      </w:tr>
      <w:tr>
        <w:tc>
          <w:tcPr>
            <w:tcW w:type="dxa" w:w="2736"/>
            <w:shd w:val="clear" w:color="auto" w:fill="FFFFFF"/>
          </w:tcPr>
          <w:p>
            <w:pPr>
              <w:spacing w:after="0"/>
            </w:pPr>
            <w:r>
              <w:rPr>
                <w:rFonts w:ascii="Calibri" w:hAnsi="Calibri"/>
                <w:color w:val="1C1C1C"/>
                <w:sz w:val="19"/>
              </w:rPr>
              <w:t>Tax Guide</w:t>
            </w:r>
          </w:p>
        </w:tc>
        <w:tc>
          <w:tcPr>
            <w:tcW w:type="dxa" w:w="4320"/>
            <w:shd w:val="clear" w:color="auto" w:fill="FFFFFF"/>
          </w:tcPr>
          <w:p>
            <w:pPr>
              <w:spacing w:after="0"/>
            </w:pPr>
            <w:r>
              <w:rPr>
                <w:rFonts w:ascii="Calibri" w:hAnsi="Calibri"/>
                <w:color w:val="1C1C1C"/>
                <w:sz w:val="19"/>
              </w:rPr>
              <w:t>Spanish tax residency, worldwide income, and double tax treaties</w:t>
            </w:r>
          </w:p>
        </w:tc>
        <w:tc>
          <w:tcPr>
            <w:tcW w:type="dxa" w:w="3456"/>
            <w:shd w:val="clear" w:color="auto" w:fill="FFFFFF"/>
          </w:tcPr>
          <w:p>
            <w:pPr>
              <w:spacing w:after="0"/>
            </w:pPr>
            <w:r>
              <w:rPr>
                <w:rFonts w:ascii="Calibri" w:hAnsi="Calibri"/>
                <w:color w:val="1C1C1C"/>
                <w:sz w:val="19"/>
              </w:rPr>
              <w:t>/non-lucrative-visa-tax-spain/</w:t>
            </w:r>
          </w:p>
        </w:tc>
      </w:tr>
      <w:tr>
        <w:tc>
          <w:tcPr>
            <w:tcW w:type="dxa" w:w="2736"/>
            <w:shd w:val="clear" w:color="auto" w:fill="F4F7FA"/>
          </w:tcPr>
          <w:p>
            <w:pPr>
              <w:spacing w:after="0"/>
            </w:pPr>
            <w:r>
              <w:rPr>
                <w:rFonts w:ascii="Calibri" w:hAnsi="Calibri"/>
                <w:color w:val="1C1C1C"/>
                <w:sz w:val="19"/>
              </w:rPr>
              <w:t>NLV for Americans</w:t>
            </w:r>
          </w:p>
        </w:tc>
        <w:tc>
          <w:tcPr>
            <w:tcW w:type="dxa" w:w="4320"/>
            <w:shd w:val="clear" w:color="auto" w:fill="F4F7FA"/>
          </w:tcPr>
          <w:p>
            <w:pPr>
              <w:spacing w:after="0"/>
            </w:pPr>
            <w:r>
              <w:rPr>
                <w:rFonts w:ascii="Calibri" w:hAnsi="Calibri"/>
                <w:color w:val="1C1C1C"/>
                <w:sz w:val="19"/>
              </w:rPr>
              <w:t>Consulate process, timelines, and specifics for US applicants</w:t>
            </w:r>
          </w:p>
        </w:tc>
        <w:tc>
          <w:tcPr>
            <w:tcW w:type="dxa" w:w="3456"/>
            <w:shd w:val="clear" w:color="auto" w:fill="F4F7FA"/>
          </w:tcPr>
          <w:p>
            <w:pPr>
              <w:spacing w:after="0"/>
            </w:pPr>
            <w:r>
              <w:rPr>
                <w:rFonts w:ascii="Calibri" w:hAnsi="Calibri"/>
                <w:color w:val="1C1C1C"/>
                <w:sz w:val="19"/>
              </w:rPr>
              <w:t>/non-lucrative-visa-americans/</w:t>
            </w:r>
          </w:p>
        </w:tc>
      </w:tr>
      <w:tr>
        <w:tc>
          <w:tcPr>
            <w:tcW w:type="dxa" w:w="2736"/>
            <w:shd w:val="clear" w:color="auto" w:fill="FFFFFF"/>
          </w:tcPr>
          <w:p>
            <w:pPr>
              <w:spacing w:after="0"/>
            </w:pPr>
            <w:r>
              <w:rPr>
                <w:rFonts w:ascii="Calibri" w:hAnsi="Calibri"/>
                <w:color w:val="1C1C1C"/>
                <w:sz w:val="19"/>
              </w:rPr>
              <w:t>NLV for UK Citizens</w:t>
            </w:r>
          </w:p>
        </w:tc>
        <w:tc>
          <w:tcPr>
            <w:tcW w:type="dxa" w:w="4320"/>
            <w:shd w:val="clear" w:color="auto" w:fill="FFFFFF"/>
          </w:tcPr>
          <w:p>
            <w:pPr>
              <w:spacing w:after="0"/>
            </w:pPr>
            <w:r>
              <w:rPr>
                <w:rFonts w:ascii="Calibri" w:hAnsi="Calibri"/>
                <w:color w:val="1C1C1C"/>
                <w:sz w:val="19"/>
              </w:rPr>
              <w:t>Post-Brexit rules, London/Manchester consulate guidance</w:t>
            </w:r>
          </w:p>
        </w:tc>
        <w:tc>
          <w:tcPr>
            <w:tcW w:type="dxa" w:w="3456"/>
            <w:shd w:val="clear" w:color="auto" w:fill="FFFFFF"/>
          </w:tcPr>
          <w:p>
            <w:pPr>
              <w:spacing w:after="0"/>
            </w:pPr>
            <w:r>
              <w:rPr>
                <w:rFonts w:ascii="Calibri" w:hAnsi="Calibri"/>
                <w:color w:val="1C1C1C"/>
                <w:sz w:val="19"/>
              </w:rPr>
              <w:t>/non-lucrative-visa-uk/</w:t>
            </w:r>
          </w:p>
        </w:tc>
      </w:tr>
      <w:tr>
        <w:tc>
          <w:tcPr>
            <w:tcW w:type="dxa" w:w="2736"/>
            <w:shd w:val="clear" w:color="auto" w:fill="F4F7FA"/>
          </w:tcPr>
          <w:p>
            <w:pPr>
              <w:spacing w:after="0"/>
            </w:pPr>
            <w:r>
              <w:rPr>
                <w:rFonts w:ascii="Calibri" w:hAnsi="Calibri"/>
                <w:color w:val="1C1C1C"/>
                <w:sz w:val="19"/>
              </w:rPr>
              <w:t>Renewal Guide</w:t>
            </w:r>
          </w:p>
        </w:tc>
        <w:tc>
          <w:tcPr>
            <w:tcW w:type="dxa" w:w="4320"/>
            <w:shd w:val="clear" w:color="auto" w:fill="F4F7FA"/>
          </w:tcPr>
          <w:p>
            <w:pPr>
              <w:spacing w:after="0"/>
            </w:pPr>
            <w:r>
              <w:rPr>
                <w:rFonts w:ascii="Calibri" w:hAnsi="Calibri"/>
                <w:color w:val="1C1C1C"/>
                <w:sz w:val="19"/>
              </w:rPr>
              <w:t>How to renew, what changes, income requirements for renewal</w:t>
            </w:r>
          </w:p>
        </w:tc>
        <w:tc>
          <w:tcPr>
            <w:tcW w:type="dxa" w:w="3456"/>
            <w:shd w:val="clear" w:color="auto" w:fill="F4F7FA"/>
          </w:tcPr>
          <w:p>
            <w:pPr>
              <w:spacing w:after="0"/>
            </w:pPr>
            <w:r>
              <w:rPr>
                <w:rFonts w:ascii="Calibri" w:hAnsi="Calibri"/>
                <w:color w:val="1C1C1C"/>
                <w:sz w:val="19"/>
              </w:rPr>
              <w:t>/non-lucrative-visa-renewal/</w:t>
            </w:r>
          </w:p>
        </w:tc>
      </w:tr>
      <w:tr>
        <w:tc>
          <w:tcPr>
            <w:tcW w:type="dxa" w:w="2736"/>
            <w:shd w:val="clear" w:color="auto" w:fill="FFFFFF"/>
          </w:tcPr>
          <w:p>
            <w:pPr>
              <w:spacing w:after="0"/>
            </w:pPr>
            <w:r>
              <w:rPr>
                <w:rFonts w:ascii="Calibri" w:hAnsi="Calibri"/>
                <w:color w:val="1C1C1C"/>
                <w:sz w:val="19"/>
              </w:rPr>
              <w:t>Full FAQ Hub</w:t>
            </w:r>
          </w:p>
        </w:tc>
        <w:tc>
          <w:tcPr>
            <w:tcW w:type="dxa" w:w="4320"/>
            <w:shd w:val="clear" w:color="auto" w:fill="FFFFFF"/>
          </w:tcPr>
          <w:p>
            <w:pPr>
              <w:spacing w:after="0"/>
            </w:pPr>
            <w:r>
              <w:rPr>
                <w:rFonts w:ascii="Calibri" w:hAnsi="Calibri"/>
                <w:color w:val="1C1C1C"/>
                <w:sz w:val="19"/>
              </w:rPr>
              <w:t>50+ questions answered — the most complete NLV FAQ online</w:t>
            </w:r>
          </w:p>
        </w:tc>
        <w:tc>
          <w:tcPr>
            <w:tcW w:type="dxa" w:w="3456"/>
            <w:shd w:val="clear" w:color="auto" w:fill="FFFFFF"/>
          </w:tcPr>
          <w:p>
            <w:pPr>
              <w:spacing w:after="0"/>
            </w:pPr>
            <w:r>
              <w:rPr>
                <w:rFonts w:ascii="Calibri" w:hAnsi="Calibri"/>
                <w:color w:val="1C1C1C"/>
                <w:sz w:val="19"/>
              </w:rPr>
              <w:t>/non-lucrative-visa-faq/</w:t>
            </w:r>
          </w:p>
        </w:tc>
      </w:tr>
    </w:tbl>
    <w:p>
      <w:pPr>
        <w:spacing w:after="80"/>
      </w:pPr>
    </w:p>
    <w:p>
      <w:pPr>
        <w:pStyle w:val="Heading2"/>
        <w:spacing w:before="280" w:after="80"/>
      </w:pPr>
      <w:r>
        <w:rPr>
          <w:rFonts w:ascii="Calibri" w:hAnsi="Calibri"/>
          <w:b/>
          <w:color w:val="2E5E8E"/>
          <w:sz w:val="30"/>
        </w:rPr>
        <w:t>Ready to Apply for the Non-Lucrative Visa Spain?</w:t>
      </w:r>
    </w:p>
    <w:p>
      <w:pPr>
        <w:spacing w:after="120"/>
      </w:pPr>
      <w:r>
        <w:rPr>
          <w:rFonts w:ascii="Calibri" w:hAnsi="Calibri"/>
          <w:b w:val="0"/>
          <w:i w:val="0"/>
          <w:color w:val="1C1C1C"/>
          <w:sz w:val="21"/>
        </w:rPr>
        <w:t>Moving to Spain is one of the best decisions many of our clients have ever made. The Non-Lucrative Visa is a well-established, reliable route — and with the right preparation, it is entirely achievable.</w:t>
      </w:r>
    </w:p>
    <w:p>
      <w:pPr>
        <w:spacing w:after="120"/>
      </w:pPr>
      <w:r>
        <w:rPr>
          <w:rFonts w:ascii="Calibri" w:hAnsi="Calibri"/>
          <w:b w:val="0"/>
          <w:i w:val="0"/>
          <w:color w:val="1C1C1C"/>
          <w:sz w:val="21"/>
        </w:rPr>
        <w:t>My Spanish Visa, powered by PLS Platinum Legal Spain, handles the full process — from your first eligibility check through to settling into life in Spain.</w:t>
      </w:r>
    </w:p>
    <w:tbl>
      <w:tblPr>
        <w:tblStyle w:val="TableGrid"/>
        <w:tblW w:type="auto" w:w="0"/>
        <w:tblLook w:firstColumn="1" w:firstRow="1" w:lastColumn="0" w:lastRow="0" w:noHBand="0" w:noVBand="1" w:val="04A0"/>
      </w:tblPr>
      <w:tblGrid>
        <w:gridCol w:w="9072"/>
      </w:tblGrid>
      <w:tr>
        <w:tc>
          <w:tcPr>
            <w:tcW w:type="dxa" w:w="9072"/>
            <w:shd w:val="clear" w:color="auto" w:fill="E8F4EC"/>
          </w:tcPr>
          <w:p>
            <w:r>
              <w:rPr>
                <w:rFonts w:ascii="Calibri" w:hAnsi="Calibri"/>
                <w:b/>
                <w:color w:val="1A6B3A"/>
                <w:sz w:val="22"/>
              </w:rPr>
              <w:t>➤  Start your free eligibility check now — no commitment, no pressure, just clarity.</w:t>
            </w:r>
          </w:p>
          <w:p>
            <w:r>
              <w:rPr>
                <w:rFonts w:ascii="Calibri" w:hAnsi="Calibri"/>
                <w:color w:val="2E5E8E"/>
                <w:sz w:val="20"/>
              </w:rPr>
              <w:t xml:space="preserve">    Prefer to speak first? Book a consultation with a specialist → Book Now</w:t>
            </w:r>
          </w:p>
        </w:tc>
      </w:tr>
    </w:tbl>
    <w:p>
      <w:pPr>
        <w:spacing w:after="120"/>
      </w:pPr>
    </w:p>
    <w:p>
      <w:pPr>
        <w:pBdr>
          <w:bottom w:val="single" w:sz="6" w:space="1" w:color="C9A03A"/>
        </w:pBdr>
        <w:spacing w:after="160"/>
      </w:pPr>
    </w:p>
    <w:p>
      <w:pPr>
        <w:jc w:val="center"/>
      </w:pPr>
      <w:r>
        <w:rPr>
          <w:rFonts w:ascii="Calibri" w:hAnsi="Calibri"/>
          <w:i/>
          <w:color w:val="6B7B8D"/>
          <w:sz w:val="18"/>
        </w:rPr>
        <w:t>My Spanish Visa — NLV Pillar Page Copy  ·  April 2026  ·  myspanishvisa.com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