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120"/>
        <w:jc w:val="left"/>
      </w:pPr>
      <w:r>
        <w:rPr>
          <w:rFonts w:ascii="Aptos Display" w:hAnsi="Aptos Display"/>
          <w:b/>
          <w:color w:val="172554"/>
          <w:sz w:val="38"/>
        </w:rPr>
        <w:t>Partner Brief</w:t>
      </w:r>
    </w:p>
    <w:p>
      <w:pPr>
        <w:spacing w:after="160"/>
      </w:pPr>
      <w:r>
        <w:rPr>
          <w:color w:val="475569"/>
          <w:sz w:val="17"/>
        </w:rPr>
        <w:t>What BizTrackBD should do next · 16 October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2160"/>
      </w:tblGrid>
      <w:tr>
        <w:tc>
          <w:tcPr>
            <w:tcW w:type="dxa" w:w="3447"/>
            <w:shd w:fill="172554"/>
          </w:tcPr>
          <w:p>
            <w:r/>
          </w:p>
        </w:tc>
        <w:tc>
          <w:tcPr>
            <w:tcW w:type="dxa" w:w="3447"/>
            <w:shd w:fill="2563EB"/>
          </w:tcPr>
          <w:p>
            <w:r/>
          </w:p>
        </w:tc>
        <w:tc>
          <w:tcPr>
            <w:tcW w:type="dxa" w:w="3447"/>
            <w:shd w:fill="7C3AED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5F3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2554"/>
              </w:rPr>
              <w:t>Strategic choice</w:t>
              <w:br/>
            </w:r>
            <w:r>
              <w:t>Win on verified local operating simplicity—not the longest feature list. Repair proof and mobile conversion before scaling reach.</w:t>
            </w:r>
          </w:p>
        </w:tc>
      </w:tr>
    </w:tbl>
    <w:p>
      <w:pPr>
        <w:spacing w:after="0"/>
      </w:pPr>
    </w:p>
    <w:p>
      <w:pPr>
        <w:pStyle w:val="Heading2"/>
      </w:pPr>
      <w:r>
        <w:t>Five evidence-led findings</w:t>
      </w:r>
    </w:p>
    <w:p>
      <w:pPr>
        <w:pStyle w:val="ListBullet"/>
        <w:spacing w:after="30"/>
      </w:pPr>
      <w:r>
        <w:t>FACT — Internal status says no real merchant pilot has run, while the homepage publishes quantified ‘REAL MERCHANT STORIES’. Remove or label them now. [S01, S04]</w:t>
      </w:r>
    </w:p>
    <w:p>
      <w:pPr>
        <w:pStyle w:val="ListBullet"/>
        <w:spacing w:after="30"/>
      </w:pPr>
      <w:r>
        <w:t>FACT — Card/instant-activation, courier, Bangla SMS and 30-second claims exceed the internal proof rules. [S02, S05, S06]</w:t>
      </w:r>
    </w:p>
    <w:p>
      <w:pPr>
        <w:pStyle w:val="ListBullet"/>
        <w:spacing w:after="30"/>
      </w:pPr>
      <w:r>
        <w:t>FACT — Homepage, pricing and signup showed horizontal overflow at 390 × 844. [S04–S06]</w:t>
      </w:r>
    </w:p>
    <w:p>
      <w:pPr>
        <w:pStyle w:val="ListBullet"/>
        <w:spacing w:after="30"/>
      </w:pPr>
      <w:r>
        <w:t>FACT — Six validated local competitor pages showed zero active exact-page Meta ads today. [S27–S32]</w:t>
      </w:r>
    </w:p>
    <w:p>
      <w:pPr>
        <w:pStyle w:val="ListBullet"/>
        <w:spacing w:after="30"/>
      </w:pPr>
      <w:r>
        <w:t>INFERENCE — The defensible whitespace is honest proof + phone-first operations + hands-on activation, not generic ‘all-in-one’ language.</w:t>
      </w:r>
    </w:p>
    <w:p>
      <w:pPr>
        <w:pStyle w:val="Heading2"/>
      </w:pPr>
      <w:r>
        <w:t>Three bets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  <w:cantSplit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Bet</w:t>
            </w:r>
          </w:p>
        </w:tc>
        <w:tc>
          <w:tcPr>
            <w:tcW w:type="dxa" w:w="38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Why</w:t>
            </w:r>
          </w:p>
        </w:tc>
        <w:tc>
          <w:tcPr>
            <w:tcW w:type="dxa" w:w="374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90-day proof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No-signup demo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Reduces risk before signup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Demo→signup→publish baseline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Founding merchants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Creates real evidence and activation learning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10 onboarded; 3 consented case studies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Loss-control utility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Turns fake-order pain into measurable intent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Calculator→demo→activated store</w:t>
            </w:r>
          </w:p>
        </w:tc>
      </w:tr>
    </w:tbl>
    <w:p>
      <w:pPr>
        <w:spacing w:after="0"/>
      </w:pPr>
    </w:p>
    <w:p>
      <w:pPr>
        <w:pStyle w:val="Heading2"/>
      </w:pPr>
      <w:r>
        <w:t>Do this week</w:t>
      </w:r>
    </w:p>
    <w:p>
      <w:pPr>
        <w:pStyle w:val="ListBullet"/>
        <w:spacing w:after="30"/>
      </w:pPr>
      <w:r>
        <w:t>Remove/label unverified stories and proof-gated claims; assign a claim owner.</w:t>
      </w:r>
    </w:p>
    <w:p>
      <w:pPr>
        <w:pStyle w:val="ListBullet"/>
        <w:spacing w:after="30"/>
      </w:pPr>
      <w:r>
        <w:t>Fix mobile nav/overflow and simplify signup step 1.</w:t>
      </w:r>
    </w:p>
    <w:p>
      <w:pPr>
        <w:pStyle w:val="ListBullet"/>
        <w:spacing w:after="30"/>
      </w:pPr>
      <w:r>
        <w:t>Instrument demo_open, signup_complete, store_published, first_order and paid.</w:t>
      </w:r>
    </w:p>
    <w:p>
      <w:pPr>
        <w:pStyle w:val="ListBullet"/>
        <w:spacing w:after="30"/>
      </w:pPr>
      <w:r>
        <w:t>Publish founding-merchant terms, capacity and consent language.</w:t>
      </w:r>
    </w:p>
    <w:p>
      <w:pPr>
        <w:pStyle w:val="ListBullet"/>
        <w:spacing w:after="30"/>
      </w:pPr>
      <w:r>
        <w:t>Produce two demo creatives and one loss-calculator prototype; do not scale ads yet.</w:t>
      </w:r>
    </w:p>
    <w:p>
      <w:pPr>
        <w:pStyle w:val="Heading2"/>
      </w:pPr>
      <w:r>
        <w:t>Decision gates</w:t>
      </w:r>
    </w:p>
    <w:p>
      <w:pPr>
        <w:spacing w:after="40"/>
      </w:pPr>
      <w:r>
        <w:rPr>
          <w:b/>
        </w:rPr>
        <w:t xml:space="preserve">Scale only when: </w:t>
      </w:r>
      <w:r>
        <w:t>tracking is clean; claims are proven; onboarding capacity is known; activated-store and paid-conversion signals persist across multiple days; early retention is acceptable.</w:t>
      </w:r>
    </w:p>
    <w:p>
      <w:pPr>
        <w:spacing w:after="40"/>
      </w:pPr>
      <w:r>
        <w:rPr>
          <w:b/>
        </w:rPr>
        <w:t xml:space="preserve">Recheck in 30 days: </w:t>
      </w:r>
      <w:r>
        <w:t>competitor prices/ads, Bitcommerz identity, public Facebook cadence, BizTrackBD proof register and first cohort baselines.</w:t>
      </w:r>
    </w:p>
    <w:p>
      <w:pPr>
        <w:spacing w:before="40"/>
      </w:pPr>
      <w:r>
        <w:rPr>
          <w:i/>
          <w:color w:val="475569"/>
        </w:rPr>
        <w:t>Companion files: full report and formula-driven research workbook. Sources and observation dates are included there.</w:t>
      </w:r>
    </w:p>
    <w:sectPr w:rsidR="00FC693F" w:rsidRPr="0006063C" w:rsidSect="00034616">
      <w:footerReference w:type="default" r:id="rId9"/>
      <w:pgSz w:w="12240" w:h="15840"/>
      <w:pgMar w:top="835" w:right="950" w:bottom="792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Aptos" w:hAnsi="Aptos" w:eastAsia="Nirmala UI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Aptos Display" w:hAnsi="Aptos Display" w:eastAsia="Nirmala UI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Nirmala U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Nirmala UI"/>
      <w:b/>
      <w:bCs/>
      <w:color w:val="7C3AE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ctLabel">
    <w:name w:val="Fact Label"/>
    <w:basedOn w:val="Normal"/>
    <w:pPr>
      <w:spacing w:after="60"/>
      <w:ind w:left="173"/>
    </w:pPr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