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97657" w14:textId="77777777" w:rsidR="007B3193" w:rsidRDefault="00000000">
      <w:pPr>
        <w:spacing w:after="60"/>
      </w:pPr>
      <w:r>
        <w:rPr>
          <w:b/>
          <w:bCs/>
          <w:color w:val="666666"/>
        </w:rPr>
        <w:t>PRODUCT REQUIREMENTS DOCUMENT</w:t>
      </w:r>
    </w:p>
    <w:p w14:paraId="3E30F18A" w14:textId="3C372A34" w:rsidR="007B3193" w:rsidRDefault="00000000" w:rsidP="006D09FD">
      <w:pPr>
        <w:spacing w:after="100"/>
      </w:pPr>
      <w:r>
        <w:rPr>
          <w:b/>
          <w:bCs/>
          <w:color w:val="1F3A5F"/>
          <w:sz w:val="40"/>
          <w:szCs w:val="40"/>
        </w:rPr>
        <w:t xml:space="preserve">EDGAR Financial Extractor </w:t>
      </w:r>
    </w:p>
    <w:p w14:paraId="76AF0981" w14:textId="77777777" w:rsidR="007B3193" w:rsidRDefault="00000000">
      <w:pPr>
        <w:pStyle w:val="Heading1"/>
        <w:pBdr>
          <w:bottom w:val="single" w:sz="6" w:space="4" w:color="1F3A5F"/>
        </w:pBdr>
        <w:spacing w:before="320" w:after="160"/>
      </w:pPr>
      <w:r>
        <w:rPr>
          <w:b/>
          <w:bCs/>
          <w:color w:val="1F3A5F"/>
          <w:sz w:val="30"/>
          <w:szCs w:val="30"/>
        </w:rPr>
        <w:t>1. Overview</w:t>
      </w:r>
    </w:p>
    <w:p w14:paraId="340C99EB" w14:textId="77777777" w:rsidR="007B3193" w:rsidRDefault="00000000">
      <w:pPr>
        <w:spacing w:after="160" w:line="288" w:lineRule="auto"/>
      </w:pPr>
      <w:r>
        <w:rPr>
          <w:sz w:val="21"/>
          <w:szCs w:val="21"/>
        </w:rPr>
        <w:t>This tool lets a user pick a company, pick the financial metrics they care about, and pick a time period — and get back a clean, readable Excel file with those exact numbers, sourced directly from that company's SEC filings (10-K and 10-Q).</w:t>
      </w:r>
    </w:p>
    <w:p w14:paraId="6279902E" w14:textId="77777777" w:rsidR="007B3193" w:rsidRDefault="00000000">
      <w:pPr>
        <w:spacing w:after="160" w:line="288" w:lineRule="auto"/>
      </w:pPr>
      <w:r>
        <w:rPr>
          <w:sz w:val="21"/>
          <w:szCs w:val="21"/>
        </w:rPr>
        <w:t>No SQL, no code, no raw database columns. The user interacts with a simple form; the tool does the lookup, the matching, and the formatting behind the scenes.</w:t>
      </w:r>
    </w:p>
    <w:p w14:paraId="6C9D1D4F" w14:textId="77777777" w:rsidR="007B3193" w:rsidRDefault="00000000">
      <w:pPr>
        <w:pStyle w:val="Heading1"/>
        <w:pBdr>
          <w:bottom w:val="single" w:sz="6" w:space="4" w:color="1F3A5F"/>
        </w:pBdr>
        <w:spacing w:before="320" w:after="160"/>
      </w:pPr>
      <w:r>
        <w:rPr>
          <w:b/>
          <w:bCs/>
          <w:color w:val="1F3A5F"/>
          <w:sz w:val="30"/>
          <w:szCs w:val="30"/>
        </w:rPr>
        <w:t>2. Problem Statement</w:t>
      </w:r>
    </w:p>
    <w:p w14:paraId="627A4F6A" w14:textId="77777777" w:rsidR="007B3193" w:rsidRDefault="00000000">
      <w:pPr>
        <w:spacing w:after="160" w:line="288" w:lineRule="auto"/>
      </w:pPr>
      <w:r>
        <w:rPr>
          <w:sz w:val="21"/>
          <w:szCs w:val="21"/>
        </w:rPr>
        <w:t>Financial data buried inside SEC filings is not stored the same way from company to company, or even year to year. The same underlying number is often reported under different technical labels (XBRL tags) depending on the filing year, the accounting standard in effect, or the company's own reporting choices.</w:t>
      </w:r>
    </w:p>
    <w:p w14:paraId="09458F1F" w14:textId="77777777" w:rsidR="007B3193" w:rsidRDefault="00000000">
      <w:pPr>
        <w:spacing w:after="160" w:line="288" w:lineRule="auto"/>
      </w:pPr>
      <w:r>
        <w:rPr>
          <w:sz w:val="21"/>
          <w:szCs w:val="21"/>
        </w:rPr>
        <w:t>For example, Apple reported its revenue under the tag "Revenues" through 2018, then switched to a different tag ("</w:t>
      </w:r>
      <w:proofErr w:type="spellStart"/>
      <w:r>
        <w:rPr>
          <w:sz w:val="21"/>
          <w:szCs w:val="21"/>
        </w:rPr>
        <w:t>RevenueFromContractWithCustomerExcludingAssessedTax</w:t>
      </w:r>
      <w:proofErr w:type="spellEnd"/>
      <w:r>
        <w:rPr>
          <w:sz w:val="21"/>
          <w:szCs w:val="21"/>
        </w:rPr>
        <w:t>") from 2019 onward, when accounting rules changed. A simple lookup for one tag name silently returns nothing for the years it doesn't apply — which looks exactly like the company reporting no revenue, when it isn't true at all.</w:t>
      </w:r>
    </w:p>
    <w:p w14:paraId="4C90442B" w14:textId="77777777" w:rsidR="007B3193" w:rsidRDefault="00000000">
      <w:pPr>
        <w:spacing w:after="160" w:line="288" w:lineRule="auto"/>
      </w:pPr>
      <w:r>
        <w:rPr>
          <w:sz w:val="21"/>
          <w:szCs w:val="21"/>
        </w:rPr>
        <w:t>A person who wants a specific figure — say, a mortgage servicer's Mortgage Servicing Rights (MSR) balance or its revenue for a given year — today has no easy way to get it without either reading the filing manually or writing a database query by hand. This tool removes that barrier: it knows every possible tag name a metric could appear under, checks them in order, and always records exactly which one supplied the number, so nothing is silently missed or misattributed.</w:t>
      </w:r>
    </w:p>
    <w:p w14:paraId="55941065" w14:textId="77777777" w:rsidR="007B3193" w:rsidRDefault="00000000">
      <w:pPr>
        <w:pStyle w:val="Heading1"/>
        <w:pBdr>
          <w:bottom w:val="single" w:sz="6" w:space="4" w:color="1F3A5F"/>
        </w:pBdr>
        <w:spacing w:before="320" w:after="160"/>
      </w:pPr>
      <w:r>
        <w:rPr>
          <w:b/>
          <w:bCs/>
          <w:color w:val="1F3A5F"/>
          <w:sz w:val="30"/>
          <w:szCs w:val="30"/>
        </w:rPr>
        <w:t>3. Goals</w:t>
      </w:r>
    </w:p>
    <w:p w14:paraId="2C45C650" w14:textId="77777777" w:rsidR="007B3193" w:rsidRDefault="00000000">
      <w:pPr>
        <w:pStyle w:val="ListParagraph"/>
        <w:numPr>
          <w:ilvl w:val="0"/>
          <w:numId w:val="2"/>
        </w:numPr>
        <w:spacing w:after="80" w:line="276" w:lineRule="auto"/>
      </w:pPr>
      <w:r>
        <w:rPr>
          <w:sz w:val="21"/>
          <w:szCs w:val="21"/>
        </w:rPr>
        <w:t>Let a non-technical user select a company, a set of financial metrics, and a time period through a simple interface — no SQL, no code.</w:t>
      </w:r>
    </w:p>
    <w:p w14:paraId="0BD5B9D1" w14:textId="77777777" w:rsidR="007B3193" w:rsidRDefault="00000000">
      <w:pPr>
        <w:pStyle w:val="ListParagraph"/>
        <w:numPr>
          <w:ilvl w:val="0"/>
          <w:numId w:val="2"/>
        </w:numPr>
        <w:spacing w:after="80" w:line="276" w:lineRule="auto"/>
      </w:pPr>
      <w:r>
        <w:rPr>
          <w:sz w:val="21"/>
          <w:szCs w:val="21"/>
        </w:rPr>
        <w:t>Return the requested data as a clean, readable Excel spreadsheet — not a raw table dump.</w:t>
      </w:r>
    </w:p>
    <w:p w14:paraId="214636BB" w14:textId="77777777" w:rsidR="007B3193" w:rsidRDefault="00000000">
      <w:pPr>
        <w:pStyle w:val="ListParagraph"/>
        <w:numPr>
          <w:ilvl w:val="0"/>
          <w:numId w:val="2"/>
        </w:numPr>
        <w:spacing w:after="80" w:line="276" w:lineRule="auto"/>
      </w:pPr>
      <w:r>
        <w:rPr>
          <w:sz w:val="21"/>
          <w:szCs w:val="21"/>
        </w:rPr>
        <w:t>Ensure every number is traceable back to the exact SEC filing and tag it came from.</w:t>
      </w:r>
    </w:p>
    <w:p w14:paraId="1DAE796E" w14:textId="77777777" w:rsidR="007B3193" w:rsidRDefault="00000000">
      <w:pPr>
        <w:pStyle w:val="ListParagraph"/>
        <w:numPr>
          <w:ilvl w:val="0"/>
          <w:numId w:val="2"/>
        </w:numPr>
        <w:spacing w:after="80" w:line="276" w:lineRule="auto"/>
      </w:pPr>
      <w:r>
        <w:rPr>
          <w:sz w:val="21"/>
          <w:szCs w:val="21"/>
        </w:rPr>
        <w:t>Build the metric definitions around what a mortgage servicer's financials actually contain, confirmed against real filings rather than assumed.</w:t>
      </w:r>
    </w:p>
    <w:p w14:paraId="49752E1A" w14:textId="77777777" w:rsidR="007B3193" w:rsidRDefault="00000000">
      <w:pPr>
        <w:pStyle w:val="ListParagraph"/>
        <w:numPr>
          <w:ilvl w:val="0"/>
          <w:numId w:val="2"/>
        </w:numPr>
        <w:spacing w:after="80" w:line="276" w:lineRule="auto"/>
      </w:pPr>
      <w:r>
        <w:rPr>
          <w:sz w:val="21"/>
          <w:szCs w:val="21"/>
        </w:rPr>
        <w:t>Structure the tool so it can be extended to more companies, more metrics, and eventually other industries without redesigning the core system.</w:t>
      </w:r>
    </w:p>
    <w:p w14:paraId="57660520" w14:textId="77777777" w:rsidR="002D4B27" w:rsidRDefault="002D4B27">
      <w:pPr>
        <w:pStyle w:val="Heading1"/>
        <w:pBdr>
          <w:bottom w:val="single" w:sz="6" w:space="4" w:color="1F3A5F"/>
        </w:pBdr>
        <w:spacing w:before="320" w:after="160"/>
        <w:rPr>
          <w:b/>
          <w:bCs/>
          <w:color w:val="1F3A5F"/>
          <w:sz w:val="30"/>
          <w:szCs w:val="30"/>
        </w:rPr>
      </w:pPr>
    </w:p>
    <w:p w14:paraId="3BA81B34" w14:textId="77777777" w:rsidR="002D4B27" w:rsidRDefault="002D4B27">
      <w:pPr>
        <w:pStyle w:val="Heading1"/>
        <w:pBdr>
          <w:bottom w:val="single" w:sz="6" w:space="4" w:color="1F3A5F"/>
        </w:pBdr>
        <w:spacing w:before="320" w:after="160"/>
        <w:rPr>
          <w:b/>
          <w:bCs/>
          <w:color w:val="1F3A5F"/>
          <w:sz w:val="30"/>
          <w:szCs w:val="30"/>
        </w:rPr>
      </w:pPr>
    </w:p>
    <w:p w14:paraId="2F767DAD" w14:textId="7FDF7C14" w:rsidR="007B3193" w:rsidRDefault="00000000">
      <w:pPr>
        <w:pStyle w:val="Heading1"/>
        <w:pBdr>
          <w:bottom w:val="single" w:sz="6" w:space="4" w:color="1F3A5F"/>
        </w:pBdr>
        <w:spacing w:before="320" w:after="160"/>
      </w:pPr>
      <w:r>
        <w:rPr>
          <w:b/>
          <w:bCs/>
          <w:color w:val="1F3A5F"/>
          <w:sz w:val="30"/>
          <w:szCs w:val="30"/>
        </w:rPr>
        <w:t>4. Target User</w:t>
      </w:r>
    </w:p>
    <w:p w14:paraId="6FC034B4" w14:textId="77777777" w:rsidR="007B3193" w:rsidRDefault="00000000">
      <w:pPr>
        <w:spacing w:after="160" w:line="288" w:lineRule="auto"/>
      </w:pPr>
      <w:r>
        <w:rPr>
          <w:sz w:val="21"/>
          <w:szCs w:val="21"/>
        </w:rPr>
        <w:lastRenderedPageBreak/>
        <w:t>An analyst or associate who needs specific financial figures from a mortgage servicer's public filings, quickly, without writing code or knowing where in a 10-K/10-Q a particular number lives.</w:t>
      </w:r>
    </w:p>
    <w:p w14:paraId="3BB2DBF2" w14:textId="77777777" w:rsidR="007B3193" w:rsidRDefault="00000000">
      <w:pPr>
        <w:pStyle w:val="Heading1"/>
        <w:pBdr>
          <w:bottom w:val="single" w:sz="6" w:space="4" w:color="1F3A5F"/>
        </w:pBdr>
        <w:spacing w:before="320" w:after="160"/>
      </w:pPr>
      <w:r>
        <w:rPr>
          <w:b/>
          <w:bCs/>
          <w:color w:val="1F3A5F"/>
          <w:sz w:val="30"/>
          <w:szCs w:val="30"/>
        </w:rPr>
        <w:t>5. User Interface</w:t>
      </w:r>
    </w:p>
    <w:p w14:paraId="57ACA4CF" w14:textId="77777777" w:rsidR="007B3193" w:rsidRDefault="00000000">
      <w:pPr>
        <w:spacing w:after="160" w:line="288" w:lineRule="auto"/>
      </w:pPr>
      <w:r>
        <w:rPr>
          <w:sz w:val="21"/>
          <w:szCs w:val="21"/>
        </w:rPr>
        <w:t>The interface is a short, guided form — four steps, each simple enough to complete without any instructions.</w:t>
      </w:r>
    </w:p>
    <w:p w14:paraId="153B877F" w14:textId="77777777" w:rsidR="007B3193" w:rsidRDefault="00000000">
      <w:pPr>
        <w:pStyle w:val="Heading2"/>
        <w:spacing w:before="240" w:after="120"/>
      </w:pPr>
      <w:r>
        <w:rPr>
          <w:b/>
          <w:bCs/>
          <w:color w:val="1F3A5F"/>
          <w:sz w:val="24"/>
          <w:szCs w:val="24"/>
        </w:rPr>
        <w:t>Step 1 — Select a Company</w:t>
      </w:r>
    </w:p>
    <w:p w14:paraId="27C9D500" w14:textId="77777777" w:rsidR="007B3193" w:rsidRDefault="00000000">
      <w:pPr>
        <w:spacing w:after="160" w:line="288" w:lineRule="auto"/>
      </w:pPr>
      <w:r>
        <w:rPr>
          <w:sz w:val="21"/>
          <w:szCs w:val="21"/>
        </w:rPr>
        <w:t>A dropdown or search field listing the companies available in the tool (e.g. PennyMac Financial Services, Inc.). The user searches by name or ticker; no need to know a CIK or any internal identifier.</w:t>
      </w:r>
    </w:p>
    <w:p w14:paraId="04FD2DE1" w14:textId="77777777" w:rsidR="007B3193" w:rsidRDefault="00000000">
      <w:pPr>
        <w:pStyle w:val="Heading2"/>
        <w:spacing w:before="240" w:after="120"/>
      </w:pPr>
      <w:r>
        <w:rPr>
          <w:b/>
          <w:bCs/>
          <w:color w:val="1F3A5F"/>
          <w:sz w:val="24"/>
          <w:szCs w:val="24"/>
        </w:rPr>
        <w:t>Step 2 — Select Metrics</w:t>
      </w:r>
    </w:p>
    <w:p w14:paraId="7FD5D226" w14:textId="77777777" w:rsidR="007B3193" w:rsidRDefault="00000000">
      <w:pPr>
        <w:spacing w:after="160" w:line="288" w:lineRule="auto"/>
      </w:pPr>
      <w:r>
        <w:rPr>
          <w:sz w:val="21"/>
          <w:szCs w:val="21"/>
        </w:rPr>
        <w:t>A checklist of financial metrics, grouped by financial statement (Balance Sheet, Income Statement, Cash Flow), written in plain business language — never internal codes or XBRL tag names. For example:</w:t>
      </w:r>
    </w:p>
    <w:p w14:paraId="48EBEB99" w14:textId="77777777" w:rsidR="007B3193" w:rsidRDefault="007B3193">
      <w:pPr>
        <w:spacing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7B3193" w14:paraId="1B081B3C" w14:textId="77777777">
        <w:tblPrEx>
          <w:tblCellMar>
            <w:top w:w="0" w:type="dxa"/>
            <w:bottom w:w="0" w:type="dxa"/>
          </w:tblCellMar>
        </w:tblPrEx>
        <w:trPr>
          <w:tblHeader/>
        </w:trPr>
        <w:tc>
          <w:tcPr>
            <w:tcW w:w="3200" w:type="dxa"/>
            <w:shd w:val="clear" w:color="auto" w:fill="1F3A5F"/>
            <w:tcMar>
              <w:top w:w="80" w:type="dxa"/>
              <w:left w:w="120" w:type="dxa"/>
              <w:bottom w:w="80" w:type="dxa"/>
              <w:right w:w="120" w:type="dxa"/>
            </w:tcMar>
          </w:tcPr>
          <w:p w14:paraId="1DBA26B9" w14:textId="77777777" w:rsidR="007B3193" w:rsidRDefault="00000000">
            <w:r>
              <w:rPr>
                <w:b/>
                <w:bCs/>
                <w:color w:val="FFFFFF"/>
              </w:rPr>
              <w:t>Category</w:t>
            </w:r>
          </w:p>
        </w:tc>
        <w:tc>
          <w:tcPr>
            <w:tcW w:w="6200" w:type="dxa"/>
            <w:shd w:val="clear" w:color="auto" w:fill="1F3A5F"/>
            <w:tcMar>
              <w:top w:w="80" w:type="dxa"/>
              <w:left w:w="120" w:type="dxa"/>
              <w:bottom w:w="80" w:type="dxa"/>
              <w:right w:w="120" w:type="dxa"/>
            </w:tcMar>
          </w:tcPr>
          <w:p w14:paraId="096C4E64" w14:textId="77777777" w:rsidR="007B3193" w:rsidRDefault="00000000">
            <w:r>
              <w:rPr>
                <w:b/>
                <w:bCs/>
                <w:color w:val="FFFFFF"/>
              </w:rPr>
              <w:t>Metric (shown to user)</w:t>
            </w:r>
          </w:p>
        </w:tc>
      </w:tr>
      <w:tr w:rsidR="007B3193" w14:paraId="41E9E29D"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21099C86" w14:textId="77777777" w:rsidR="007B3193" w:rsidRDefault="00000000">
            <w:r>
              <w:rPr>
                <w:color w:val="000000"/>
              </w:rPr>
              <w:t>Balance Sheet</w:t>
            </w:r>
          </w:p>
        </w:tc>
        <w:tc>
          <w:tcPr>
            <w:tcW w:w="6200" w:type="dxa"/>
            <w:shd w:val="clear" w:color="auto" w:fill="FFFFFF"/>
            <w:tcMar>
              <w:top w:w="80" w:type="dxa"/>
              <w:left w:w="120" w:type="dxa"/>
              <w:bottom w:w="80" w:type="dxa"/>
              <w:right w:w="120" w:type="dxa"/>
            </w:tcMar>
          </w:tcPr>
          <w:p w14:paraId="08C67E59" w14:textId="77777777" w:rsidR="007B3193" w:rsidRDefault="00000000">
            <w:r>
              <w:rPr>
                <w:color w:val="000000"/>
              </w:rPr>
              <w:t>Mortgage Servicing Rights (MSR)</w:t>
            </w:r>
          </w:p>
        </w:tc>
      </w:tr>
      <w:tr w:rsidR="007B3193" w14:paraId="0187A58B" w14:textId="77777777">
        <w:tblPrEx>
          <w:tblCellMar>
            <w:top w:w="0" w:type="dxa"/>
            <w:bottom w:w="0" w:type="dxa"/>
          </w:tblCellMar>
        </w:tblPrEx>
        <w:tc>
          <w:tcPr>
            <w:tcW w:w="3200" w:type="dxa"/>
            <w:shd w:val="clear" w:color="auto" w:fill="EAF0F6"/>
            <w:tcMar>
              <w:top w:w="80" w:type="dxa"/>
              <w:left w:w="120" w:type="dxa"/>
              <w:bottom w:w="80" w:type="dxa"/>
              <w:right w:w="120" w:type="dxa"/>
            </w:tcMar>
          </w:tcPr>
          <w:p w14:paraId="44A78969" w14:textId="77777777" w:rsidR="007B3193" w:rsidRDefault="00000000">
            <w:r>
              <w:rPr>
                <w:color w:val="000000"/>
              </w:rPr>
              <w:t>Income Statement</w:t>
            </w:r>
          </w:p>
        </w:tc>
        <w:tc>
          <w:tcPr>
            <w:tcW w:w="6200" w:type="dxa"/>
            <w:shd w:val="clear" w:color="auto" w:fill="EAF0F6"/>
            <w:tcMar>
              <w:top w:w="80" w:type="dxa"/>
              <w:left w:w="120" w:type="dxa"/>
              <w:bottom w:w="80" w:type="dxa"/>
              <w:right w:w="120" w:type="dxa"/>
            </w:tcMar>
          </w:tcPr>
          <w:p w14:paraId="6A4F5BF5" w14:textId="77777777" w:rsidR="007B3193" w:rsidRDefault="00000000">
            <w:r>
              <w:rPr>
                <w:color w:val="000000"/>
              </w:rPr>
              <w:t>Revenue</w:t>
            </w:r>
          </w:p>
        </w:tc>
      </w:tr>
    </w:tbl>
    <w:p w14:paraId="6162F528" w14:textId="22C35F99" w:rsidR="007B3193" w:rsidRDefault="007B3193">
      <w:pPr>
        <w:spacing w:after="160" w:line="288" w:lineRule="auto"/>
      </w:pPr>
    </w:p>
    <w:p w14:paraId="2C63F5B2" w14:textId="77777777" w:rsidR="007B3193" w:rsidRDefault="00000000">
      <w:pPr>
        <w:spacing w:after="160" w:line="288" w:lineRule="auto"/>
      </w:pPr>
      <w:r>
        <w:rPr>
          <w:sz w:val="21"/>
          <w:szCs w:val="21"/>
        </w:rPr>
        <w:t>The user can select one metric or several. The checklist is generated from a configuration behind the scenes, not hardcoded into the interface — updating the available metrics does not require a UI redesign.</w:t>
      </w:r>
    </w:p>
    <w:p w14:paraId="11D5724D" w14:textId="77777777" w:rsidR="007B3193" w:rsidRDefault="00000000">
      <w:pPr>
        <w:pStyle w:val="Heading2"/>
        <w:spacing w:before="240" w:after="120"/>
      </w:pPr>
      <w:r>
        <w:rPr>
          <w:b/>
          <w:bCs/>
          <w:color w:val="1F3A5F"/>
          <w:sz w:val="24"/>
          <w:szCs w:val="24"/>
        </w:rPr>
        <w:t>Step 3 — Select Time Period</w:t>
      </w:r>
    </w:p>
    <w:p w14:paraId="448EB622" w14:textId="77777777" w:rsidR="007B3193" w:rsidRDefault="00000000">
      <w:pPr>
        <w:spacing w:after="160" w:line="288" w:lineRule="auto"/>
      </w:pPr>
      <w:r>
        <w:rPr>
          <w:sz w:val="21"/>
          <w:szCs w:val="21"/>
        </w:rPr>
        <w:t>Two simple controls:</w:t>
      </w:r>
    </w:p>
    <w:p w14:paraId="31EE1F1A" w14:textId="77777777" w:rsidR="007B3193" w:rsidRDefault="00000000">
      <w:pPr>
        <w:pStyle w:val="ListParagraph"/>
        <w:numPr>
          <w:ilvl w:val="0"/>
          <w:numId w:val="3"/>
        </w:numPr>
        <w:spacing w:after="80" w:line="276" w:lineRule="auto"/>
      </w:pPr>
      <w:r>
        <w:rPr>
          <w:sz w:val="21"/>
          <w:szCs w:val="21"/>
        </w:rPr>
        <w:t>Year(s): multi-select, e.g. 2023, 2024, 2025.</w:t>
      </w:r>
    </w:p>
    <w:p w14:paraId="172BFFBD" w14:textId="77777777" w:rsidR="007B3193" w:rsidRDefault="00000000">
      <w:pPr>
        <w:pStyle w:val="ListParagraph"/>
        <w:numPr>
          <w:ilvl w:val="0"/>
          <w:numId w:val="3"/>
        </w:numPr>
        <w:spacing w:after="80" w:line="276" w:lineRule="auto"/>
      </w:pPr>
      <w:r>
        <w:rPr>
          <w:sz w:val="21"/>
          <w:szCs w:val="21"/>
        </w:rPr>
        <w:t>Period type: Annual (from 10-K filings) or Quarterly (from 10-Q filings) — a single toggle.</w:t>
      </w:r>
    </w:p>
    <w:p w14:paraId="0DFEC098" w14:textId="77777777" w:rsidR="007B3193" w:rsidRDefault="00000000">
      <w:pPr>
        <w:spacing w:after="160" w:line="288" w:lineRule="auto"/>
      </w:pPr>
      <w:r>
        <w:rPr>
          <w:sz w:val="21"/>
          <w:szCs w:val="21"/>
        </w:rPr>
        <w:t>The tool enforces the correct pairing automatically: an Annual request pulls from 10-K data; a Quarterly request pulls from 10-Q data. The user never needs to know this distinction exists.</w:t>
      </w:r>
    </w:p>
    <w:p w14:paraId="012F2CE9" w14:textId="77777777" w:rsidR="007B3193" w:rsidRDefault="00000000">
      <w:pPr>
        <w:pStyle w:val="Heading2"/>
        <w:spacing w:before="240" w:after="120"/>
      </w:pPr>
      <w:r>
        <w:rPr>
          <w:b/>
          <w:bCs/>
          <w:color w:val="1F3A5F"/>
          <w:sz w:val="24"/>
          <w:szCs w:val="24"/>
        </w:rPr>
        <w:t>Step 4 — Generate the Output</w:t>
      </w:r>
    </w:p>
    <w:p w14:paraId="09DAA823" w14:textId="77777777" w:rsidR="007B3193" w:rsidRDefault="00000000">
      <w:pPr>
        <w:spacing w:after="160" w:line="288" w:lineRule="auto"/>
      </w:pPr>
      <w:r>
        <w:rPr>
          <w:sz w:val="21"/>
          <w:szCs w:val="21"/>
        </w:rPr>
        <w:t>One button: "Generate Report." The request is sent to the backend, which returns a downloadable Excel file within seconds.</w:t>
      </w:r>
    </w:p>
    <w:p w14:paraId="2470F0C1" w14:textId="77777777" w:rsidR="007B3193" w:rsidRDefault="00000000">
      <w:pPr>
        <w:pStyle w:val="Heading2"/>
        <w:spacing w:before="240" w:after="120"/>
      </w:pPr>
      <w:r>
        <w:rPr>
          <w:b/>
          <w:bCs/>
          <w:color w:val="1F3A5F"/>
          <w:sz w:val="24"/>
          <w:szCs w:val="24"/>
        </w:rPr>
        <w:t>Output Preview</w:t>
      </w:r>
    </w:p>
    <w:p w14:paraId="1BD0D746" w14:textId="77777777" w:rsidR="007B3193" w:rsidRDefault="00000000">
      <w:pPr>
        <w:spacing w:after="160" w:line="288" w:lineRule="auto"/>
      </w:pPr>
      <w:r>
        <w:rPr>
          <w:sz w:val="21"/>
          <w:szCs w:val="21"/>
        </w:rPr>
        <w:t>Example — Revenue and MSR for PennyMac (PFSI):</w:t>
      </w:r>
    </w:p>
    <w:p w14:paraId="35DF4846" w14:textId="77777777" w:rsidR="007B3193" w:rsidRDefault="007B3193">
      <w:pPr>
        <w:spacing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00"/>
        <w:gridCol w:w="2600"/>
      </w:tblGrid>
      <w:tr w:rsidR="007B3193" w14:paraId="2B8F9CC4" w14:textId="77777777">
        <w:tblPrEx>
          <w:tblCellMar>
            <w:top w:w="0" w:type="dxa"/>
            <w:bottom w:w="0" w:type="dxa"/>
          </w:tblCellMar>
        </w:tblPrEx>
        <w:trPr>
          <w:tblHeader/>
        </w:trPr>
        <w:tc>
          <w:tcPr>
            <w:tcW w:w="4200" w:type="dxa"/>
            <w:shd w:val="clear" w:color="auto" w:fill="1F3A5F"/>
            <w:tcMar>
              <w:top w:w="80" w:type="dxa"/>
              <w:left w:w="120" w:type="dxa"/>
              <w:bottom w:w="80" w:type="dxa"/>
              <w:right w:w="120" w:type="dxa"/>
            </w:tcMar>
          </w:tcPr>
          <w:p w14:paraId="51E46B3A" w14:textId="77777777" w:rsidR="007B3193" w:rsidRDefault="00000000">
            <w:r>
              <w:rPr>
                <w:b/>
                <w:bCs/>
                <w:color w:val="FFFFFF"/>
              </w:rPr>
              <w:t>Metric</w:t>
            </w:r>
          </w:p>
        </w:tc>
        <w:tc>
          <w:tcPr>
            <w:tcW w:w="2600" w:type="dxa"/>
            <w:shd w:val="clear" w:color="auto" w:fill="1F3A5F"/>
            <w:tcMar>
              <w:top w:w="80" w:type="dxa"/>
              <w:left w:w="120" w:type="dxa"/>
              <w:bottom w:w="80" w:type="dxa"/>
              <w:right w:w="120" w:type="dxa"/>
            </w:tcMar>
          </w:tcPr>
          <w:p w14:paraId="42F25E4C" w14:textId="77777777" w:rsidR="007B3193" w:rsidRDefault="00000000">
            <w:r>
              <w:rPr>
                <w:b/>
                <w:bCs/>
                <w:color w:val="FFFFFF"/>
              </w:rPr>
              <w:t>FY2023</w:t>
            </w:r>
          </w:p>
        </w:tc>
        <w:tc>
          <w:tcPr>
            <w:tcW w:w="2600" w:type="dxa"/>
            <w:shd w:val="clear" w:color="auto" w:fill="1F3A5F"/>
            <w:tcMar>
              <w:top w:w="80" w:type="dxa"/>
              <w:left w:w="120" w:type="dxa"/>
              <w:bottom w:w="80" w:type="dxa"/>
              <w:right w:w="120" w:type="dxa"/>
            </w:tcMar>
          </w:tcPr>
          <w:p w14:paraId="6718555C" w14:textId="77777777" w:rsidR="007B3193" w:rsidRDefault="00000000">
            <w:r>
              <w:rPr>
                <w:b/>
                <w:bCs/>
                <w:color w:val="FFFFFF"/>
              </w:rPr>
              <w:t>FY2024</w:t>
            </w:r>
          </w:p>
        </w:tc>
      </w:tr>
      <w:tr w:rsidR="007B3193" w14:paraId="5809580F" w14:textId="77777777">
        <w:tblPrEx>
          <w:tblCellMar>
            <w:top w:w="0" w:type="dxa"/>
            <w:bottom w:w="0" w:type="dxa"/>
          </w:tblCellMar>
        </w:tblPrEx>
        <w:tc>
          <w:tcPr>
            <w:tcW w:w="4200" w:type="dxa"/>
            <w:shd w:val="clear" w:color="auto" w:fill="FFFFFF"/>
            <w:tcMar>
              <w:top w:w="80" w:type="dxa"/>
              <w:left w:w="120" w:type="dxa"/>
              <w:bottom w:w="80" w:type="dxa"/>
              <w:right w:w="120" w:type="dxa"/>
            </w:tcMar>
          </w:tcPr>
          <w:p w14:paraId="3F7DC5B9" w14:textId="77777777" w:rsidR="007B3193" w:rsidRDefault="00000000">
            <w:r>
              <w:rPr>
                <w:color w:val="000000"/>
              </w:rPr>
              <w:t>Revenue</w:t>
            </w:r>
          </w:p>
        </w:tc>
        <w:tc>
          <w:tcPr>
            <w:tcW w:w="2600" w:type="dxa"/>
            <w:shd w:val="clear" w:color="auto" w:fill="FFFFFF"/>
            <w:tcMar>
              <w:top w:w="80" w:type="dxa"/>
              <w:left w:w="120" w:type="dxa"/>
              <w:bottom w:w="80" w:type="dxa"/>
              <w:right w:w="120" w:type="dxa"/>
            </w:tcMar>
          </w:tcPr>
          <w:p w14:paraId="57171EBA" w14:textId="77777777" w:rsidR="007B3193" w:rsidRDefault="00000000">
            <w:r>
              <w:rPr>
                <w:color w:val="000000"/>
              </w:rPr>
              <w:t>$1,432,110,000</w:t>
            </w:r>
          </w:p>
        </w:tc>
        <w:tc>
          <w:tcPr>
            <w:tcW w:w="2600" w:type="dxa"/>
            <w:shd w:val="clear" w:color="auto" w:fill="FFFFFF"/>
            <w:tcMar>
              <w:top w:w="80" w:type="dxa"/>
              <w:left w:w="120" w:type="dxa"/>
              <w:bottom w:w="80" w:type="dxa"/>
              <w:right w:w="120" w:type="dxa"/>
            </w:tcMar>
          </w:tcPr>
          <w:p w14:paraId="2D029B37" w14:textId="77777777" w:rsidR="007B3193" w:rsidRDefault="00000000">
            <w:r>
              <w:rPr>
                <w:color w:val="000000"/>
              </w:rPr>
              <w:t>$1,588,760,000</w:t>
            </w:r>
          </w:p>
        </w:tc>
      </w:tr>
      <w:tr w:rsidR="007B3193" w14:paraId="21DA0274" w14:textId="77777777">
        <w:tblPrEx>
          <w:tblCellMar>
            <w:top w:w="0" w:type="dxa"/>
            <w:bottom w:w="0" w:type="dxa"/>
          </w:tblCellMar>
        </w:tblPrEx>
        <w:tc>
          <w:tcPr>
            <w:tcW w:w="4200" w:type="dxa"/>
            <w:shd w:val="clear" w:color="auto" w:fill="EAF0F6"/>
            <w:tcMar>
              <w:top w:w="80" w:type="dxa"/>
              <w:left w:w="120" w:type="dxa"/>
              <w:bottom w:w="80" w:type="dxa"/>
              <w:right w:w="120" w:type="dxa"/>
            </w:tcMar>
          </w:tcPr>
          <w:p w14:paraId="7984116F" w14:textId="77777777" w:rsidR="007B3193" w:rsidRDefault="00000000">
            <w:r>
              <w:rPr>
                <w:color w:val="000000"/>
              </w:rPr>
              <w:t>Mortgage Servicing Rights (MSR)</w:t>
            </w:r>
          </w:p>
        </w:tc>
        <w:tc>
          <w:tcPr>
            <w:tcW w:w="2600" w:type="dxa"/>
            <w:shd w:val="clear" w:color="auto" w:fill="EAF0F6"/>
            <w:tcMar>
              <w:top w:w="80" w:type="dxa"/>
              <w:left w:w="120" w:type="dxa"/>
              <w:bottom w:w="80" w:type="dxa"/>
              <w:right w:w="120" w:type="dxa"/>
            </w:tcMar>
          </w:tcPr>
          <w:p w14:paraId="5A9DD54B" w14:textId="77777777" w:rsidR="007B3193" w:rsidRDefault="00000000">
            <w:r>
              <w:rPr>
                <w:color w:val="000000"/>
              </w:rPr>
              <w:t>$5,214,880,000</w:t>
            </w:r>
          </w:p>
        </w:tc>
        <w:tc>
          <w:tcPr>
            <w:tcW w:w="2600" w:type="dxa"/>
            <w:shd w:val="clear" w:color="auto" w:fill="EAF0F6"/>
            <w:tcMar>
              <w:top w:w="80" w:type="dxa"/>
              <w:left w:w="120" w:type="dxa"/>
              <w:bottom w:w="80" w:type="dxa"/>
              <w:right w:w="120" w:type="dxa"/>
            </w:tcMar>
          </w:tcPr>
          <w:p w14:paraId="740C95C1" w14:textId="77777777" w:rsidR="007B3193" w:rsidRDefault="00000000">
            <w:r>
              <w:rPr>
                <w:color w:val="000000"/>
              </w:rPr>
              <w:t>$5,602,110,000</w:t>
            </w:r>
          </w:p>
        </w:tc>
      </w:tr>
    </w:tbl>
    <w:p w14:paraId="439CE100" w14:textId="77777777" w:rsidR="007B3193" w:rsidRDefault="007B3193">
      <w:pPr>
        <w:spacing w:after="80"/>
      </w:pPr>
    </w:p>
    <w:p w14:paraId="1DED2C91" w14:textId="77777777" w:rsidR="007B3193" w:rsidRDefault="00000000">
      <w:pPr>
        <w:pStyle w:val="Heading1"/>
        <w:pBdr>
          <w:bottom w:val="single" w:sz="6" w:space="4" w:color="1F3A5F"/>
        </w:pBdr>
        <w:spacing w:before="320" w:after="160"/>
      </w:pPr>
      <w:r>
        <w:rPr>
          <w:b/>
          <w:bCs/>
          <w:color w:val="1F3A5F"/>
          <w:sz w:val="30"/>
          <w:szCs w:val="30"/>
        </w:rPr>
        <w:lastRenderedPageBreak/>
        <w:t>6. Backend Design</w:t>
      </w:r>
    </w:p>
    <w:p w14:paraId="2ED368CE" w14:textId="77777777" w:rsidR="007B3193" w:rsidRDefault="00000000">
      <w:pPr>
        <w:spacing w:after="160" w:line="288" w:lineRule="auto"/>
      </w:pPr>
      <w:r>
        <w:rPr>
          <w:sz w:val="21"/>
          <w:szCs w:val="21"/>
        </w:rPr>
        <w:t>The backend has four responsibilities, executed in order whenever a user submits a request.</w:t>
      </w:r>
    </w:p>
    <w:p w14:paraId="7F686E2A" w14:textId="77777777" w:rsidR="007B3193" w:rsidRDefault="00000000">
      <w:pPr>
        <w:pStyle w:val="Heading2"/>
        <w:spacing w:before="240" w:after="120"/>
      </w:pPr>
      <w:r>
        <w:rPr>
          <w:b/>
          <w:bCs/>
          <w:color w:val="1F3A5F"/>
          <w:sz w:val="24"/>
          <w:szCs w:val="24"/>
        </w:rPr>
        <w:t>6.1 Resolve the Company</w:t>
      </w:r>
    </w:p>
    <w:p w14:paraId="64573E76" w14:textId="77777777" w:rsidR="007B3193" w:rsidRDefault="00000000">
      <w:pPr>
        <w:spacing w:after="160" w:line="288" w:lineRule="auto"/>
      </w:pPr>
      <w:r>
        <w:rPr>
          <w:sz w:val="21"/>
          <w:szCs w:val="21"/>
        </w:rPr>
        <w:t>Translate the company selected in the UI into its SEC identifier (CIK). This mapping is maintained centrally so new companies can be added by updating one list, not the interface.</w:t>
      </w:r>
    </w:p>
    <w:p w14:paraId="020422CB" w14:textId="77777777" w:rsidR="007B3193" w:rsidRDefault="00000000">
      <w:pPr>
        <w:pStyle w:val="Heading2"/>
        <w:spacing w:before="240" w:after="120"/>
      </w:pPr>
      <w:r>
        <w:rPr>
          <w:b/>
          <w:bCs/>
          <w:color w:val="1F3A5F"/>
          <w:sz w:val="24"/>
          <w:szCs w:val="24"/>
        </w:rPr>
        <w:t>6.2 Fetch the Filing Data</w:t>
      </w:r>
    </w:p>
    <w:p w14:paraId="73B764C3" w14:textId="77777777" w:rsidR="007B3193" w:rsidRDefault="00000000">
      <w:pPr>
        <w:spacing w:after="160" w:line="288" w:lineRule="auto"/>
      </w:pPr>
      <w:r>
        <w:rPr>
          <w:sz w:val="21"/>
          <w:szCs w:val="21"/>
        </w:rPr>
        <w:t>Retrieve the company's structured financial data (XBRL facts) from SEC's EDGAR system, covering its 10-K and 10-Q filings. This layer handles rate limits, retries, and caching so repeated requests don't re-download the same data unnecessarily.</w:t>
      </w:r>
    </w:p>
    <w:p w14:paraId="5DA194B0" w14:textId="77777777" w:rsidR="007B3193" w:rsidRDefault="00000000">
      <w:pPr>
        <w:pStyle w:val="Heading2"/>
        <w:spacing w:before="240" w:after="120"/>
      </w:pPr>
      <w:r>
        <w:rPr>
          <w:b/>
          <w:bCs/>
          <w:color w:val="1F3A5F"/>
          <w:sz w:val="24"/>
          <w:szCs w:val="24"/>
        </w:rPr>
        <w:t>6.3 Match Metrics to Tags</w:t>
      </w:r>
    </w:p>
    <w:p w14:paraId="1AD1FA7B" w14:textId="77777777" w:rsidR="007B3193" w:rsidRDefault="00000000">
      <w:pPr>
        <w:spacing w:after="160" w:line="288" w:lineRule="auto"/>
      </w:pPr>
      <w:r>
        <w:rPr>
          <w:sz w:val="21"/>
          <w:szCs w:val="21"/>
        </w:rPr>
        <w:t>Each metric the user can select (e.g. "Revenue", "MSR") is defined internally as an ordered list of candidate technical tag names — because, as described in the Problem Statement, a single metric can be reported under different tag names across different years or filers. The backend checks each candidate tag in order and uses the first one with data for the requested period, recording which tag was actually used.</w:t>
      </w:r>
    </w:p>
    <w:p w14:paraId="048312A9" w14:textId="77777777" w:rsidR="007B3193" w:rsidRDefault="00000000">
      <w:pPr>
        <w:spacing w:after="160" w:line="288" w:lineRule="auto"/>
      </w:pPr>
      <w:r>
        <w:rPr>
          <w:sz w:val="21"/>
          <w:szCs w:val="21"/>
        </w:rPr>
        <w:t>Every metric available in the tool has been verified against a real company's actual filings before being made selectable — no metric is offered on the assumption that a tag "should" exist without confirming it does.</w:t>
      </w:r>
    </w:p>
    <w:p w14:paraId="336F85EF" w14:textId="77777777" w:rsidR="007B3193" w:rsidRDefault="00000000">
      <w:pPr>
        <w:pStyle w:val="Heading2"/>
        <w:spacing w:before="240" w:after="120"/>
      </w:pPr>
      <w:r>
        <w:rPr>
          <w:b/>
          <w:bCs/>
          <w:color w:val="1F3A5F"/>
          <w:sz w:val="24"/>
          <w:szCs w:val="24"/>
        </w:rPr>
        <w:t>6.4 Normalize, Validate, and Generate Output</w:t>
      </w:r>
    </w:p>
    <w:p w14:paraId="5871DF90" w14:textId="77777777" w:rsidR="007B3193" w:rsidRDefault="00000000">
      <w:pPr>
        <w:spacing w:after="160" w:line="288" w:lineRule="auto"/>
      </w:pPr>
      <w:r>
        <w:rPr>
          <w:sz w:val="21"/>
          <w:szCs w:val="21"/>
        </w:rPr>
        <w:t>Raw figures are cleaned and organized before being handed to the output layer:</w:t>
      </w:r>
    </w:p>
    <w:p w14:paraId="239A8AEE" w14:textId="77777777" w:rsidR="007B3193" w:rsidRDefault="00000000">
      <w:pPr>
        <w:pStyle w:val="ListParagraph"/>
        <w:numPr>
          <w:ilvl w:val="0"/>
          <w:numId w:val="3"/>
        </w:numPr>
        <w:spacing w:after="80" w:line="276" w:lineRule="auto"/>
      </w:pPr>
      <w:r>
        <w:rPr>
          <w:sz w:val="21"/>
          <w:szCs w:val="21"/>
        </w:rPr>
        <w:t>Periods are classified correctly (a full year vs. a single quarter vs. a year-to-date figure), since filings often report more than one period length for the same end date.</w:t>
      </w:r>
    </w:p>
    <w:p w14:paraId="7AD08A59" w14:textId="77777777" w:rsidR="007B3193" w:rsidRDefault="00000000">
      <w:pPr>
        <w:pStyle w:val="ListParagraph"/>
        <w:numPr>
          <w:ilvl w:val="0"/>
          <w:numId w:val="3"/>
        </w:numPr>
        <w:spacing w:after="80" w:line="276" w:lineRule="auto"/>
      </w:pPr>
      <w:r>
        <w:rPr>
          <w:sz w:val="21"/>
          <w:szCs w:val="21"/>
        </w:rPr>
        <w:t>When the same period is reported with different values across multiple filings (a restatement), the most recent figure is used as the primary value, while the earlier figure is preserved for traceability rather than discarded.</w:t>
      </w:r>
    </w:p>
    <w:p w14:paraId="2D5879E2" w14:textId="77777777" w:rsidR="007B3193" w:rsidRDefault="00000000">
      <w:pPr>
        <w:pStyle w:val="ListParagraph"/>
        <w:numPr>
          <w:ilvl w:val="0"/>
          <w:numId w:val="3"/>
        </w:numPr>
        <w:spacing w:after="80" w:line="276" w:lineRule="auto"/>
      </w:pPr>
      <w:r>
        <w:rPr>
          <w:sz w:val="21"/>
          <w:szCs w:val="21"/>
        </w:rPr>
        <w:t>Figures that look unusual — a sudden large swing versus the prior period, or a value sourced from a fallback tag rather than the preferred one — are flagged for review rather than hidden.</w:t>
      </w:r>
    </w:p>
    <w:p w14:paraId="3648AF30" w14:textId="77777777" w:rsidR="007B3193" w:rsidRDefault="00000000">
      <w:pPr>
        <w:pStyle w:val="ListParagraph"/>
        <w:numPr>
          <w:ilvl w:val="0"/>
          <w:numId w:val="3"/>
        </w:numPr>
        <w:spacing w:after="80" w:line="276" w:lineRule="auto"/>
      </w:pPr>
      <w:r>
        <w:rPr>
          <w:sz w:val="21"/>
          <w:szCs w:val="21"/>
        </w:rPr>
        <w:t>The final, validated figures are formatted into the Excel output described in Section 5, including the "Source &amp; Provenance" detail (filing type, filing date, and tag) behind each number.</w:t>
      </w:r>
    </w:p>
    <w:p w14:paraId="1D75A758" w14:textId="77777777" w:rsidR="007B3193" w:rsidRDefault="00000000">
      <w:pPr>
        <w:pStyle w:val="Heading2"/>
        <w:spacing w:before="240" w:after="120"/>
      </w:pPr>
      <w:r>
        <w:rPr>
          <w:b/>
          <w:bCs/>
          <w:color w:val="1F3A5F"/>
          <w:sz w:val="24"/>
          <w:szCs w:val="24"/>
        </w:rPr>
        <w:t>6.5 Data Flow Summary</w:t>
      </w:r>
    </w:p>
    <w:p w14:paraId="45A1ABD1" w14:textId="77777777" w:rsidR="007B3193" w:rsidRDefault="00000000">
      <w:pPr>
        <w:spacing w:after="160" w:line="288" w:lineRule="auto"/>
      </w:pPr>
      <w:r>
        <w:rPr>
          <w:sz w:val="21"/>
          <w:szCs w:val="21"/>
        </w:rPr>
        <w:t>User selection (company, metrics, period) → Resolve company → Fetch filings data → Match metrics to confirmed tags → Normalize and validate → Generate Excel → Return to user.</w:t>
      </w:r>
    </w:p>
    <w:p w14:paraId="66494A63" w14:textId="77777777" w:rsidR="007B3193" w:rsidRDefault="00000000">
      <w:pPr>
        <w:pStyle w:val="Heading1"/>
        <w:pBdr>
          <w:bottom w:val="single" w:sz="6" w:space="4" w:color="1F3A5F"/>
        </w:pBdr>
        <w:spacing w:before="320" w:after="160"/>
      </w:pPr>
      <w:r>
        <w:rPr>
          <w:b/>
          <w:bCs/>
          <w:color w:val="1F3A5F"/>
          <w:sz w:val="30"/>
          <w:szCs w:val="30"/>
        </w:rPr>
        <w:t>7. Traceability &amp; Trust</w:t>
      </w:r>
    </w:p>
    <w:p w14:paraId="24B7B386" w14:textId="77777777" w:rsidR="007B3193" w:rsidRDefault="00000000">
      <w:pPr>
        <w:spacing w:after="160" w:line="288" w:lineRule="auto"/>
      </w:pPr>
      <w:r>
        <w:rPr>
          <w:sz w:val="21"/>
          <w:szCs w:val="21"/>
        </w:rPr>
        <w:t>Every number the tool produces can be traced back to exactly which filing (form type, filing date, accession number) and which underlying tag supplied it. This is not an optional add-on — it is the mechanism that lets a user, or anyone reviewing the output later, verify a figure against the original SEC filing rather than trusting the tool blindly.</w:t>
      </w:r>
    </w:p>
    <w:p w14:paraId="366EE350" w14:textId="77777777" w:rsidR="007B3193" w:rsidRDefault="00000000">
      <w:pPr>
        <w:pStyle w:val="Heading1"/>
        <w:pBdr>
          <w:bottom w:val="single" w:sz="6" w:space="4" w:color="1F3A5F"/>
        </w:pBdr>
        <w:spacing w:before="320" w:after="160"/>
      </w:pPr>
      <w:r>
        <w:rPr>
          <w:b/>
          <w:bCs/>
          <w:color w:val="1F3A5F"/>
          <w:sz w:val="30"/>
          <w:szCs w:val="30"/>
        </w:rPr>
        <w:t>8. Designed for Extensibility</w:t>
      </w:r>
    </w:p>
    <w:p w14:paraId="5713406A" w14:textId="77777777" w:rsidR="007B3193" w:rsidRDefault="00000000">
      <w:pPr>
        <w:spacing w:after="160" w:line="288" w:lineRule="auto"/>
      </w:pPr>
      <w:r>
        <w:rPr>
          <w:sz w:val="21"/>
          <w:szCs w:val="21"/>
        </w:rPr>
        <w:lastRenderedPageBreak/>
        <w:t>Different companies, and eventually different industries, track different financial metrics. The system is structured so that growth is configuration, not a rebuild:</w:t>
      </w:r>
    </w:p>
    <w:p w14:paraId="189AFFDF" w14:textId="77777777" w:rsidR="007B3193" w:rsidRDefault="00000000">
      <w:pPr>
        <w:pStyle w:val="ListParagraph"/>
        <w:numPr>
          <w:ilvl w:val="0"/>
          <w:numId w:val="3"/>
        </w:numPr>
        <w:spacing w:after="80" w:line="276" w:lineRule="auto"/>
      </w:pPr>
      <w:r>
        <w:rPr>
          <w:sz w:val="21"/>
          <w:szCs w:val="21"/>
        </w:rPr>
        <w:t>Companies: adding a new company means adding its identifier to a list — no interface or backend logic changes.</w:t>
      </w:r>
    </w:p>
    <w:p w14:paraId="0D56CDEE" w14:textId="77777777" w:rsidR="007B3193" w:rsidRDefault="00000000">
      <w:pPr>
        <w:pStyle w:val="ListParagraph"/>
        <w:numPr>
          <w:ilvl w:val="0"/>
          <w:numId w:val="3"/>
        </w:numPr>
        <w:spacing w:after="80" w:line="276" w:lineRule="auto"/>
      </w:pPr>
      <w:r>
        <w:rPr>
          <w:sz w:val="21"/>
          <w:szCs w:val="21"/>
        </w:rPr>
        <w:t>Metrics: each metric is a self-contained definition (display name, category, source tags) that plugs into the existing checklist and query logic automatically once confirmed against real filings.</w:t>
      </w:r>
    </w:p>
    <w:p w14:paraId="5626D49D" w14:textId="77777777" w:rsidR="007B3193" w:rsidRDefault="00000000">
      <w:pPr>
        <w:pStyle w:val="ListParagraph"/>
        <w:numPr>
          <w:ilvl w:val="0"/>
          <w:numId w:val="3"/>
        </w:numPr>
        <w:spacing w:after="80" w:line="276" w:lineRule="auto"/>
      </w:pPr>
      <w:r>
        <w:rPr>
          <w:sz w:val="21"/>
          <w:szCs w:val="21"/>
        </w:rPr>
        <w:t>Industries: a future industry is simply a new set of metric definitions grouped under its own category — the same company → metrics → period → output flow applies unchanged.</w:t>
      </w:r>
    </w:p>
    <w:sectPr w:rsidR="007B319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8448A"/>
    <w:multiLevelType w:val="hybridMultilevel"/>
    <w:tmpl w:val="3DD0D536"/>
    <w:lvl w:ilvl="0" w:tplc="F528B880">
      <w:start w:val="1"/>
      <w:numFmt w:val="bullet"/>
      <w:lvlText w:val="●"/>
      <w:lvlJc w:val="left"/>
      <w:pPr>
        <w:ind w:left="720" w:hanging="360"/>
      </w:pPr>
    </w:lvl>
    <w:lvl w:ilvl="1" w:tplc="A3CA00A8">
      <w:start w:val="1"/>
      <w:numFmt w:val="bullet"/>
      <w:lvlText w:val="○"/>
      <w:lvlJc w:val="left"/>
      <w:pPr>
        <w:ind w:left="1440" w:hanging="360"/>
      </w:pPr>
    </w:lvl>
    <w:lvl w:ilvl="2" w:tplc="A8CC38AA">
      <w:start w:val="1"/>
      <w:numFmt w:val="bullet"/>
      <w:lvlText w:val="■"/>
      <w:lvlJc w:val="left"/>
      <w:pPr>
        <w:ind w:left="2160" w:hanging="360"/>
      </w:pPr>
    </w:lvl>
    <w:lvl w:ilvl="3" w:tplc="1FDCB9A6">
      <w:start w:val="1"/>
      <w:numFmt w:val="bullet"/>
      <w:lvlText w:val="●"/>
      <w:lvlJc w:val="left"/>
      <w:pPr>
        <w:ind w:left="2880" w:hanging="360"/>
      </w:pPr>
    </w:lvl>
    <w:lvl w:ilvl="4" w:tplc="A91C08EA">
      <w:start w:val="1"/>
      <w:numFmt w:val="bullet"/>
      <w:lvlText w:val="○"/>
      <w:lvlJc w:val="left"/>
      <w:pPr>
        <w:ind w:left="3600" w:hanging="360"/>
      </w:pPr>
    </w:lvl>
    <w:lvl w:ilvl="5" w:tplc="76B68A76">
      <w:start w:val="1"/>
      <w:numFmt w:val="bullet"/>
      <w:lvlText w:val="■"/>
      <w:lvlJc w:val="left"/>
      <w:pPr>
        <w:ind w:left="4320" w:hanging="360"/>
      </w:pPr>
    </w:lvl>
    <w:lvl w:ilvl="6" w:tplc="42D8D14C">
      <w:start w:val="1"/>
      <w:numFmt w:val="bullet"/>
      <w:lvlText w:val="●"/>
      <w:lvlJc w:val="left"/>
      <w:pPr>
        <w:ind w:left="5040" w:hanging="360"/>
      </w:pPr>
    </w:lvl>
    <w:lvl w:ilvl="7" w:tplc="C6AADD00">
      <w:start w:val="1"/>
      <w:numFmt w:val="bullet"/>
      <w:lvlText w:val="●"/>
      <w:lvlJc w:val="left"/>
      <w:pPr>
        <w:ind w:left="5760" w:hanging="360"/>
      </w:pPr>
    </w:lvl>
    <w:lvl w:ilvl="8" w:tplc="011E2A78">
      <w:start w:val="1"/>
      <w:numFmt w:val="bullet"/>
      <w:lvlText w:val="●"/>
      <w:lvlJc w:val="left"/>
      <w:pPr>
        <w:ind w:left="6480" w:hanging="360"/>
      </w:pPr>
    </w:lvl>
  </w:abstractNum>
  <w:abstractNum w:abstractNumId="1" w15:restartNumberingAfterBreak="0">
    <w:nsid w:val="2A9A1D6C"/>
    <w:multiLevelType w:val="hybridMultilevel"/>
    <w:tmpl w:val="F686345C"/>
    <w:lvl w:ilvl="0" w:tplc="3126ED40">
      <w:start w:val="1"/>
      <w:numFmt w:val="bullet"/>
      <w:lvlText w:val="•"/>
      <w:lvlJc w:val="left"/>
      <w:pPr>
        <w:ind w:left="360" w:hanging="260"/>
      </w:pPr>
    </w:lvl>
    <w:lvl w:ilvl="1" w:tplc="74B845B4">
      <w:start w:val="1"/>
      <w:numFmt w:val="bullet"/>
      <w:lvlText w:val="–"/>
      <w:lvlJc w:val="left"/>
      <w:pPr>
        <w:ind w:left="720" w:hanging="260"/>
      </w:pPr>
    </w:lvl>
    <w:lvl w:ilvl="2" w:tplc="6AFA71FE">
      <w:numFmt w:val="decimal"/>
      <w:lvlText w:val=""/>
      <w:lvlJc w:val="left"/>
    </w:lvl>
    <w:lvl w:ilvl="3" w:tplc="A15A8B00">
      <w:numFmt w:val="decimal"/>
      <w:lvlText w:val=""/>
      <w:lvlJc w:val="left"/>
    </w:lvl>
    <w:lvl w:ilvl="4" w:tplc="03E243DA">
      <w:numFmt w:val="decimal"/>
      <w:lvlText w:val=""/>
      <w:lvlJc w:val="left"/>
    </w:lvl>
    <w:lvl w:ilvl="5" w:tplc="5E649140">
      <w:numFmt w:val="decimal"/>
      <w:lvlText w:val=""/>
      <w:lvlJc w:val="left"/>
    </w:lvl>
    <w:lvl w:ilvl="6" w:tplc="A8183A28">
      <w:numFmt w:val="decimal"/>
      <w:lvlText w:val=""/>
      <w:lvlJc w:val="left"/>
    </w:lvl>
    <w:lvl w:ilvl="7" w:tplc="7A7686DC">
      <w:numFmt w:val="decimal"/>
      <w:lvlText w:val=""/>
      <w:lvlJc w:val="left"/>
    </w:lvl>
    <w:lvl w:ilvl="8" w:tplc="40BA8AF0">
      <w:numFmt w:val="decimal"/>
      <w:lvlText w:val=""/>
      <w:lvlJc w:val="left"/>
    </w:lvl>
  </w:abstractNum>
  <w:abstractNum w:abstractNumId="2" w15:restartNumberingAfterBreak="0">
    <w:nsid w:val="50E81FFD"/>
    <w:multiLevelType w:val="hybridMultilevel"/>
    <w:tmpl w:val="BFB29F2C"/>
    <w:lvl w:ilvl="0" w:tplc="D560530E">
      <w:start w:val="1"/>
      <w:numFmt w:val="decimal"/>
      <w:lvlText w:val="%1."/>
      <w:lvlJc w:val="left"/>
      <w:pPr>
        <w:ind w:left="360" w:hanging="260"/>
      </w:pPr>
    </w:lvl>
    <w:lvl w:ilvl="1" w:tplc="D102B492">
      <w:numFmt w:val="decimal"/>
      <w:lvlText w:val=""/>
      <w:lvlJc w:val="left"/>
    </w:lvl>
    <w:lvl w:ilvl="2" w:tplc="F77AB89C">
      <w:numFmt w:val="decimal"/>
      <w:lvlText w:val=""/>
      <w:lvlJc w:val="left"/>
    </w:lvl>
    <w:lvl w:ilvl="3" w:tplc="E49E21A6">
      <w:numFmt w:val="decimal"/>
      <w:lvlText w:val=""/>
      <w:lvlJc w:val="left"/>
    </w:lvl>
    <w:lvl w:ilvl="4" w:tplc="51AA7BF2">
      <w:numFmt w:val="decimal"/>
      <w:lvlText w:val=""/>
      <w:lvlJc w:val="left"/>
    </w:lvl>
    <w:lvl w:ilvl="5" w:tplc="770A5BA6">
      <w:numFmt w:val="decimal"/>
      <w:lvlText w:val=""/>
      <w:lvlJc w:val="left"/>
    </w:lvl>
    <w:lvl w:ilvl="6" w:tplc="475AC8D8">
      <w:numFmt w:val="decimal"/>
      <w:lvlText w:val=""/>
      <w:lvlJc w:val="left"/>
    </w:lvl>
    <w:lvl w:ilvl="7" w:tplc="875C6250">
      <w:numFmt w:val="decimal"/>
      <w:lvlText w:val=""/>
      <w:lvlJc w:val="left"/>
    </w:lvl>
    <w:lvl w:ilvl="8" w:tplc="14E04DDA">
      <w:numFmt w:val="decimal"/>
      <w:lvlText w:val=""/>
      <w:lvlJc w:val="left"/>
    </w:lvl>
  </w:abstractNum>
  <w:num w:numId="1" w16cid:durableId="417604004">
    <w:abstractNumId w:val="0"/>
    <w:lvlOverride w:ilvl="0">
      <w:startOverride w:val="1"/>
    </w:lvlOverride>
  </w:num>
  <w:num w:numId="2" w16cid:durableId="1396658032">
    <w:abstractNumId w:val="2"/>
    <w:lvlOverride w:ilvl="0">
      <w:startOverride w:val="1"/>
    </w:lvlOverride>
  </w:num>
  <w:num w:numId="3" w16cid:durableId="14182830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193"/>
    <w:rsid w:val="002D4B27"/>
    <w:rsid w:val="006D09FD"/>
    <w:rsid w:val="007B3193"/>
    <w:rsid w:val="00AD6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DEE7A"/>
  <w15:docId w15:val="{8A88450A-2AE5-4631-B669-ECF52FFAE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78A19067DA87408EADB324E2E5EB83" ma:contentTypeVersion="12" ma:contentTypeDescription="Create a new document." ma:contentTypeScope="" ma:versionID="eeaef1f6fe97161053e57467d9f95a7b">
  <xsd:schema xmlns:xsd="http://www.w3.org/2001/XMLSchema" xmlns:xs="http://www.w3.org/2001/XMLSchema" xmlns:p="http://schemas.microsoft.com/office/2006/metadata/properties" xmlns:ns2="65573b4d-8b84-4671-8ef0-a312479baf55" xmlns:ns3="3a999760-d43f-4b0a-a799-a84c3031e2cc" targetNamespace="http://schemas.microsoft.com/office/2006/metadata/properties" ma:root="true" ma:fieldsID="a31427cd86b386e09bed9edd5f97dc8a" ns2:_="" ns3:_="">
    <xsd:import namespace="65573b4d-8b84-4671-8ef0-a312479baf55"/>
    <xsd:import namespace="3a999760-d43f-4b0a-a799-a84c3031e2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573b4d-8b84-4671-8ef0-a312479baf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6c9d80b-55ca-48b5-b54c-7139e40b73c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a999760-d43f-4b0a-a799-a84c3031e2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70f7015-1f36-49dd-9bfe-40f9320a9c2c}" ma:internalName="TaxCatchAll" ma:showField="CatchAllData" ma:web="3a999760-d43f-4b0a-a799-a84c3031e2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a999760-d43f-4b0a-a799-a84c3031e2cc" xsi:nil="true"/>
    <lcf76f155ced4ddcb4097134ff3c332f xmlns="65573b4d-8b84-4671-8ef0-a312479baf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09D34B-34BC-41C9-BD85-3560B3C06E05}"/>
</file>

<file path=customXml/itemProps2.xml><?xml version="1.0" encoding="utf-8"?>
<ds:datastoreItem xmlns:ds="http://schemas.openxmlformats.org/officeDocument/2006/customXml" ds:itemID="{125FFDA1-AA3F-4BE7-A806-7B8638C8B697}"/>
</file>

<file path=customXml/itemProps3.xml><?xml version="1.0" encoding="utf-8"?>
<ds:datastoreItem xmlns:ds="http://schemas.openxmlformats.org/officeDocument/2006/customXml" ds:itemID="{B71C9E40-0738-4E16-B87C-93628176A285}"/>
</file>

<file path=docProps/app.xml><?xml version="1.0" encoding="utf-8"?>
<Properties xmlns="http://schemas.openxmlformats.org/officeDocument/2006/extended-properties" xmlns:vt="http://schemas.openxmlformats.org/officeDocument/2006/docPropsVTypes">
  <Template>Normal.dotm</Template>
  <TotalTime>15</TotalTime>
  <Pages>4</Pages>
  <Words>1184</Words>
  <Characters>6290</Characters>
  <Application>Microsoft Office Word</Application>
  <DocSecurity>0</DocSecurity>
  <Lines>116</Lines>
  <Paragraphs>72</Paragraphs>
  <ScaleCrop>false</ScaleCrop>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Ankita Warude</cp:lastModifiedBy>
  <cp:revision>2</cp:revision>
  <dcterms:created xsi:type="dcterms:W3CDTF">2026-08-18T08:31:00Z</dcterms:created>
  <dcterms:modified xsi:type="dcterms:W3CDTF">2026-08-18T09:19:00Z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0x0101002778A19067DA87408EADB324E2E5EB83</vt:lpwstr>
  </property>
</Properties>
</file>