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666666"/>
          <w:sz w:val="18"/>
          <w:szCs w:val="18"/>
        </w:rPr>
        <w:t xml:space="preserve">PRODUCT REQUIREMENTS DOCUMENT</w:t>
      </w:r>
    </w:p>
    <w:p>
      <w:pPr>
        <w:spacing w:after="80"/>
      </w:pPr>
      <w:r>
        <w:rPr>
          <w:b/>
          <w:bCs/>
          <w:color w:val="1F3A5F"/>
          <w:sz w:val="38"/>
          <w:szCs w:val="38"/>
        </w:rPr>
        <w:t xml:space="preserve">Servicer Peer Analytics Dashboard</w:t>
      </w:r>
    </w:p>
    <w:p>
      <w:pPr>
        <w:spacing w:after="260"/>
      </w:pPr>
      <w:r>
        <w:rPr>
          <w:b/>
          <w:bCs/>
          <w:color w:val="2A6DB0"/>
          <w:sz w:val="21"/>
          <w:szCs w:val="21"/>
        </w:rPr>
        <w:t xml:space="preserve">Phase 1 — Primary Tab: MSR &amp; Level 3 Servicing Economics</w:t>
      </w:r>
    </w:p>
    <w:p>
      <w:pPr>
        <w:pStyle w:val="Heading1"/>
        <w:pBdr>
          <w:bottom w:val="single" w:color="1F3A5F" w:sz="6" w:space="4"/>
        </w:pBdr>
        <w:spacing w:after="130" w:before="300"/>
      </w:pPr>
      <w:r>
        <w:rPr>
          <w:b/>
          <w:bCs/>
          <w:color w:val="1F3A5F"/>
          <w:sz w:val="27"/>
          <w:szCs w:val="27"/>
        </w:rPr>
        <w:t xml:space="preserve">1. Product Overview</w:t>
      </w:r>
    </w:p>
    <w:p>
      <w:pPr>
        <w:spacing w:after="120" w:line="270"/>
      </w:pPr>
      <w:r>
        <w:rPr>
          <w:sz w:val="20"/>
          <w:szCs w:val="20"/>
        </w:rPr>
        <w:t xml:space="preserve">The Servicer Peer Analytics Dashboard is a web-based financial analytics tool that presents standardized, comparable financial and operational metrics for a defined peer group of mortgage servicing companies. Data is sourced from each company's public SEC filings (10-K and 10-Q) and normalized into a consistent, comparable format.</w:t>
      </w:r>
    </w:p>
    <w:p>
      <w:pPr>
        <w:spacing w:after="120" w:line="270"/>
      </w:pPr>
      <w:r>
        <w:rPr>
          <w:sz w:val="20"/>
          <w:szCs w:val="20"/>
        </w:rPr>
        <w:t xml:space="preserve">The dashboard presents this data as live tables and charts, refreshable by reporting period, with every figure traceable to its originating filing and data tag.</w:t>
      </w:r>
    </w:p>
    <w:p>
      <w:pPr>
        <w:pStyle w:val="Heading1"/>
        <w:pBdr>
          <w:bottom w:val="single" w:color="1F3A5F" w:sz="6" w:space="4"/>
        </w:pBdr>
        <w:spacing w:after="130" w:before="300"/>
      </w:pPr>
      <w:r>
        <w:rPr>
          <w:b/>
          <w:bCs/>
          <w:color w:val="1F3A5F"/>
          <w:sz w:val="27"/>
          <w:szCs w:val="27"/>
        </w:rPr>
        <w:t xml:space="preserve">2. Dashboard Objective</w:t>
      </w:r>
    </w:p>
    <w:p>
      <w:pPr>
        <w:spacing w:after="120" w:line="270"/>
      </w:pPr>
      <w:r>
        <w:rPr>
          <w:sz w:val="20"/>
          <w:szCs w:val="20"/>
        </w:rPr>
        <w:t xml:space="preserve">Enable an analyst to compare mortgage servicers on servicing book size, carrying value, and servicing economics in one view, for any supported reporting period, without manual data collection from individual filings.</w:t>
      </w:r>
    </w:p>
    <w:p>
      <w:pPr>
        <w:pStyle w:val="Heading1"/>
        <w:pBdr>
          <w:bottom w:val="single" w:color="1F3A5F" w:sz="6" w:space="4"/>
        </w:pBdr>
        <w:spacing w:after="130" w:before="300"/>
      </w:pPr>
      <w:r>
        <w:rPr>
          <w:b/>
          <w:bCs/>
          <w:color w:val="1F3A5F"/>
          <w:sz w:val="27"/>
          <w:szCs w:val="27"/>
        </w:rPr>
        <w:t xml:space="preserve">3. Dashboard Layout and User Experience</w:t>
      </w:r>
    </w:p>
    <w:p>
      <w:pPr>
        <w:pStyle w:val="ListParagraph"/>
        <w:numPr>
          <w:ilvl w:val="0"/>
          <w:numId w:val="2"/>
        </w:numPr>
        <w:spacing w:after="55" w:line="260"/>
      </w:pPr>
      <w:r>
        <w:rPr>
          <w:sz w:val="20"/>
          <w:szCs w:val="20"/>
        </w:rPr>
        <w:t xml:space="preserve">A persistent header containing the dashboard title, a reporting-period selector, and a control to reveal underlying data-source detail.</w:t>
      </w:r>
    </w:p>
    <w:p>
      <w:pPr>
        <w:pStyle w:val="ListParagraph"/>
        <w:numPr>
          <w:ilvl w:val="0"/>
          <w:numId w:val="2"/>
        </w:numPr>
        <w:spacing w:after="55" w:line="260"/>
      </w:pPr>
      <w:r>
        <w:rPr>
          <w:sz w:val="20"/>
          <w:szCs w:val="20"/>
        </w:rPr>
        <w:t xml:space="preserve">A tabbed navigation structure, with each tab covering a related group of metrics. This document covers the first (primary) tab only.</w:t>
      </w:r>
    </w:p>
    <w:p>
      <w:pPr>
        <w:pStyle w:val="ListParagraph"/>
        <w:numPr>
          <w:ilvl w:val="0"/>
          <w:numId w:val="2"/>
        </w:numPr>
        <w:spacing w:after="55" w:line="260"/>
      </w:pPr>
      <w:r>
        <w:rPr>
          <w:sz w:val="20"/>
          <w:szCs w:val="20"/>
        </w:rPr>
        <w:t xml:space="preserve">Within the active tab: a brief descriptive header, followed by the primary summary table, followed by the tab's charts, followed by any additional supporting tables.</w:t>
      </w:r>
    </w:p>
    <w:p>
      <w:pPr>
        <w:pStyle w:val="ListParagraph"/>
        <w:numPr>
          <w:ilvl w:val="0"/>
          <w:numId w:val="2"/>
        </w:numPr>
        <w:spacing w:after="55" w:line="260"/>
      </w:pPr>
      <w:r>
        <w:rPr>
          <w:sz w:val="20"/>
          <w:szCs w:val="20"/>
        </w:rPr>
        <w:t xml:space="preserve">Each company is represented as one row across all tables, using a consistent name/ticker format throughout.</w:t>
      </w:r>
    </w:p>
    <w:p>
      <w:pPr>
        <w:pStyle w:val="ListParagraph"/>
        <w:numPr>
          <w:ilvl w:val="0"/>
          <w:numId w:val="2"/>
        </w:numPr>
        <w:spacing w:after="55" w:line="260"/>
      </w:pPr>
      <w:r>
        <w:rPr>
          <w:sz w:val="20"/>
          <w:szCs w:val="20"/>
        </w:rPr>
        <w:t xml:space="preserve">The interface uses a clean, data-dense financial-analytics visual style: clear column alignment, right-aligned numeric values, and minimal decoration.</w:t>
      </w:r>
    </w:p>
    <w:p>
      <w:pPr>
        <w:pStyle w:val="Heading1"/>
        <w:pBdr>
          <w:bottom w:val="single" w:color="1F3A5F" w:sz="6" w:space="4"/>
        </w:pBdr>
        <w:spacing w:after="130" w:before="300"/>
      </w:pPr>
      <w:r>
        <w:rPr>
          <w:b/>
          <w:bCs/>
          <w:color w:val="1F3A5F"/>
          <w:sz w:val="27"/>
          <w:szCs w:val="27"/>
        </w:rPr>
        <w:t xml:space="preserve">4. Scope of the First Tab</w:t>
      </w:r>
    </w:p>
    <w:p>
      <w:pPr>
        <w:spacing w:after="120" w:line="270"/>
      </w:pPr>
      <w:r>
        <w:rPr>
          <w:sz w:val="20"/>
          <w:szCs w:val="20"/>
        </w:rPr>
        <w:t xml:space="preserve">This phase covers a single dashboard tab: MSR &amp; Level 3. It includes the primary summary table (Section 6), the tab's charts as shown in the reference design (Section 8), and the tab's additional supporting tables retained in their existing structure (Section 10).</w:t>
      </w:r>
    </w:p>
    <w:p>
      <w:pPr>
        <w:spacing w:after="120" w:line="270"/>
      </w:pPr>
      <w:r>
        <w:rPr>
          <w:sz w:val="20"/>
          <w:szCs w:val="20"/>
        </w:rPr>
        <w:t xml:space="preserve">Additional tabs are recognized as part of the overall dashboard but are out of scope for this phase and will be specified separately as they are built.</w:t>
      </w:r>
    </w:p>
    <w:p>
      <w:pPr>
        <w:pStyle w:val="Heading1"/>
        <w:pBdr>
          <w:bottom w:val="single" w:color="1F3A5F" w:sz="6" w:space="4"/>
        </w:pBdr>
        <w:spacing w:after="130" w:before="300"/>
      </w:pPr>
      <w:r>
        <w:rPr>
          <w:b/>
          <w:bCs/>
          <w:color w:val="1F3A5F"/>
          <w:sz w:val="27"/>
          <w:szCs w:val="27"/>
        </w:rPr>
        <w:t xml:space="preserve">5. Filters and Quarter Selection</w:t>
      </w:r>
    </w:p>
    <w:p>
      <w:pPr>
        <w:spacing w:after="120" w:line="270"/>
      </w:pPr>
      <w:r>
        <w:rPr>
          <w:sz w:val="20"/>
          <w:szCs w:val="20"/>
        </w:rPr>
        <w:t xml:space="preserve">A single primary filter controls the dashboard: the reporting period selector, listing available periods (for example, a given quarter's 10-Q or a given fiscal year's 10-K).</w:t>
      </w:r>
    </w:p>
    <w:p>
      <w:pPr>
        <w:spacing w:after="120" w:line="270"/>
      </w:pPr>
      <w:r>
        <w:rPr>
          <w:sz w:val="20"/>
          <w:szCs w:val="20"/>
        </w:rPr>
        <w:t xml:space="preserve">Selecting a period refreshes all data on the active tab — the summary table, charts, and additional tables all update to reflect the newly selected period. This happens in place, without a full page reload, and without requiring any other user action.</w:t>
      </w:r>
    </w:p>
    <w:p>
      <w:pPr>
        <w:pStyle w:val="Heading1"/>
        <w:pBdr>
          <w:bottom w:val="single" w:color="1F3A5F" w:sz="6" w:space="4"/>
        </w:pBdr>
        <w:spacing w:after="130" w:before="300"/>
      </w:pPr>
      <w:r>
        <w:rPr>
          <w:b/>
          <w:bCs/>
          <w:color w:val="1F3A5F"/>
          <w:sz w:val="27"/>
          <w:szCs w:val="27"/>
        </w:rPr>
        <w:t xml:space="preserve">6. Primary Summary Table</w:t>
      </w:r>
    </w:p>
    <w:p>
      <w:pPr>
        <w:spacing w:after="120" w:line="270"/>
      </w:pPr>
      <w:r>
        <w:rPr>
          <w:sz w:val="20"/>
          <w:szCs w:val="20"/>
        </w:rPr>
        <w:t xml:space="preserve">The primary summary table presents one row per peer-group company and exactly five data columns:</w:t>
      </w:r>
    </w:p>
    <w:p>
      <w:pPr>
        <w:spacing w:after="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A5F" w:val="clear"/>
            <w:tcMar>
              <w:top w:type="dxa" w:w="60"/>
              <w:left w:type="dxa" w:w="100"/>
              <w:bottom w:type="dxa" w:w="60"/>
              <w:right w:type="dxa" w:w="100"/>
            </w:tcMar>
          </w:tcPr>
          <w:p>
            <w:r>
              <w:rPr>
                <w:b/>
                <w:bCs/>
                <w:color w:val="FFFFFF"/>
                <w:sz w:val="18"/>
                <w:szCs w:val="18"/>
              </w:rPr>
              <w:t xml:space="preserve">Column</w:t>
            </w:r>
          </w:p>
        </w:tc>
        <w:tc>
          <w:tcPr>
            <w:tcW w:type="dxa" w:w="6600"/>
            <w:shd w:fill="1F3A5F" w:val="clear"/>
            <w:tcMar>
              <w:top w:type="dxa" w:w="60"/>
              <w:left w:type="dxa" w:w="100"/>
              <w:bottom w:type="dxa" w:w="60"/>
              <w:right w:type="dxa" w:w="100"/>
            </w:tcMar>
          </w:tcPr>
          <w:p>
            <w:r>
              <w:rPr>
                <w:b/>
                <w:bCs/>
                <w:color w:val="FFFFFF"/>
                <w:sz w:val="18"/>
                <w:szCs w:val="18"/>
              </w:rPr>
              <w:t xml:space="preserve">Definition</w:t>
            </w:r>
          </w:p>
        </w:tc>
      </w:tr>
      <w:tr>
        <w:tc>
          <w:tcPr>
            <w:tcW w:type="dxa" w:w="2400"/>
            <w:shd w:fill="FFFFFF" w:val="clear"/>
            <w:tcMar>
              <w:top w:type="dxa" w:w="60"/>
              <w:left w:type="dxa" w:w="100"/>
              <w:bottom w:type="dxa" w:w="60"/>
              <w:right w:type="dxa" w:w="100"/>
            </w:tcMar>
          </w:tcPr>
          <w:p>
            <w:r>
              <w:rPr>
                <w:b w:val="false"/>
                <w:bCs w:val="false"/>
                <w:color w:val="000000"/>
                <w:sz w:val="18"/>
                <w:szCs w:val="18"/>
              </w:rPr>
              <w:t xml:space="preserve">UPB</w:t>
            </w:r>
          </w:p>
        </w:tc>
        <w:tc>
          <w:tcPr>
            <w:tcW w:type="dxa" w:w="6600"/>
            <w:shd w:fill="FFFFFF" w:val="clear"/>
            <w:tcMar>
              <w:top w:type="dxa" w:w="60"/>
              <w:left w:type="dxa" w:w="100"/>
              <w:bottom w:type="dxa" w:w="60"/>
              <w:right w:type="dxa" w:w="100"/>
            </w:tcMar>
          </w:tcPr>
          <w:p>
            <w:r>
              <w:rPr>
                <w:b w:val="false"/>
                <w:bCs w:val="false"/>
                <w:color w:val="000000"/>
                <w:sz w:val="18"/>
                <w:szCs w:val="18"/>
              </w:rPr>
              <w:t xml:space="preserve">Unpaid principal balance of the servicing portfolio, as reported.</w:t>
            </w:r>
          </w:p>
        </w:tc>
      </w:tr>
      <w:tr>
        <w:tc>
          <w:tcPr>
            <w:tcW w:type="dxa" w:w="2400"/>
            <w:shd w:fill="EAF0F6" w:val="clear"/>
            <w:tcMar>
              <w:top w:type="dxa" w:w="60"/>
              <w:left w:type="dxa" w:w="100"/>
              <w:bottom w:type="dxa" w:w="60"/>
              <w:right w:type="dxa" w:w="100"/>
            </w:tcMar>
          </w:tcPr>
          <w:p>
            <w:r>
              <w:rPr>
                <w:b w:val="false"/>
                <w:bCs w:val="false"/>
                <w:color w:val="000000"/>
                <w:sz w:val="18"/>
                <w:szCs w:val="18"/>
              </w:rPr>
              <w:t xml:space="preserve">Fair Value</w:t>
            </w:r>
          </w:p>
        </w:tc>
        <w:tc>
          <w:tcPr>
            <w:tcW w:type="dxa" w:w="6600"/>
            <w:shd w:fill="EAF0F6" w:val="clear"/>
            <w:tcMar>
              <w:top w:type="dxa" w:w="60"/>
              <w:left w:type="dxa" w:w="100"/>
              <w:bottom w:type="dxa" w:w="60"/>
              <w:right w:type="dxa" w:w="100"/>
            </w:tcMar>
          </w:tcPr>
          <w:p>
            <w:r>
              <w:rPr>
                <w:b w:val="false"/>
                <w:bCs w:val="false"/>
                <w:color w:val="000000"/>
                <w:sz w:val="18"/>
                <w:szCs w:val="18"/>
              </w:rPr>
              <w:t xml:space="preserve">Fair value of the mortgage servicing rights (MSR) asset, as reported.</w:t>
            </w:r>
          </w:p>
        </w:tc>
      </w:tr>
      <w:tr>
        <w:tc>
          <w:tcPr>
            <w:tcW w:type="dxa" w:w="2400"/>
            <w:shd w:fill="FFFFFF" w:val="clear"/>
            <w:tcMar>
              <w:top w:type="dxa" w:w="60"/>
              <w:left w:type="dxa" w:w="100"/>
              <w:bottom w:type="dxa" w:w="60"/>
              <w:right w:type="dxa" w:w="100"/>
            </w:tcMar>
          </w:tcPr>
          <w:p>
            <w:r>
              <w:rPr>
                <w:b w:val="false"/>
                <w:bCs w:val="false"/>
                <w:color w:val="000000"/>
                <w:sz w:val="18"/>
                <w:szCs w:val="18"/>
              </w:rPr>
              <w:t xml:space="preserve">Servicing Fee (bps)</w:t>
            </w:r>
          </w:p>
        </w:tc>
        <w:tc>
          <w:tcPr>
            <w:tcW w:type="dxa" w:w="6600"/>
            <w:shd w:fill="FFFFFF" w:val="clear"/>
            <w:tcMar>
              <w:top w:type="dxa" w:w="60"/>
              <w:left w:type="dxa" w:w="100"/>
              <w:bottom w:type="dxa" w:w="60"/>
              <w:right w:type="dxa" w:w="100"/>
            </w:tcMar>
          </w:tcPr>
          <w:p>
            <w:r>
              <w:rPr>
                <w:b w:val="false"/>
                <w:bCs w:val="false"/>
                <w:color w:val="000000"/>
                <w:sz w:val="18"/>
                <w:szCs w:val="18"/>
              </w:rPr>
              <w:t xml:space="preserve">The servicing fee rate, expressed in basis points of UPB.</w:t>
            </w:r>
          </w:p>
        </w:tc>
      </w:tr>
      <w:tr>
        <w:tc>
          <w:tcPr>
            <w:tcW w:type="dxa" w:w="2400"/>
            <w:shd w:fill="EAF0F6" w:val="clear"/>
            <w:tcMar>
              <w:top w:type="dxa" w:w="60"/>
              <w:left w:type="dxa" w:w="100"/>
              <w:bottom w:type="dxa" w:w="60"/>
              <w:right w:type="dxa" w:w="100"/>
            </w:tcMar>
          </w:tcPr>
          <w:p>
            <w:r>
              <w:rPr>
                <w:b w:val="false"/>
                <w:bCs w:val="false"/>
                <w:color w:val="000000"/>
                <w:sz w:val="18"/>
                <w:szCs w:val="18"/>
              </w:rPr>
              <w:t xml:space="preserve">Price (bps)</w:t>
            </w:r>
          </w:p>
        </w:tc>
        <w:tc>
          <w:tcPr>
            <w:tcW w:type="dxa" w:w="6600"/>
            <w:shd w:fill="EAF0F6" w:val="clear"/>
            <w:tcMar>
              <w:top w:type="dxa" w:w="60"/>
              <w:left w:type="dxa" w:w="100"/>
              <w:bottom w:type="dxa" w:w="60"/>
              <w:right w:type="dxa" w:w="100"/>
            </w:tcMar>
          </w:tcPr>
          <w:p>
            <w:r>
              <w:rPr>
                <w:b w:val="false"/>
                <w:bCs w:val="false"/>
                <w:color w:val="000000"/>
                <w:sz w:val="18"/>
                <w:szCs w:val="18"/>
              </w:rPr>
              <w:t xml:space="preserve">The MSR fair value expressed as a rate on UPB, in basis points. Calculated (Section 7).</w:t>
            </w:r>
          </w:p>
        </w:tc>
      </w:tr>
      <w:tr>
        <w:tc>
          <w:tcPr>
            <w:tcW w:type="dxa" w:w="2400"/>
            <w:shd w:fill="FFFFFF" w:val="clear"/>
            <w:tcMar>
              <w:top w:type="dxa" w:w="60"/>
              <w:left w:type="dxa" w:w="100"/>
              <w:bottom w:type="dxa" w:w="60"/>
              <w:right w:type="dxa" w:w="100"/>
            </w:tcMar>
          </w:tcPr>
          <w:p>
            <w:r>
              <w:rPr>
                <w:b w:val="false"/>
                <w:bCs w:val="false"/>
                <w:color w:val="000000"/>
                <w:sz w:val="18"/>
                <w:szCs w:val="18"/>
              </w:rPr>
              <w:t xml:space="preserve">Mult</w:t>
            </w:r>
          </w:p>
        </w:tc>
        <w:tc>
          <w:tcPr>
            <w:tcW w:type="dxa" w:w="6600"/>
            <w:shd w:fill="FFFFFF" w:val="clear"/>
            <w:tcMar>
              <w:top w:type="dxa" w:w="60"/>
              <w:left w:type="dxa" w:w="100"/>
              <w:bottom w:type="dxa" w:w="60"/>
              <w:right w:type="dxa" w:w="100"/>
            </w:tcMar>
          </w:tcPr>
          <w:p>
            <w:r>
              <w:rPr>
                <w:b w:val="false"/>
                <w:bCs w:val="false"/>
                <w:color w:val="000000"/>
                <w:sz w:val="18"/>
                <w:szCs w:val="18"/>
              </w:rPr>
              <w:t xml:space="preserve">The MSR fair value expressed as a multiple of servicing fee. Calculated (Section 7).</w:t>
            </w:r>
          </w:p>
        </w:tc>
      </w:tr>
    </w:tbl>
    <w:p>
      <w:pPr>
        <w:spacing w:after="80"/>
      </w:pPr>
    </w:p>
    <w:p>
      <w:pPr>
        <w:spacing w:after="120" w:line="270"/>
      </w:pPr>
      <w:r>
        <w:rPr>
          <w:sz w:val="20"/>
          <w:szCs w:val="20"/>
        </w:rPr>
        <w:t xml:space="preserve">Rows are sorted by UPB in descending order by default.</w:t>
      </w:r>
    </w:p>
    <w:p>
      <w:pPr>
        <w:pStyle w:val="Heading1"/>
        <w:pBdr>
          <w:bottom w:val="single" w:color="1F3A5F" w:sz="6" w:space="4"/>
        </w:pBdr>
        <w:spacing w:after="130" w:before="300"/>
      </w:pPr>
      <w:r>
        <w:rPr>
          <w:b/>
          <w:bCs/>
          <w:color w:val="1F3A5F"/>
          <w:sz w:val="27"/>
          <w:szCs w:val="27"/>
        </w:rPr>
        <w:t xml:space="preserve">7. Table Calculations — Price and Mult</w:t>
      </w:r>
    </w:p>
    <w:p>
      <w:pPr>
        <w:spacing w:after="120" w:line="270"/>
      </w:pPr>
      <w:r>
        <w:rPr>
          <w:sz w:val="20"/>
          <w:szCs w:val="20"/>
        </w:rPr>
        <w:t xml:space="preserve">Price and Mult are calculated fields, derived from the UPB, Fair Value, and Servicing Fee values rather than sourced directly from a filing.</w:t>
      </w:r>
    </w:p>
    <w:p>
      <w:pPr>
        <w:pBdr>
          <w:top w:val="single" w:color="D0D6DE" w:sz="2"/>
          <w:bottom w:val="single" w:color="D0D6DE" w:sz="2"/>
          <w:left w:val="single" w:color="D0D6DE" w:sz="2"/>
          <w:right w:val="single" w:color="D0D6DE" w:sz="2"/>
        </w:pBdr>
        <w:shd w:fill="F3F5F7" w:val="clear"/>
        <w:spacing w:after="130" w:before="70"/>
      </w:pPr>
      <w:r>
        <w:rPr>
          <w:rFonts w:ascii="Consolas" w:cs="Consolas" w:eastAsia="Consolas" w:hAnsi="Consolas"/>
          <w:sz w:val="17"/>
          <w:szCs w:val="17"/>
        </w:rPr>
        <w:t xml:space="preserve">Price (bps)  =  ( Fair Value / UPB )  ×  10,000</w:t>
      </w:r>
      <w:r>
        <w:rPr>
          <w:rFonts w:ascii="Consolas" w:cs="Consolas" w:eastAsia="Consolas" w:hAnsi="Consolas"/>
          <w:sz w:val="17"/>
          <w:szCs w:val="17"/>
        </w:rPr>
        <w:br/>
        <w:t xml:space="preserve"/>
      </w:r>
      <w:r>
        <w:rPr>
          <w:rFonts w:ascii="Consolas" w:cs="Consolas" w:eastAsia="Consolas" w:hAnsi="Consolas"/>
          <w:sz w:val="17"/>
          <w:szCs w:val="17"/>
        </w:rPr>
        <w:br/>
        <w:t xml:space="preserve">Mult  =  Fair Value / Servicing Fee</w:t>
      </w:r>
    </w:p>
    <w:p>
      <w:pPr>
        <w:spacing w:after="120" w:line="270"/>
      </w:pPr>
      <w:r>
        <w:rPr>
          <w:sz w:val="20"/>
          <w:szCs w:val="20"/>
        </w:rPr>
        <w:t xml:space="preserve">These calculations are performed once, on the backend, immediately after the underlying raw values are resolved and normalized for a given company and period. The frontend never performs this arithmetic — it receives Price and Mult as already-calculated fields in the same API response that carries the raw values, and displays them directly.</w:t>
      </w:r>
    </w:p>
    <w:p>
      <w:pPr>
        <w:spacing w:after="120" w:line="270"/>
      </w:pPr>
      <w:r>
        <w:rPr>
          <w:sz w:val="20"/>
          <w:szCs w:val="20"/>
        </w:rPr>
        <w:t xml:space="preserve">If any of the three underlying inputs is unavailable for a company in a given period, the calculated fields are not produced for that company/period, and the table displays a clear not-available indicator rather than an incomplete or misleading figure.</w:t>
      </w:r>
    </w:p>
    <w:p>
      <w:pPr>
        <w:pStyle w:val="Heading1"/>
        <w:pBdr>
          <w:bottom w:val="single" w:color="1F3A5F" w:sz="6" w:space="4"/>
        </w:pBdr>
        <w:spacing w:after="130" w:before="300"/>
      </w:pPr>
      <w:r>
        <w:rPr>
          <w:b/>
          <w:bCs/>
          <w:color w:val="1F3A5F"/>
          <w:sz w:val="27"/>
          <w:szCs w:val="27"/>
        </w:rPr>
        <w:t xml:space="preserve">8. Charts and Visualizations</w:t>
      </w:r>
    </w:p>
    <w:p>
      <w:pPr>
        <w:spacing w:after="120" w:line="270"/>
      </w:pPr>
      <w:r>
        <w:rPr>
          <w:sz w:val="20"/>
          <w:szCs w:val="20"/>
        </w:rPr>
        <w:t xml:space="preserve">This phase reproduces the charts included in the tab's reference design, with no additional charts introduced at this stage.</w:t>
      </w:r>
    </w:p>
    <w:p>
      <w:pPr>
        <w:pStyle w:val="ListParagraph"/>
        <w:numPr>
          <w:ilvl w:val="0"/>
          <w:numId w:val="2"/>
        </w:numPr>
        <w:spacing w:after="55" w:line="260"/>
      </w:pPr>
      <w:r>
        <w:rPr>
          <w:sz w:val="20"/>
          <w:szCs w:val="20"/>
        </w:rPr>
        <w:t xml:space="preserve">A comparison chart plotting servicing economics across peer companies (as shown in the reference design), using the same underlying metrics as the summary tables.</w:t>
      </w:r>
    </w:p>
    <w:p>
      <w:pPr>
        <w:pStyle w:val="ListParagraph"/>
        <w:numPr>
          <w:ilvl w:val="0"/>
          <w:numId w:val="2"/>
        </w:numPr>
        <w:spacing w:after="55" w:line="260"/>
      </w:pPr>
      <w:r>
        <w:rPr>
          <w:sz w:val="20"/>
          <w:szCs w:val="20"/>
        </w:rPr>
        <w:t xml:space="preserve">A peer-deviation chart showing how each company's key figures compare to the peer-group median for the selected period.</w:t>
      </w:r>
    </w:p>
    <w:p>
      <w:pPr>
        <w:spacing w:after="120" w:line="270"/>
      </w:pPr>
      <w:r>
        <w:rPr>
          <w:sz w:val="20"/>
          <w:szCs w:val="20"/>
        </w:rPr>
        <w:t xml:space="preserve">Both charts update automatically whenever the reporting period is changed, using the same period-scoped data returned for the tables — no separate data request is required for the charts.</w:t>
      </w:r>
    </w:p>
    <w:p>
      <w:pPr>
        <w:pStyle w:val="Heading1"/>
        <w:pBdr>
          <w:bottom w:val="single" w:color="1F3A5F" w:sz="6" w:space="4"/>
        </w:pBdr>
        <w:spacing w:after="130" w:before="300"/>
      </w:pPr>
      <w:r>
        <w:rPr>
          <w:b/>
          <w:bCs/>
          <w:color w:val="1F3A5F"/>
          <w:sz w:val="27"/>
          <w:szCs w:val="27"/>
        </w:rPr>
        <w:t xml:space="preserve">9. Hover/Tooltip Interactions</w:t>
      </w:r>
    </w:p>
    <w:p>
      <w:pPr>
        <w:spacing w:after="120" w:line="270"/>
      </w:pPr>
      <w:r>
        <w:rPr>
          <w:sz w:val="20"/>
          <w:szCs w:val="20"/>
        </w:rPr>
        <w:t xml:space="preserve">Hovering (or keyboard-focusing) any value in the summary table or supporting tables reveals a tooltip with that value's data source: the originating filing form, filing date, and accession number, together with the specific data tag used.</w:t>
      </w:r>
    </w:p>
    <w:p>
      <w:pPr>
        <w:spacing w:after="120" w:line="270"/>
      </w:pPr>
      <w:r>
        <w:rPr>
          <w:sz w:val="20"/>
          <w:szCs w:val="20"/>
        </w:rPr>
        <w:t xml:space="preserve">Hovering a calculated value (Price or Mult) reveals the formula applied and the underlying input values it was calculated from, rather than a filing tag, since these fields are computed rather than sourced directly.</w:t>
      </w:r>
    </w:p>
    <w:p>
      <w:pPr>
        <w:spacing w:after="120" w:line="270"/>
      </w:pPr>
      <w:r>
        <w:rPr>
          <w:sz w:val="20"/>
          <w:szCs w:val="20"/>
        </w:rPr>
        <w:t xml:space="preserve">Hovering a chart element reveals the company, metric, and value it represents, consistent with the corresponding table entry for the same period.</w:t>
      </w:r>
    </w:p>
    <w:p>
      <w:pPr>
        <w:pStyle w:val="Heading1"/>
        <w:pBdr>
          <w:bottom w:val="single" w:color="1F3A5F" w:sz="6" w:space="4"/>
        </w:pBdr>
        <w:spacing w:after="130" w:before="300"/>
      </w:pPr>
      <w:r>
        <w:rPr>
          <w:b/>
          <w:bCs/>
          <w:color w:val="1F3A5F"/>
          <w:sz w:val="27"/>
          <w:szCs w:val="27"/>
        </w:rPr>
        <w:t xml:space="preserve">10. Additional Tables</w:t>
      </w:r>
    </w:p>
    <w:p>
      <w:pPr>
        <w:spacing w:after="120" w:line="270"/>
      </w:pPr>
      <w:r>
        <w:rPr>
          <w:sz w:val="20"/>
          <w:szCs w:val="20"/>
        </w:rPr>
        <w:t xml:space="preserve">Any additional tables present on this tab beyond the primary summary table retain the same columns and structure as shown in the reference design. Only the primary summary table's columns are changed, as specified in Section 6.</w:t>
      </w:r>
    </w:p>
    <w:p>
      <w:pPr>
        <w:pStyle w:val="Heading1"/>
        <w:pBdr>
          <w:bottom w:val="single" w:color="1F3A5F" w:sz="6" w:space="4"/>
        </w:pBdr>
        <w:spacing w:after="130" w:before="300"/>
      </w:pPr>
      <w:r>
        <w:rPr>
          <w:b/>
          <w:bCs/>
          <w:color w:val="1F3A5F"/>
          <w:sz w:val="27"/>
          <w:szCs w:val="27"/>
        </w:rPr>
        <w:t xml:space="preserve">11. Data Flow</w:t>
      </w:r>
    </w:p>
    <w:p>
      <w:pPr>
        <w:pBdr>
          <w:top w:val="single" w:color="D0D6DE" w:sz="2"/>
          <w:bottom w:val="single" w:color="D0D6DE" w:sz="2"/>
          <w:left w:val="single" w:color="D0D6DE" w:sz="2"/>
          <w:right w:val="single" w:color="D0D6DE" w:sz="2"/>
        </w:pBdr>
        <w:shd w:fill="F3F5F7" w:val="clear"/>
        <w:spacing w:after="130" w:before="70"/>
      </w:pPr>
      <w:r>
        <w:rPr>
          <w:rFonts w:ascii="Consolas" w:cs="Consolas" w:eastAsia="Consolas" w:hAnsi="Consolas"/>
          <w:sz w:val="17"/>
          <w:szCs w:val="17"/>
        </w:rPr>
        <w:t xml:space="preserve">1. User selects a reporting period from the dropdown.</w:t>
      </w:r>
      <w:r>
        <w:rPr>
          <w:rFonts w:ascii="Consolas" w:cs="Consolas" w:eastAsia="Consolas" w:hAnsi="Consolas"/>
          <w:sz w:val="17"/>
          <w:szCs w:val="17"/>
        </w:rPr>
        <w:br/>
        <w:t xml:space="preserve">2. Frontend requests period-scoped data from the backend API.</w:t>
      </w:r>
      <w:r>
        <w:rPr>
          <w:rFonts w:ascii="Consolas" w:cs="Consolas" w:eastAsia="Consolas" w:hAnsi="Consolas"/>
          <w:sz w:val="17"/>
          <w:szCs w:val="17"/>
        </w:rPr>
        <w:br/>
        <w:t xml:space="preserve">3. Backend resolves each peer-group company's underlying filing data,</w:t>
      </w:r>
      <w:r>
        <w:rPr>
          <w:rFonts w:ascii="Consolas" w:cs="Consolas" w:eastAsia="Consolas" w:hAnsi="Consolas"/>
          <w:sz w:val="17"/>
          <w:szCs w:val="17"/>
        </w:rPr>
        <w:br/>
        <w:t xml:space="preserve">   normalizes it, and calculates Price and Mult.</w:t>
      </w:r>
      <w:r>
        <w:rPr>
          <w:rFonts w:ascii="Consolas" w:cs="Consolas" w:eastAsia="Consolas" w:hAnsi="Consolas"/>
          <w:sz w:val="17"/>
          <w:szCs w:val="17"/>
        </w:rPr>
        <w:br/>
        <w:t xml:space="preserve">4. Backend returns one structured response containing all tables and</w:t>
      </w:r>
      <w:r>
        <w:rPr>
          <w:rFonts w:ascii="Consolas" w:cs="Consolas" w:eastAsia="Consolas" w:hAnsi="Consolas"/>
          <w:sz w:val="17"/>
          <w:szCs w:val="17"/>
        </w:rPr>
        <w:br/>
        <w:t xml:space="preserve">   chart data for the selected period, including source-tag detail</w:t>
      </w:r>
      <w:r>
        <w:rPr>
          <w:rFonts w:ascii="Consolas" w:cs="Consolas" w:eastAsia="Consolas" w:hAnsi="Consolas"/>
          <w:sz w:val="17"/>
          <w:szCs w:val="17"/>
        </w:rPr>
        <w:br/>
        <w:t xml:space="preserve">   for tooltip use.</w:t>
      </w:r>
      <w:r>
        <w:rPr>
          <w:rFonts w:ascii="Consolas" w:cs="Consolas" w:eastAsia="Consolas" w:hAnsi="Consolas"/>
          <w:sz w:val="17"/>
          <w:szCs w:val="17"/>
        </w:rPr>
        <w:br/>
        <w:t xml:space="preserve">5. Frontend renders the summary table, additional tables, and charts</w:t>
      </w:r>
      <w:r>
        <w:rPr>
          <w:rFonts w:ascii="Consolas" w:cs="Consolas" w:eastAsia="Consolas" w:hAnsi="Consolas"/>
          <w:sz w:val="17"/>
          <w:szCs w:val="17"/>
        </w:rPr>
        <w:br/>
        <w:t xml:space="preserve">   from this single response, and updates all of them together.</w:t>
      </w:r>
    </w:p>
    <w:p>
      <w:pPr>
        <w:pStyle w:val="Heading1"/>
        <w:pBdr>
          <w:bottom w:val="single" w:color="1F3A5F" w:sz="6" w:space="4"/>
        </w:pBdr>
        <w:spacing w:after="130" w:before="300"/>
      </w:pPr>
      <w:r>
        <w:rPr>
          <w:b/>
          <w:bCs/>
          <w:color w:val="1F3A5F"/>
          <w:sz w:val="27"/>
          <w:szCs w:val="27"/>
        </w:rPr>
        <w:t xml:space="preserve">12. Backend/API Implementation</w:t>
      </w:r>
    </w:p>
    <w:p>
      <w:pPr>
        <w:spacing w:after="120" w:line="270"/>
      </w:pPr>
      <w:r>
        <w:rPr>
          <w:sz w:val="20"/>
          <w:szCs w:val="20"/>
        </w:rPr>
        <w:t xml:space="preserve">The backend is responsible for company resolution, filing data retrieval, metric/tag resolution, period normalization, and the Price/Mult calculations, exposing the result through a single API endpoint per tab.</w:t>
      </w:r>
    </w:p>
    <w:p>
      <w:pPr>
        <w:pStyle w:val="ListParagraph"/>
        <w:numPr>
          <w:ilvl w:val="0"/>
          <w:numId w:val="2"/>
        </w:numPr>
        <w:spacing w:after="55" w:line="260"/>
      </w:pPr>
      <w:r>
        <w:rPr>
          <w:sz w:val="20"/>
          <w:szCs w:val="20"/>
        </w:rPr>
        <w:t xml:space="preserve">An endpoint accepts the selected reporting period and returns all peer-group companies' data for that period in one response, structured for direct use by the tables and charts.</w:t>
      </w:r>
    </w:p>
    <w:p>
      <w:pPr>
        <w:pStyle w:val="ListParagraph"/>
        <w:numPr>
          <w:ilvl w:val="0"/>
          <w:numId w:val="2"/>
        </w:numPr>
        <w:spacing w:after="55" w:line="260"/>
      </w:pPr>
      <w:r>
        <w:rPr>
          <w:sz w:val="20"/>
          <w:szCs w:val="20"/>
        </w:rPr>
        <w:t xml:space="preserve">The endpoint response includes, per company and per metric, the resolved value together with its source detail (tag, form, filing date, accession) for tooltip use, and includes the calculated Price/Mult fields alongside the raw values they are derived from.</w:t>
      </w:r>
    </w:p>
    <w:p>
      <w:pPr>
        <w:pStyle w:val="ListParagraph"/>
        <w:numPr>
          <w:ilvl w:val="0"/>
          <w:numId w:val="2"/>
        </w:numPr>
        <w:spacing w:after="55" w:line="260"/>
      </w:pPr>
      <w:r>
        <w:rPr>
          <w:sz w:val="20"/>
          <w:szCs w:val="20"/>
        </w:rPr>
        <w:t xml:space="preserve">The backend is structured so that adding a further tab means adding a further endpoint and further metric/table definitions, without changing how company resolution, data retrieval, or period handling work.</w:t>
      </w:r>
    </w:p>
    <w:p>
      <w:pPr>
        <w:pStyle w:val="Heading1"/>
        <w:pBdr>
          <w:bottom w:val="single" w:color="1F3A5F" w:sz="6" w:space="4"/>
        </w:pBdr>
        <w:spacing w:after="130" w:before="300"/>
      </w:pPr>
      <w:r>
        <w:rPr>
          <w:b/>
          <w:bCs/>
          <w:color w:val="1F3A5F"/>
          <w:sz w:val="27"/>
          <w:szCs w:val="27"/>
        </w:rPr>
        <w:t xml:space="preserve">13. Frontend Implementation</w:t>
      </w:r>
    </w:p>
    <w:p>
      <w:pPr>
        <w:spacing w:after="120" w:line="270"/>
      </w:pPr>
      <w:r>
        <w:rPr>
          <w:sz w:val="20"/>
          <w:szCs w:val="20"/>
        </w:rPr>
        <w:t xml:space="preserve">The frontend is responsible only for requesting data from the backend and rendering it — it performs no data fetching from filings, no tag resolution, and no calculation of derived fields.</w:t>
      </w:r>
    </w:p>
    <w:p>
      <w:pPr>
        <w:pStyle w:val="ListParagraph"/>
        <w:numPr>
          <w:ilvl w:val="0"/>
          <w:numId w:val="2"/>
        </w:numPr>
        <w:spacing w:after="55" w:line="260"/>
      </w:pPr>
      <w:r>
        <w:rPr>
          <w:sz w:val="20"/>
          <w:szCs w:val="20"/>
        </w:rPr>
        <w:t xml:space="preserve">On period selection, the frontend requests the relevant endpoint and replaces its in-memory data with the response, then re-renders the summary table, additional tables, and charts from that single data set.</w:t>
      </w:r>
    </w:p>
    <w:p>
      <w:pPr>
        <w:pStyle w:val="ListParagraph"/>
        <w:numPr>
          <w:ilvl w:val="0"/>
          <w:numId w:val="2"/>
        </w:numPr>
        <w:spacing w:after="55" w:line="260"/>
      </w:pPr>
      <w:r>
        <w:rPr>
          <w:sz w:val="20"/>
          <w:szCs w:val="20"/>
        </w:rPr>
        <w:t xml:space="preserve">Tooltip content is rendered directly from the source-detail fields already present in the API response, without a separate request.</w:t>
      </w:r>
    </w:p>
    <w:p>
      <w:pPr>
        <w:pStyle w:val="ListParagraph"/>
        <w:numPr>
          <w:ilvl w:val="0"/>
          <w:numId w:val="2"/>
        </w:numPr>
        <w:spacing w:after="55" w:line="260"/>
      </w:pPr>
      <w:r>
        <w:rPr>
          <w:sz w:val="20"/>
          <w:szCs w:val="20"/>
        </w:rPr>
        <w:t xml:space="preserve">The frontend and backend communicate only through defined API responses, allowing either to be modified independently as long as the response structure is preserved.</w:t>
      </w:r>
    </w:p>
    <w:p>
      <w:pPr>
        <w:pStyle w:val="Heading1"/>
        <w:pBdr>
          <w:bottom w:val="single" w:color="1F3A5F" w:sz="6" w:space="4"/>
        </w:pBdr>
        <w:spacing w:after="130" w:before="300"/>
      </w:pPr>
      <w:r>
        <w:rPr>
          <w:b/>
          <w:bCs/>
          <w:color w:val="1F3A5F"/>
          <w:sz w:val="27"/>
          <w:szCs w:val="27"/>
        </w:rPr>
        <w:t xml:space="preserve">14. Integration with Python/Data Logic</w:t>
      </w:r>
    </w:p>
    <w:p>
      <w:pPr>
        <w:spacing w:after="120" w:line="270"/>
      </w:pPr>
      <w:r>
        <w:rPr>
          <w:sz w:val="20"/>
          <w:szCs w:val="20"/>
        </w:rPr>
        <w:t xml:space="preserve">The backend's data layer is built on the existing Python-based extraction architecture: ticker-to-company resolution, rate-limited and cached filing data retrieval, metric/tag resolution against verified tag definitions, and period normalization (including handling of restated figures).</w:t>
      </w:r>
    </w:p>
    <w:p>
      <w:pPr>
        <w:spacing w:after="120" w:line="270"/>
      </w:pPr>
      <w:r>
        <w:rPr>
          <w:sz w:val="20"/>
          <w:szCs w:val="20"/>
        </w:rPr>
        <w:t xml:space="preserve">The Price and Mult calculations are implemented as a distinct step in this data layer, applied after a company's raw metrics have been resolved and normalized, and before the result is returned by the API. This keeps tag resolution, normalization, and calculation as separate, independently verifiable steps.</w:t>
      </w:r>
    </w:p>
    <w:p>
      <w:pPr>
        <w:pStyle w:val="Heading1"/>
        <w:pBdr>
          <w:bottom w:val="single" w:color="1F3A5F" w:sz="6" w:space="4"/>
        </w:pBdr>
        <w:spacing w:after="130" w:before="300"/>
      </w:pPr>
      <w:r>
        <w:rPr>
          <w:b/>
          <w:bCs/>
          <w:color w:val="1F3A5F"/>
          <w:sz w:val="27"/>
          <w:szCs w:val="27"/>
        </w:rPr>
        <w:t xml:space="preserve">15. concepts.py Integration</w:t>
      </w:r>
    </w:p>
    <w:p>
      <w:pPr>
        <w:spacing w:after="120" w:line="270"/>
      </w:pPr>
      <w:r>
        <w:rPr>
          <w:sz w:val="20"/>
          <w:szCs w:val="20"/>
        </w:rPr>
        <w:t xml:space="preserve">Metric definitions — including the underlying tag chains for UPB, MSR Fair Value, and Servicing Fee used by this tab — are maintained in the system's central metric-definition module. This module is not limited to the metrics used by this tab; it serves as the shared definition source for all metrics across the broader extraction system, and is extended over time as additional metrics and tabs are added.</w:t>
      </w:r>
    </w:p>
    <w:p>
      <w:pPr>
        <w:spacing w:after="120" w:line="270"/>
      </w:pPr>
      <w:r>
        <w:rPr>
          <w:sz w:val="20"/>
          <w:szCs w:val="20"/>
        </w:rPr>
        <w:t xml:space="preserve">Each metric used by this dashboard is defined there as a verified chain of source tags, resolved in order until a value is found for the requested period, with the resolving tag recorded alongside the value for traceability.</w:t>
      </w:r>
    </w:p>
    <w:p>
      <w:pPr>
        <w:pStyle w:val="Heading1"/>
        <w:pBdr>
          <w:bottom w:val="single" w:color="1F3A5F" w:sz="6" w:space="4"/>
        </w:pBdr>
        <w:spacing w:after="130" w:before="300"/>
      </w:pPr>
      <w:r>
        <w:rPr>
          <w:b/>
          <w:bCs/>
          <w:color w:val="1F3A5F"/>
          <w:sz w:val="27"/>
          <w:szCs w:val="27"/>
        </w:rPr>
        <w:t xml:space="preserve">16. Functional Requirements</w:t>
      </w:r>
    </w:p>
    <w:p>
      <w:pPr>
        <w:pStyle w:val="ListParagraph"/>
        <w:numPr>
          <w:ilvl w:val="0"/>
          <w:numId w:val="2"/>
        </w:numPr>
        <w:spacing w:after="55" w:line="260"/>
      </w:pPr>
      <w:r>
        <w:rPr>
          <w:sz w:val="20"/>
          <w:szCs w:val="20"/>
        </w:rPr>
        <w:t xml:space="preserve">The dashboard displays real, current data for every peer-group company for any supported reporting period.</w:t>
      </w:r>
    </w:p>
    <w:p>
      <w:pPr>
        <w:pStyle w:val="ListParagraph"/>
        <w:numPr>
          <w:ilvl w:val="0"/>
          <w:numId w:val="2"/>
        </w:numPr>
        <w:spacing w:after="55" w:line="260"/>
      </w:pPr>
      <w:r>
        <w:rPr>
          <w:sz w:val="20"/>
          <w:szCs w:val="20"/>
        </w:rPr>
        <w:t xml:space="preserve">Changing the reporting period updates all tables and charts on the active tab together, without a page reload.</w:t>
      </w:r>
    </w:p>
    <w:p>
      <w:pPr>
        <w:pStyle w:val="ListParagraph"/>
        <w:numPr>
          <w:ilvl w:val="0"/>
          <w:numId w:val="2"/>
        </w:numPr>
        <w:spacing w:after="55" w:line="260"/>
      </w:pPr>
      <w:r>
        <w:rPr>
          <w:sz w:val="20"/>
          <w:szCs w:val="20"/>
        </w:rPr>
        <w:t xml:space="preserve">Every displayed value, raw or calculated, exposes its source or derivation via hover.</w:t>
      </w:r>
    </w:p>
    <w:p>
      <w:pPr>
        <w:pStyle w:val="ListParagraph"/>
        <w:numPr>
          <w:ilvl w:val="0"/>
          <w:numId w:val="2"/>
        </w:numPr>
        <w:spacing w:after="55" w:line="260"/>
      </w:pPr>
      <w:r>
        <w:rPr>
          <w:sz w:val="20"/>
          <w:szCs w:val="20"/>
        </w:rPr>
        <w:t xml:space="preserve">Missing underlying data for a company/period is shown as a clear not-available indicator, never as an omitted row or a fabricated value.</w:t>
      </w:r>
    </w:p>
    <w:p>
      <w:pPr>
        <w:pStyle w:val="Heading1"/>
        <w:pBdr>
          <w:bottom w:val="single" w:color="1F3A5F" w:sz="6" w:space="4"/>
        </w:pBdr>
        <w:spacing w:after="130" w:before="300"/>
      </w:pPr>
      <w:r>
        <w:rPr>
          <w:b/>
          <w:bCs/>
          <w:color w:val="1F3A5F"/>
          <w:sz w:val="27"/>
          <w:szCs w:val="27"/>
        </w:rPr>
        <w:t xml:space="preserve">17. Non-Functional Requirements</w:t>
      </w:r>
    </w:p>
    <w:p>
      <w:pPr>
        <w:pStyle w:val="ListParagraph"/>
        <w:numPr>
          <w:ilvl w:val="0"/>
          <w:numId w:val="2"/>
        </w:numPr>
        <w:spacing w:after="55" w:line="260"/>
      </w:pPr>
      <w:r>
        <w:rPr>
          <w:sz w:val="20"/>
          <w:szCs w:val="20"/>
        </w:rPr>
        <w:t xml:space="preserve">Period-switch response time should feel immediate to the user for a peer group of this size.</w:t>
      </w:r>
    </w:p>
    <w:p>
      <w:pPr>
        <w:pStyle w:val="ListParagraph"/>
        <w:numPr>
          <w:ilvl w:val="0"/>
          <w:numId w:val="2"/>
        </w:numPr>
        <w:spacing w:after="55" w:line="260"/>
      </w:pPr>
      <w:r>
        <w:rPr>
          <w:sz w:val="20"/>
          <w:szCs w:val="20"/>
        </w:rPr>
        <w:t xml:space="preserve">The frontend and backend are independently deployable and independently testable.</w:t>
      </w:r>
    </w:p>
    <w:p>
      <w:pPr>
        <w:pStyle w:val="ListParagraph"/>
        <w:numPr>
          <w:ilvl w:val="0"/>
          <w:numId w:val="2"/>
        </w:numPr>
        <w:spacing w:after="55" w:line="260"/>
      </w:pPr>
      <w:r>
        <w:rPr>
          <w:sz w:val="20"/>
          <w:szCs w:val="20"/>
        </w:rPr>
        <w:t xml:space="preserve">Underlying filing data is cached to avoid redundant external requests across repeated views of the same period.</w:t>
      </w:r>
    </w:p>
    <w:p>
      <w:pPr>
        <w:pStyle w:val="Heading1"/>
        <w:pBdr>
          <w:bottom w:val="single" w:color="1F3A5F" w:sz="6" w:space="4"/>
        </w:pBdr>
        <w:spacing w:after="130" w:before="300"/>
      </w:pPr>
      <w:r>
        <w:rPr>
          <w:b/>
          <w:bCs/>
          <w:color w:val="1F3A5F"/>
          <w:sz w:val="27"/>
          <w:szCs w:val="27"/>
        </w:rPr>
        <w:t xml:space="preserve">18. Testing/Validation Requirements</w:t>
      </w:r>
    </w:p>
    <w:p>
      <w:pPr>
        <w:pStyle w:val="ListParagraph"/>
        <w:numPr>
          <w:ilvl w:val="0"/>
          <w:numId w:val="2"/>
        </w:numPr>
        <w:spacing w:after="55" w:line="260"/>
      </w:pPr>
      <w:r>
        <w:rPr>
          <w:sz w:val="20"/>
          <w:szCs w:val="20"/>
        </w:rPr>
        <w:t xml:space="preserve">For each peer-group company, UPB, Fair Value, and Servicing Fee values are verified against the company's actual filing for at least one period.</w:t>
      </w:r>
    </w:p>
    <w:p>
      <w:pPr>
        <w:pStyle w:val="ListParagraph"/>
        <w:numPr>
          <w:ilvl w:val="0"/>
          <w:numId w:val="2"/>
        </w:numPr>
        <w:spacing w:after="55" w:line="260"/>
      </w:pPr>
      <w:r>
        <w:rPr>
          <w:sz w:val="20"/>
          <w:szCs w:val="20"/>
        </w:rPr>
        <w:t xml:space="preserve">Price and Mult values are independently recalculated by hand from the raw values and confirmed to match the dashboard's displayed figures exactly.</w:t>
      </w:r>
    </w:p>
    <w:p>
      <w:pPr>
        <w:pStyle w:val="ListParagraph"/>
        <w:numPr>
          <w:ilvl w:val="0"/>
          <w:numId w:val="2"/>
        </w:numPr>
        <w:spacing w:after="55" w:line="260"/>
      </w:pPr>
      <w:r>
        <w:rPr>
          <w:sz w:val="20"/>
          <w:szCs w:val="20"/>
        </w:rPr>
        <w:t xml:space="preserve">Period switching is verified to fully refresh all tables and charts with no residual data from the previously selected period.</w:t>
      </w:r>
    </w:p>
    <w:p>
      <w:pPr>
        <w:pStyle w:val="ListParagraph"/>
        <w:numPr>
          <w:ilvl w:val="0"/>
          <w:numId w:val="2"/>
        </w:numPr>
        <w:spacing w:after="55" w:line="260"/>
      </w:pPr>
      <w:r>
        <w:rPr>
          <w:sz w:val="20"/>
          <w:szCs w:val="20"/>
        </w:rPr>
        <w:t xml:space="preserve">Tooltip content is verified to match the underlying data exactly for both raw and calculated fields.</w:t>
      </w:r>
    </w:p>
    <w:p>
      <w:pPr>
        <w:pStyle w:val="ListParagraph"/>
        <w:numPr>
          <w:ilvl w:val="0"/>
          <w:numId w:val="2"/>
        </w:numPr>
        <w:spacing w:after="55" w:line="260"/>
      </w:pPr>
      <w:r>
        <w:rPr>
          <w:sz w:val="20"/>
          <w:szCs w:val="20"/>
        </w:rPr>
        <w:t xml:space="preserve">A company missing a required input is verified to display a not-available indicator rather than an incorrect or blank figure.</w:t>
      </w:r>
    </w:p>
    <w:p>
      <w:pPr>
        <w:pStyle w:val="Heading1"/>
        <w:pBdr>
          <w:bottom w:val="single" w:color="1F3A5F" w:sz="6" w:space="4"/>
        </w:pBdr>
        <w:spacing w:after="130" w:before="300"/>
      </w:pPr>
      <w:r>
        <w:rPr>
          <w:b/>
          <w:bCs/>
          <w:color w:val="1F3A5F"/>
          <w:sz w:val="27"/>
          <w:szCs w:val="27"/>
        </w:rPr>
        <w:t xml:space="preserve">19. Future Extensibility</w:t>
      </w:r>
    </w:p>
    <w:p>
      <w:pPr>
        <w:spacing w:after="120" w:line="270"/>
      </w:pPr>
      <w:r>
        <w:rPr>
          <w:sz w:val="20"/>
          <w:szCs w:val="20"/>
        </w:rPr>
        <w:t xml:space="preserve">The architecture supports adding further dashboard tabs, additional peer-group companies, and additional metrics without structural change: each is an addition to configuration or metric definitions, layered onto the same company-resolution, data-retrieval, normalization, and API pattern established by this first tab.</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4"/>
        <w:szCs w:val="14"/>
      </w:rPr>
      <w:t xml:space="preserve">Servicer Peer Analytics Dashboard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lvl w:ilvl="1" w15:tentative="1">
      <w:start w:val="1"/>
      <w:numFmt w:val="bullet"/>
      <w:lvlText w:val="–"/>
      <w:lvlJc w:val="left"/>
      <w:pPr>
        <w:ind w:left="6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2026-08-27T05:05:06.355Z</dcterms:created>
  <dcterms:modified xsi:type="dcterms:W3CDTF">2026-08-27T05:05:06.371Z</dcterms:modified>
</cp:coreProperties>
</file>

<file path=docProps/custom.xml><?xml version="1.0" encoding="utf-8"?>
<Properties xmlns="http://schemas.openxmlformats.org/officeDocument/2006/custom-properties" xmlns:vt="http://schemas.openxmlformats.org/officeDocument/2006/docPropsVTypes"/>
</file>