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Notice of Intent to Award A Sole Source Contract to Roche</w:t>
            </w:r>
            <w:r w:rsidRPr="00F43FAC">
              <w:rPr>
                <w:rStyle w:val="AAMSKBFill-InHighlight"/>
                <w:color w:val="auto"/>
              </w:rPr>
              <w:t xml:space="preserve"> </w:t>
            </w:r>
            <w:r w:rsidRPr="00F43FAC">
              <w:rPr>
                <w:rStyle w:val="AAMSKBFill-InHighlight"/>
                <w:color w:val="auto"/>
              </w:rPr>
              <w:t xml:space="preserve"> </w:t>
            </w:r>
            <w:r>
              <w:rPr>
                <w:rStyle w:val="AAMSKBFill-InHighlight"/>
                <w:color w:val="auto"/>
              </w:rPr>
              <w:t>Diagnostics Corporation for Roche Instrument Consumables and</w:t>
            </w:r>
            <w:r w:rsidR="00F43FAC">
              <w:rPr>
                <w:rStyle w:val="AAMSKBFill-InHighlight"/>
                <w:color w:val="auto"/>
              </w:rPr>
              <w:t xml:space="preserve"> </w:t>
            </w:r>
            <w:r>
              <w:rPr>
                <w:rStyle w:val="AAMSKBFill-InHighlight"/>
                <w:color w:val="auto"/>
              </w:rPr>
              <w:t>Reagents for the Hudson Valley VAMC.</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10468-3904</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36C24225Q0397</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03-06-2025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16:00</w:t>
            </w:r>
            <w:r w:rsidRPr="009738F0">
              <w:rPr>
                <w:rStyle w:val="AAMSKBFill-InHighlight"/>
                <w:color w:val="auto"/>
              </w:rPr>
              <w:t xml:space="preserve"> </w:t>
            </w:r>
            <w:r>
              <w:rPr>
                <w:rStyle w:val="AAMSKBFill-InHighlight"/>
                <w:rFonts w:asciiTheme="minorHAnsi" w:hAnsiTheme="minorHAnsi" w:cstheme="minorHAnsi"/>
                <w:color w:val="auto"/>
              </w:rPr>
              <w:t>EASTERN TIME, NEW YORK,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5</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6640</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334516</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2</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James J. Peters VA Medical Center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130 West Kingsbridge Road</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Bronx NY  10468-3904</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Officer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Jonatan Rondon</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jonatan.rondon@va.gov</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212-686-7500 ex. 5588</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r>
              <w:rPr>
                <w:rFonts w:asciiTheme="minorHAnsi" w:hAnsiTheme="minorHAnsi" w:cstheme="minorHAnsi"/>
              </w:rPr>
              <w:t>https://va.gov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VHA</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jonatan.rondon@va.gov</w:t>
            </w: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r>
              <w:rPr>
                <w:rFonts w:asciiTheme="minorHAnsi" w:hAnsiTheme="minorHAnsi" w:cstheme="minorHAnsi"/>
                <w:szCs w:val="20"/>
              </w:rPr>
              <w:t>Network Contracting Office 2</w:t>
            </w: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203210" w:rsidP="00C46209">
      <w:pPr>
        <w:pStyle w:val="BodyText"/>
        <w:ind w:left="0"/>
        <w:rPr>
          <w:rFonts w:ascii="Times New Roman" w:hAnsi="Times New Roman" w:cs="Times New Roman"/>
          <w:color w:val="0D0D0D"/>
          <w:sz w:val="22"/>
          <w:szCs w:val="22"/>
        </w:rPr>
      </w:pPr>
      <w:r w:rsidRPr="002336D0">
        <w:rPr>
          <w:rFonts w:ascii="Times New Roman" w:hAnsi="Times New Roman" w:cs="Times New Roman"/>
          <w:color w:val="0D0D0D"/>
          <w:sz w:val="22"/>
          <w:szCs w:val="22"/>
          <w:highlight w:val="yellow"/>
        </w:rPr>
        <w:t>TITLE: NOTICE OF INTENT TO AWAR</w:t>
      </w:r>
      <w:r w:rsidRPr="002336D0" w:rsidR="0013789E">
        <w:rPr>
          <w:rFonts w:ascii="Times New Roman" w:hAnsi="Times New Roman" w:cs="Times New Roman"/>
          <w:color w:val="0D0D0D"/>
          <w:sz w:val="22"/>
          <w:szCs w:val="22"/>
          <w:highlight w:val="yellow"/>
        </w:rPr>
        <w:t xml:space="preserve">D SOLE SOURCE </w:t>
      </w:r>
      <w:r w:rsidRPr="002336D0" w:rsidR="00C46209">
        <w:rPr>
          <w:rFonts w:ascii="Times New Roman" w:hAnsi="Times New Roman" w:cs="Times New Roman"/>
          <w:color w:val="0D0D0D"/>
          <w:sz w:val="22"/>
          <w:szCs w:val="22"/>
          <w:highlight w:val="yellow"/>
        </w:rPr>
        <w:t xml:space="preserve">to Roche Diagnostics Corporation, </w:t>
      </w:r>
      <w:r w:rsidRPr="002336D0" w:rsidR="00BB6500">
        <w:rPr>
          <w:rFonts w:ascii="Times New Roman" w:hAnsi="Times New Roman" w:cs="Times New Roman"/>
          <w:color w:val="0D0D0D"/>
          <w:sz w:val="22"/>
          <w:szCs w:val="22"/>
          <w:highlight w:val="yellow"/>
        </w:rPr>
        <w:t>Base Plus Four Option Years</w:t>
      </w:r>
      <w:r w:rsidRPr="002336D0" w:rsidR="00B36ED1">
        <w:rPr>
          <w:rFonts w:ascii="Times New Roman" w:hAnsi="Times New Roman" w:cs="Times New Roman"/>
          <w:color w:val="0D0D0D"/>
          <w:sz w:val="22"/>
          <w:szCs w:val="22"/>
          <w:highlight w:val="yellow"/>
        </w:rPr>
        <w:t xml:space="preserve"> Contract for Roche Instrument Consumables and </w:t>
      </w:r>
      <w:r w:rsidRPr="002336D0" w:rsidR="007622FE">
        <w:rPr>
          <w:rFonts w:ascii="Times New Roman" w:hAnsi="Times New Roman" w:cs="Times New Roman"/>
          <w:color w:val="0D0D0D"/>
          <w:sz w:val="22"/>
          <w:szCs w:val="22"/>
          <w:highlight w:val="yellow"/>
        </w:rPr>
        <w:t>Reagents</w:t>
      </w:r>
      <w:r w:rsidRPr="002336D0" w:rsidR="00B36ED1">
        <w:rPr>
          <w:rFonts w:ascii="Times New Roman" w:hAnsi="Times New Roman" w:cs="Times New Roman"/>
          <w:color w:val="0D0D0D"/>
          <w:sz w:val="22"/>
          <w:szCs w:val="22"/>
          <w:highlight w:val="yellow"/>
        </w:rPr>
        <w:t xml:space="preserve"> for the </w:t>
      </w:r>
      <w:r w:rsidRPr="002336D0" w:rsidR="00595C4B">
        <w:rPr>
          <w:rFonts w:ascii="Times New Roman" w:hAnsi="Times New Roman" w:cs="Times New Roman"/>
          <w:color w:val="0D0D0D"/>
          <w:sz w:val="22"/>
          <w:szCs w:val="22"/>
          <w:highlight w:val="yellow"/>
        </w:rPr>
        <w:t>Hudson Valley VA Medical Center.</w:t>
      </w:r>
      <w:r w:rsidR="00595C4B">
        <w:rPr>
          <w:rFonts w:ascii="Times New Roman" w:hAnsi="Times New Roman" w:cs="Times New Roman"/>
          <w:color w:val="0D0D0D"/>
          <w:sz w:val="22"/>
          <w:szCs w:val="22"/>
        </w:rPr>
        <w:t xml:space="preserve"> </w:t>
      </w:r>
    </w:p>
    <w:p w:rsidR="00203210" w:rsidP="00C46209">
      <w:pPr>
        <w:pStyle w:val="BodyText"/>
        <w:ind w:left="0"/>
        <w:rPr>
          <w:rFonts w:ascii="Times New Roman" w:hAnsi="Times New Roman" w:cs="Times New Roman"/>
          <w:color w:val="0D0D0D"/>
          <w:sz w:val="22"/>
          <w:szCs w:val="22"/>
        </w:rPr>
      </w:pPr>
    </w:p>
    <w:p w:rsidR="007B0445" w:rsidRPr="00137372" w:rsidP="00C46209">
      <w:pPr>
        <w:pStyle w:val="BodyText"/>
        <w:ind w:left="0"/>
        <w:rPr>
          <w:rFonts w:ascii="Times New Roman" w:hAnsi="Times New Roman" w:cs="Times New Roman"/>
          <w:sz w:val="22"/>
          <w:szCs w:val="22"/>
        </w:rPr>
      </w:pPr>
      <w:r w:rsidRPr="00137372">
        <w:rPr>
          <w:rFonts w:ascii="Times New Roman" w:hAnsi="Times New Roman" w:cs="Times New Roman"/>
          <w:color w:val="0D0D0D"/>
          <w:sz w:val="22"/>
          <w:szCs w:val="22"/>
        </w:rPr>
        <w:t xml:space="preserve">SOL: </w:t>
      </w:r>
      <w:r w:rsidRPr="00DA0800" w:rsidR="00DA0800">
        <w:rPr>
          <w:rFonts w:ascii="Times New Roman" w:hAnsi="Times New Roman" w:cs="Times New Roman"/>
          <w:b/>
          <w:bCs/>
          <w:color w:val="0D0D0D"/>
          <w:sz w:val="22"/>
          <w:szCs w:val="22"/>
        </w:rPr>
        <w:t>36C24225Q0397</w:t>
      </w:r>
    </w:p>
    <w:p w:rsidR="00A56720" w:rsidRPr="00137372" w:rsidP="00C46209">
      <w:pPr>
        <w:pStyle w:val="BodyText"/>
        <w:ind w:left="0"/>
        <w:rPr>
          <w:rFonts w:ascii="Times New Roman" w:hAnsi="Times New Roman" w:cs="Times New Roman"/>
          <w:color w:val="0D0D0D"/>
          <w:sz w:val="22"/>
          <w:szCs w:val="22"/>
        </w:rPr>
      </w:pPr>
      <w:r w:rsidRPr="00137372">
        <w:rPr>
          <w:rFonts w:ascii="Times New Roman" w:hAnsi="Times New Roman" w:cs="Times New Roman"/>
          <w:color w:val="0D0D0D"/>
          <w:sz w:val="22"/>
          <w:szCs w:val="22"/>
        </w:rPr>
        <w:t>DUE:</w:t>
      </w:r>
      <w:r w:rsidRPr="00137372" w:rsidR="00487A05">
        <w:rPr>
          <w:rFonts w:ascii="Times New Roman" w:hAnsi="Times New Roman" w:cs="Times New Roman"/>
          <w:color w:val="0D0D0D"/>
          <w:sz w:val="22"/>
          <w:szCs w:val="22"/>
        </w:rPr>
        <w:t>0</w:t>
      </w:r>
      <w:r w:rsidR="00984B8A">
        <w:rPr>
          <w:rFonts w:ascii="Times New Roman" w:hAnsi="Times New Roman" w:cs="Times New Roman"/>
          <w:color w:val="0D0D0D"/>
          <w:sz w:val="22"/>
          <w:szCs w:val="22"/>
        </w:rPr>
        <w:t>3</w:t>
      </w:r>
      <w:r w:rsidRPr="00137372" w:rsidR="00233CC1">
        <w:rPr>
          <w:rFonts w:ascii="Times New Roman" w:hAnsi="Times New Roman" w:cs="Times New Roman"/>
          <w:color w:val="0D0D0D"/>
          <w:sz w:val="22"/>
          <w:szCs w:val="22"/>
        </w:rPr>
        <w:t>/</w:t>
      </w:r>
      <w:r w:rsidR="00984B8A">
        <w:rPr>
          <w:rFonts w:ascii="Times New Roman" w:hAnsi="Times New Roman" w:cs="Times New Roman"/>
          <w:color w:val="0D0D0D"/>
          <w:sz w:val="22"/>
          <w:szCs w:val="22"/>
        </w:rPr>
        <w:t>0</w:t>
      </w:r>
      <w:r w:rsidRPr="00137372" w:rsidR="00487A05">
        <w:rPr>
          <w:rFonts w:ascii="Times New Roman" w:hAnsi="Times New Roman" w:cs="Times New Roman"/>
          <w:color w:val="0D0D0D"/>
          <w:sz w:val="22"/>
          <w:szCs w:val="22"/>
        </w:rPr>
        <w:t>6</w:t>
      </w:r>
      <w:r w:rsidRPr="00137372" w:rsidR="00233CC1">
        <w:rPr>
          <w:rFonts w:ascii="Times New Roman" w:hAnsi="Times New Roman" w:cs="Times New Roman"/>
          <w:color w:val="0D0D0D"/>
          <w:sz w:val="22"/>
          <w:szCs w:val="22"/>
        </w:rPr>
        <w:t>/2</w:t>
      </w:r>
      <w:r w:rsidRPr="00137372" w:rsidR="00DF14B4">
        <w:rPr>
          <w:rFonts w:ascii="Times New Roman" w:hAnsi="Times New Roman" w:cs="Times New Roman"/>
          <w:color w:val="0D0D0D"/>
          <w:sz w:val="22"/>
          <w:szCs w:val="22"/>
        </w:rPr>
        <w:t>0</w:t>
      </w:r>
      <w:r w:rsidRPr="00137372" w:rsidR="00B67B6C">
        <w:rPr>
          <w:rFonts w:ascii="Times New Roman" w:hAnsi="Times New Roman" w:cs="Times New Roman"/>
          <w:color w:val="0D0D0D"/>
          <w:sz w:val="22"/>
          <w:szCs w:val="22"/>
        </w:rPr>
        <w:t>2</w:t>
      </w:r>
      <w:r w:rsidR="00984B8A">
        <w:rPr>
          <w:rFonts w:ascii="Times New Roman" w:hAnsi="Times New Roman" w:cs="Times New Roman"/>
          <w:color w:val="0D0D0D"/>
          <w:sz w:val="22"/>
          <w:szCs w:val="22"/>
        </w:rPr>
        <w:t>5</w:t>
      </w:r>
    </w:p>
    <w:p w:rsidR="002758A1" w:rsidRPr="00137372" w:rsidP="00C46209">
      <w:pPr>
        <w:pStyle w:val="BodyText"/>
        <w:ind w:left="0"/>
        <w:rPr>
          <w:rFonts w:ascii="Times New Roman" w:hAnsi="Times New Roman" w:cs="Times New Roman"/>
          <w:color w:val="0D0D0D"/>
          <w:sz w:val="22"/>
          <w:szCs w:val="22"/>
        </w:rPr>
      </w:pPr>
      <w:r w:rsidRPr="00137372">
        <w:rPr>
          <w:rFonts w:ascii="Times New Roman" w:hAnsi="Times New Roman" w:cs="Times New Roman"/>
          <w:color w:val="0D0D0D"/>
          <w:sz w:val="22"/>
          <w:szCs w:val="22"/>
        </w:rPr>
        <w:t xml:space="preserve">SET ASIDE: N/A </w:t>
      </w:r>
    </w:p>
    <w:p w:rsidR="007B0445" w:rsidRPr="00137372" w:rsidP="00C46209">
      <w:pPr>
        <w:pStyle w:val="BodyText"/>
        <w:ind w:left="0"/>
        <w:rPr>
          <w:rFonts w:ascii="Times New Roman" w:hAnsi="Times New Roman" w:cs="Times New Roman"/>
          <w:sz w:val="22"/>
          <w:szCs w:val="22"/>
        </w:rPr>
      </w:pPr>
      <w:r w:rsidRPr="00137372">
        <w:rPr>
          <w:rFonts w:ascii="Times New Roman" w:hAnsi="Times New Roman" w:cs="Times New Roman"/>
          <w:color w:val="0D0D0D"/>
          <w:sz w:val="22"/>
          <w:szCs w:val="22"/>
        </w:rPr>
        <w:t xml:space="preserve">NAICS: </w:t>
      </w:r>
      <w:r w:rsidRPr="00137372" w:rsidR="009400F1">
        <w:rPr>
          <w:rFonts w:ascii="Times New Roman" w:hAnsi="Times New Roman" w:cs="Times New Roman"/>
          <w:color w:val="0D0D0D"/>
          <w:sz w:val="22"/>
          <w:szCs w:val="22"/>
        </w:rPr>
        <w:t>33</w:t>
      </w:r>
      <w:r w:rsidRPr="00137372" w:rsidR="00487A05">
        <w:rPr>
          <w:rFonts w:ascii="Times New Roman" w:hAnsi="Times New Roman" w:cs="Times New Roman"/>
          <w:color w:val="0D0D0D"/>
          <w:sz w:val="22"/>
          <w:szCs w:val="22"/>
        </w:rPr>
        <w:t>24</w:t>
      </w:r>
      <w:r w:rsidRPr="00137372" w:rsidR="00AB6A0D">
        <w:rPr>
          <w:rFonts w:ascii="Times New Roman" w:hAnsi="Times New Roman" w:cs="Times New Roman"/>
          <w:color w:val="0D0D0D"/>
          <w:sz w:val="22"/>
          <w:szCs w:val="22"/>
        </w:rPr>
        <w:t>516</w:t>
      </w:r>
      <w:r w:rsidRPr="00137372" w:rsidR="00ED1CE9">
        <w:rPr>
          <w:rFonts w:ascii="Times New Roman" w:hAnsi="Times New Roman" w:cs="Times New Roman"/>
          <w:color w:val="0D0D0D"/>
          <w:sz w:val="22"/>
          <w:szCs w:val="22"/>
        </w:rPr>
        <w:t xml:space="preserve"> </w:t>
      </w:r>
      <w:r w:rsidRPr="00137372" w:rsidR="00167CB5">
        <w:rPr>
          <w:rFonts w:ascii="Times New Roman" w:hAnsi="Times New Roman" w:cs="Times New Roman"/>
          <w:color w:val="0D0D0D"/>
          <w:sz w:val="22"/>
          <w:szCs w:val="22"/>
        </w:rPr>
        <w:t>– Analytical Laboratory Instrument Manufacturing.</w:t>
      </w:r>
    </w:p>
    <w:p w:rsidR="007B0445" w:rsidRPr="00137372" w:rsidP="00C46209">
      <w:pPr>
        <w:pStyle w:val="BodyText"/>
        <w:spacing w:line="265" w:lineRule="exact"/>
        <w:ind w:left="0"/>
        <w:rPr>
          <w:rFonts w:ascii="Times New Roman" w:hAnsi="Times New Roman" w:cs="Times New Roman"/>
          <w:sz w:val="22"/>
          <w:szCs w:val="22"/>
        </w:rPr>
      </w:pPr>
      <w:r w:rsidRPr="00137372">
        <w:rPr>
          <w:rFonts w:ascii="Times New Roman" w:hAnsi="Times New Roman" w:cs="Times New Roman"/>
          <w:color w:val="0D0D0D"/>
          <w:sz w:val="22"/>
          <w:szCs w:val="22"/>
        </w:rPr>
        <w:t xml:space="preserve">POP STATE: </w:t>
      </w:r>
      <w:r w:rsidRPr="00137372" w:rsidR="00AB6A0D">
        <w:rPr>
          <w:rFonts w:ascii="Times New Roman" w:hAnsi="Times New Roman" w:cs="Times New Roman"/>
          <w:color w:val="0D0D0D"/>
          <w:sz w:val="22"/>
          <w:szCs w:val="22"/>
        </w:rPr>
        <w:t>30</w:t>
      </w:r>
      <w:r w:rsidRPr="00137372" w:rsidR="00B36C0A">
        <w:rPr>
          <w:rFonts w:ascii="Times New Roman" w:hAnsi="Times New Roman" w:cs="Times New Roman"/>
          <w:color w:val="0D0D0D"/>
          <w:sz w:val="22"/>
          <w:szCs w:val="22"/>
        </w:rPr>
        <w:t xml:space="preserve"> Days ARO</w:t>
      </w:r>
    </w:p>
    <w:p w:rsidR="00DF14B4" w:rsidRPr="00137372" w:rsidP="00C46209">
      <w:pPr>
        <w:pStyle w:val="BodyText"/>
        <w:ind w:left="0"/>
        <w:rPr>
          <w:rFonts w:ascii="Times New Roman" w:hAnsi="Times New Roman" w:cs="Times New Roman"/>
          <w:color w:val="0D0D0D"/>
          <w:sz w:val="22"/>
          <w:szCs w:val="22"/>
        </w:rPr>
      </w:pPr>
      <w:r w:rsidRPr="00137372">
        <w:rPr>
          <w:rFonts w:ascii="Times New Roman" w:hAnsi="Times New Roman" w:cs="Times New Roman"/>
          <w:color w:val="0D0D0D"/>
          <w:sz w:val="22"/>
          <w:szCs w:val="22"/>
        </w:rPr>
        <w:t>AGENCY:</w:t>
      </w:r>
      <w:r w:rsidRPr="00137372" w:rsidR="00340194">
        <w:rPr>
          <w:rFonts w:ascii="Times New Roman" w:hAnsi="Times New Roman" w:cs="Times New Roman"/>
          <w:color w:val="0D0D0D"/>
          <w:sz w:val="22"/>
          <w:szCs w:val="22"/>
        </w:rPr>
        <w:t xml:space="preserve"> Department of Veterans Affairs</w:t>
      </w:r>
      <w:r w:rsidRPr="00137372" w:rsidR="002D698F">
        <w:rPr>
          <w:rFonts w:ascii="Times New Roman" w:hAnsi="Times New Roman" w:cs="Times New Roman"/>
          <w:color w:val="0D0D0D"/>
          <w:sz w:val="22"/>
          <w:szCs w:val="22"/>
        </w:rPr>
        <w:t>, James J. Peters VA Medical Center, 130 West Kingsbridge Road, Bronx, NY 10468.</w:t>
      </w:r>
    </w:p>
    <w:p w:rsidR="007B0445" w:rsidRPr="00137372" w:rsidP="00C46209">
      <w:pPr>
        <w:pStyle w:val="BodyText"/>
        <w:ind w:left="0"/>
        <w:rPr>
          <w:rFonts w:ascii="Times New Roman" w:hAnsi="Times New Roman" w:cs="Times New Roman"/>
          <w:sz w:val="22"/>
          <w:szCs w:val="22"/>
        </w:rPr>
      </w:pPr>
      <w:r w:rsidRPr="00137372">
        <w:rPr>
          <w:rFonts w:ascii="Times New Roman" w:hAnsi="Times New Roman" w:cs="Times New Roman"/>
          <w:color w:val="0D0D0D"/>
          <w:sz w:val="22"/>
          <w:szCs w:val="22"/>
        </w:rPr>
        <w:t>email</w:t>
      </w:r>
      <w:r w:rsidRPr="00137372" w:rsidR="000571E9">
        <w:rPr>
          <w:rFonts w:ascii="Times New Roman" w:hAnsi="Times New Roman" w:cs="Times New Roman"/>
          <w:color w:val="0D0D0D"/>
          <w:sz w:val="22"/>
          <w:szCs w:val="22"/>
        </w:rPr>
        <w:t xml:space="preserve">: </w:t>
      </w:r>
      <w:r>
        <w:fldChar w:fldCharType="begin"/>
      </w:r>
      <w:r>
        <w:instrText xml:space="preserve"> HYPERLINK "mailto:Jonatan.rondon@va.gov" </w:instrText>
      </w:r>
      <w:r>
        <w:fldChar w:fldCharType="separate"/>
      </w:r>
      <w:r w:rsidRPr="00137372" w:rsidR="002D698F">
        <w:rPr>
          <w:rStyle w:val="Hyperlink"/>
          <w:rFonts w:ascii="Times New Roman" w:hAnsi="Times New Roman" w:cs="Times New Roman"/>
          <w:sz w:val="22"/>
          <w:szCs w:val="22"/>
        </w:rPr>
        <w:t>Jonatan.rondon@va.gov</w:t>
      </w:r>
      <w:r>
        <w:fldChar w:fldCharType="end"/>
      </w:r>
      <w:r w:rsidRPr="00137372" w:rsidR="002D698F">
        <w:rPr>
          <w:rFonts w:ascii="Times New Roman" w:hAnsi="Times New Roman" w:cs="Times New Roman"/>
          <w:color w:val="0D0D0D"/>
          <w:sz w:val="22"/>
          <w:szCs w:val="22"/>
        </w:rPr>
        <w:t xml:space="preserve"> </w:t>
      </w:r>
      <w:r w:rsidRPr="00137372" w:rsidR="00DF14B4">
        <w:rPr>
          <w:rFonts w:ascii="Times New Roman" w:hAnsi="Times New Roman" w:cs="Times New Roman"/>
          <w:sz w:val="22"/>
          <w:szCs w:val="22"/>
        </w:rPr>
        <w:t xml:space="preserve"> </w:t>
      </w:r>
    </w:p>
    <w:p w:rsidR="00A56720" w:rsidP="00203210">
      <w:pPr>
        <w:pStyle w:val="BodyText"/>
        <w:spacing w:before="229"/>
        <w:ind w:left="0"/>
        <w:rPr>
          <w:rFonts w:ascii="Times New Roman" w:hAnsi="Times New Roman" w:cs="Times New Roman"/>
          <w:color w:val="0D0D0D"/>
          <w:sz w:val="22"/>
          <w:szCs w:val="22"/>
        </w:rPr>
      </w:pPr>
      <w:r w:rsidRPr="00137372">
        <w:rPr>
          <w:rFonts w:ascii="Times New Roman" w:hAnsi="Times New Roman" w:cs="Times New Roman"/>
          <w:color w:val="0D0D0D"/>
          <w:sz w:val="22"/>
          <w:szCs w:val="22"/>
        </w:rPr>
        <w:t xml:space="preserve">DESCRIPTION: </w:t>
      </w:r>
      <w:r w:rsidRPr="00137372" w:rsidR="002D698F">
        <w:rPr>
          <w:rFonts w:ascii="Times New Roman" w:hAnsi="Times New Roman" w:cs="Times New Roman"/>
          <w:color w:val="0D0D0D"/>
          <w:sz w:val="22"/>
          <w:szCs w:val="22"/>
        </w:rPr>
        <w:t xml:space="preserve">NOTICE OF INTENT TO AWARD SOLE SOURCE to Roche Diagnostics Corporation, </w:t>
      </w:r>
      <w:r w:rsidRPr="007622FE" w:rsidR="007622FE">
        <w:rPr>
          <w:rFonts w:ascii="Times New Roman" w:hAnsi="Times New Roman" w:cs="Times New Roman"/>
          <w:color w:val="0D0D0D"/>
          <w:sz w:val="22"/>
          <w:szCs w:val="22"/>
        </w:rPr>
        <w:t>Base Plus Four Option Years Contract for Roche Instrument Consumables and Reagents for the Hudson Valley VA Medical Center</w:t>
      </w:r>
      <w:r w:rsidRPr="00137372" w:rsidR="002D698F">
        <w:rPr>
          <w:rFonts w:ascii="Times New Roman" w:hAnsi="Times New Roman" w:cs="Times New Roman"/>
          <w:color w:val="0D0D0D"/>
          <w:sz w:val="22"/>
          <w:szCs w:val="22"/>
        </w:rPr>
        <w:t>.</w:t>
      </w:r>
      <w:r w:rsidRPr="00137372">
        <w:rPr>
          <w:rFonts w:ascii="Times New Roman" w:hAnsi="Times New Roman" w:cs="Times New Roman"/>
          <w:color w:val="0D0D0D"/>
          <w:sz w:val="22"/>
          <w:szCs w:val="22"/>
        </w:rPr>
        <w:t xml:space="preserve"> </w:t>
      </w:r>
    </w:p>
    <w:p w:rsidR="009C16AC" w:rsidRPr="00137372" w:rsidP="00203210">
      <w:pPr>
        <w:pStyle w:val="BodyText"/>
        <w:spacing w:before="229"/>
        <w:ind w:left="0"/>
        <w:rPr>
          <w:rFonts w:ascii="Times New Roman" w:hAnsi="Times New Roman" w:cs="Times New Roman"/>
          <w:color w:val="0D0D0D"/>
          <w:sz w:val="22"/>
          <w:szCs w:val="22"/>
        </w:rPr>
      </w:pPr>
      <w:r w:rsidRPr="009C16AC">
        <w:rPr>
          <w:rFonts w:ascii="Times New Roman" w:hAnsi="Times New Roman" w:cs="Times New Roman"/>
          <w:color w:val="0D0D0D"/>
          <w:sz w:val="22"/>
          <w:szCs w:val="22"/>
        </w:rPr>
        <w:t>The Histology Department requires a contract to provide stains and antibodies compatible with the Roche Ventana IHC stainer which is already purchased and on-site at Hudson Valley.</w:t>
      </w:r>
    </w:p>
    <w:p w:rsidR="00642590" w:rsidP="00203210">
      <w:pPr>
        <w:pStyle w:val="BodyText"/>
        <w:spacing w:before="229"/>
        <w:ind w:left="0"/>
        <w:rPr>
          <w:rFonts w:ascii="Times New Roman" w:hAnsi="Times New Roman" w:cs="Times New Roman"/>
          <w:color w:val="0D0D0D"/>
          <w:sz w:val="22"/>
          <w:szCs w:val="22"/>
        </w:rPr>
      </w:pPr>
      <w:r w:rsidRPr="0054575E">
        <w:rPr>
          <w:rFonts w:ascii="Times New Roman" w:hAnsi="Times New Roman" w:cs="Times New Roman"/>
          <w:color w:val="0D0D0D"/>
          <w:sz w:val="22"/>
          <w:szCs w:val="22"/>
        </w:rPr>
        <w:t xml:space="preserve">The IHC stainer from Roche Clinical Diagnostics was previously purchased but sits idle because </w:t>
      </w:r>
      <w:r>
        <w:rPr>
          <w:rFonts w:ascii="Times New Roman" w:hAnsi="Times New Roman" w:cs="Times New Roman"/>
          <w:color w:val="0D0D0D"/>
          <w:sz w:val="22"/>
          <w:szCs w:val="22"/>
        </w:rPr>
        <w:t>the facility</w:t>
      </w:r>
      <w:r w:rsidRPr="0054575E">
        <w:rPr>
          <w:rFonts w:ascii="Times New Roman" w:hAnsi="Times New Roman" w:cs="Times New Roman"/>
          <w:color w:val="0D0D0D"/>
          <w:sz w:val="22"/>
          <w:szCs w:val="22"/>
        </w:rPr>
        <w:t xml:space="preserve"> do</w:t>
      </w:r>
      <w:r>
        <w:rPr>
          <w:rFonts w:ascii="Times New Roman" w:hAnsi="Times New Roman" w:cs="Times New Roman"/>
          <w:color w:val="0D0D0D"/>
          <w:sz w:val="22"/>
          <w:szCs w:val="22"/>
        </w:rPr>
        <w:t>es</w:t>
      </w:r>
      <w:r w:rsidRPr="0054575E">
        <w:rPr>
          <w:rFonts w:ascii="Times New Roman" w:hAnsi="Times New Roman" w:cs="Times New Roman"/>
          <w:color w:val="0D0D0D"/>
          <w:sz w:val="22"/>
          <w:szCs w:val="22"/>
        </w:rPr>
        <w:t xml:space="preserve"> not have a contract for the stains and antibodies used for clinical diagnosis. This </w:t>
      </w:r>
      <w:r w:rsidR="00130BFF">
        <w:rPr>
          <w:rFonts w:ascii="Times New Roman" w:hAnsi="Times New Roman" w:cs="Times New Roman"/>
          <w:color w:val="0D0D0D"/>
          <w:sz w:val="22"/>
          <w:szCs w:val="22"/>
        </w:rPr>
        <w:t>work</w:t>
      </w:r>
      <w:r w:rsidRPr="0054575E">
        <w:rPr>
          <w:rFonts w:ascii="Times New Roman" w:hAnsi="Times New Roman" w:cs="Times New Roman"/>
          <w:color w:val="0D0D0D"/>
          <w:sz w:val="22"/>
          <w:szCs w:val="22"/>
        </w:rPr>
        <w:t xml:space="preserve"> is currently being sent out to Quest Diagnostics Corporation at considerable expense.</w:t>
      </w:r>
    </w:p>
    <w:p w:rsidR="00D07F43" w:rsidP="00D07F43">
      <w:pPr>
        <w:pStyle w:val="BodyText"/>
        <w:ind w:left="0"/>
        <w:rPr>
          <w:rFonts w:ascii="Times New Roman" w:hAnsi="Times New Roman" w:cs="Times New Roman"/>
          <w:color w:val="0D0D0D"/>
          <w:sz w:val="22"/>
          <w:szCs w:val="22"/>
        </w:rPr>
      </w:pPr>
    </w:p>
    <w:p w:rsidR="00D07F43" w:rsidP="00D07F43">
      <w:pPr>
        <w:pStyle w:val="BodyText"/>
        <w:ind w:left="0"/>
        <w:rPr>
          <w:rFonts w:ascii="Times New Roman" w:hAnsi="Times New Roman" w:cs="Times New Roman"/>
          <w:color w:val="0D0D0D"/>
          <w:sz w:val="22"/>
          <w:szCs w:val="22"/>
        </w:rPr>
      </w:pPr>
      <w:r>
        <w:rPr>
          <w:rFonts w:ascii="Times New Roman" w:hAnsi="Times New Roman" w:cs="Times New Roman"/>
          <w:color w:val="0D0D0D"/>
          <w:sz w:val="22"/>
          <w:szCs w:val="22"/>
        </w:rPr>
        <w:t>The objective is t</w:t>
      </w:r>
      <w:r w:rsidRPr="00D07F43">
        <w:rPr>
          <w:rFonts w:ascii="Times New Roman" w:hAnsi="Times New Roman" w:cs="Times New Roman"/>
          <w:color w:val="0D0D0D"/>
          <w:sz w:val="22"/>
          <w:szCs w:val="22"/>
        </w:rPr>
        <w:t>o acquire a contract for IHC stains and antibodies to include, at a minimum the following materials:</w:t>
      </w:r>
    </w:p>
    <w:p w:rsidR="00D07F43" w:rsidRPr="00D07F43" w:rsidP="00D07F43">
      <w:pPr>
        <w:pStyle w:val="BodyText"/>
        <w:ind w:left="0"/>
        <w:rPr>
          <w:rFonts w:ascii="Times New Roman" w:hAnsi="Times New Roman" w:cs="Times New Roman"/>
          <w:color w:val="0D0D0D"/>
          <w:sz w:val="22"/>
          <w:szCs w:val="22"/>
        </w:rPr>
      </w:pP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w:t>
      </w:r>
      <w:r w:rsidRPr="00D07F43">
        <w:rPr>
          <w:rFonts w:ascii="Times New Roman" w:hAnsi="Times New Roman" w:cs="Times New Roman"/>
          <w:color w:val="0D0D0D"/>
          <w:sz w:val="22"/>
          <w:szCs w:val="22"/>
        </w:rPr>
        <w:tab/>
        <w:t>CONFIRM anti-S100 (4C4.9) Primary Antibo</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w:t>
      </w:r>
      <w:r w:rsidRPr="00D07F43">
        <w:rPr>
          <w:rFonts w:ascii="Times New Roman" w:hAnsi="Times New Roman" w:cs="Times New Roman"/>
          <w:color w:val="0D0D0D"/>
          <w:sz w:val="22"/>
          <w:szCs w:val="22"/>
        </w:rPr>
        <w:tab/>
        <w:t>VENTANA ANTI-P63 (4A4)</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3.</w:t>
      </w:r>
      <w:r w:rsidRPr="00D07F43">
        <w:rPr>
          <w:rFonts w:ascii="Times New Roman" w:hAnsi="Times New Roman" w:cs="Times New Roman"/>
          <w:color w:val="0D0D0D"/>
          <w:sz w:val="22"/>
          <w:szCs w:val="22"/>
        </w:rPr>
        <w:tab/>
        <w:t>EP-CAM (Ber-EP4) PAb, Cell Marque</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4.</w:t>
      </w:r>
      <w:r w:rsidRPr="00D07F43">
        <w:rPr>
          <w:rFonts w:ascii="Times New Roman" w:hAnsi="Times New Roman" w:cs="Times New Roman"/>
          <w:color w:val="0D0D0D"/>
          <w:sz w:val="22"/>
          <w:szCs w:val="22"/>
        </w:rPr>
        <w:tab/>
        <w:t>MUC2 PAb, Cell Marque</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5.</w:t>
      </w:r>
      <w:r w:rsidRPr="00D07F43">
        <w:rPr>
          <w:rFonts w:ascii="Times New Roman" w:hAnsi="Times New Roman" w:cs="Times New Roman"/>
          <w:color w:val="0D0D0D"/>
          <w:sz w:val="22"/>
          <w:szCs w:val="22"/>
        </w:rPr>
        <w:tab/>
        <w:t>Anti-Keratin, Pan (AE1/AE3 &amp; PCK26) PAB</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6.</w:t>
      </w:r>
      <w:r w:rsidRPr="00D07F43">
        <w:rPr>
          <w:rFonts w:ascii="Times New Roman" w:hAnsi="Times New Roman" w:cs="Times New Roman"/>
          <w:color w:val="0D0D0D"/>
          <w:sz w:val="22"/>
          <w:szCs w:val="22"/>
        </w:rPr>
        <w:tab/>
        <w:t>CONFIRM Cytokeratin 20 Rabbit Mono</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7.</w:t>
      </w:r>
      <w:r w:rsidRPr="00D07F43">
        <w:rPr>
          <w:rFonts w:ascii="Times New Roman" w:hAnsi="Times New Roman" w:cs="Times New Roman"/>
          <w:color w:val="0D0D0D"/>
          <w:sz w:val="22"/>
          <w:szCs w:val="22"/>
        </w:rPr>
        <w:tab/>
        <w:t>CONFIRM Cytokeratin7 RabbitMono</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8.</w:t>
      </w:r>
      <w:r w:rsidRPr="00D07F43">
        <w:rPr>
          <w:rFonts w:ascii="Times New Roman" w:hAnsi="Times New Roman" w:cs="Times New Roman"/>
          <w:color w:val="0D0D0D"/>
          <w:sz w:val="22"/>
          <w:szCs w:val="22"/>
        </w:rPr>
        <w:tab/>
        <w:t>CDX-2 (EPR2764Y) PAb, Cell Marque</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9.</w:t>
      </w:r>
      <w:r w:rsidRPr="00D07F43">
        <w:rPr>
          <w:rFonts w:ascii="Times New Roman" w:hAnsi="Times New Roman" w:cs="Times New Roman"/>
          <w:color w:val="0D0D0D"/>
          <w:sz w:val="22"/>
          <w:szCs w:val="22"/>
        </w:rPr>
        <w:tab/>
        <w:t>CONFIRM anti-CD34 (QBEnd/10) Primary Ant</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10.</w:t>
      </w:r>
      <w:r w:rsidRPr="00D07F43">
        <w:rPr>
          <w:rFonts w:ascii="Times New Roman" w:hAnsi="Times New Roman" w:cs="Times New Roman"/>
          <w:color w:val="0D0D0D"/>
          <w:sz w:val="22"/>
          <w:szCs w:val="22"/>
        </w:rPr>
        <w:tab/>
        <w:t>Factor XIIIa (EP3372) PAb, Cell Marque</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11.</w:t>
      </w:r>
      <w:r w:rsidRPr="00D07F43">
        <w:rPr>
          <w:rFonts w:ascii="Times New Roman" w:hAnsi="Times New Roman" w:cs="Times New Roman"/>
          <w:color w:val="0D0D0D"/>
          <w:sz w:val="22"/>
          <w:szCs w:val="22"/>
        </w:rPr>
        <w:tab/>
        <w:t>CONFIRM ANTI-P53 (DO-7)</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12.</w:t>
      </w:r>
      <w:r w:rsidRPr="00D07F43">
        <w:rPr>
          <w:rFonts w:ascii="Times New Roman" w:hAnsi="Times New Roman" w:cs="Times New Roman"/>
          <w:color w:val="0D0D0D"/>
          <w:sz w:val="22"/>
          <w:szCs w:val="22"/>
        </w:rPr>
        <w:tab/>
        <w:t>CONFIRM ANTI-KI-67 (30-9) RABBIT MONOCLO</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13.</w:t>
      </w:r>
      <w:r w:rsidRPr="00D07F43">
        <w:rPr>
          <w:rFonts w:ascii="Times New Roman" w:hAnsi="Times New Roman" w:cs="Times New Roman"/>
          <w:color w:val="0D0D0D"/>
          <w:sz w:val="22"/>
          <w:szCs w:val="22"/>
        </w:rPr>
        <w:tab/>
        <w:t>VENTANA H. PYLORI (SP48) PAB</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14.</w:t>
      </w:r>
      <w:r w:rsidRPr="00D07F43">
        <w:rPr>
          <w:rFonts w:ascii="Times New Roman" w:hAnsi="Times New Roman" w:cs="Times New Roman"/>
          <w:color w:val="0D0D0D"/>
          <w:sz w:val="22"/>
          <w:szCs w:val="22"/>
        </w:rPr>
        <w:tab/>
        <w:t>Ventana Basal Cell Cocktail (34BE12+p63)</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15.</w:t>
      </w:r>
      <w:r w:rsidRPr="00D07F43">
        <w:rPr>
          <w:rFonts w:ascii="Times New Roman" w:hAnsi="Times New Roman" w:cs="Times New Roman"/>
          <w:color w:val="0D0D0D"/>
          <w:sz w:val="22"/>
          <w:szCs w:val="22"/>
        </w:rPr>
        <w:tab/>
        <w:t>anti-p504s (SP116) Rabbit Monoclonal PAb</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16.</w:t>
      </w:r>
      <w:r w:rsidRPr="00D07F43">
        <w:rPr>
          <w:rFonts w:ascii="Times New Roman" w:hAnsi="Times New Roman" w:cs="Times New Roman"/>
          <w:color w:val="0D0D0D"/>
          <w:sz w:val="22"/>
          <w:szCs w:val="22"/>
        </w:rPr>
        <w:tab/>
        <w:t>CONFIRM Neg. Contr. Rabbit Ig</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17.</w:t>
      </w:r>
      <w:r w:rsidRPr="00D07F43">
        <w:rPr>
          <w:rFonts w:ascii="Times New Roman" w:hAnsi="Times New Roman" w:cs="Times New Roman"/>
          <w:color w:val="0D0D0D"/>
          <w:sz w:val="22"/>
          <w:szCs w:val="22"/>
        </w:rPr>
        <w:tab/>
        <w:t>NEGATIVE CONTROL MONOCLONAL</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18.</w:t>
      </w:r>
      <w:r w:rsidRPr="00D07F43">
        <w:rPr>
          <w:rFonts w:ascii="Times New Roman" w:hAnsi="Times New Roman" w:cs="Times New Roman"/>
          <w:color w:val="0D0D0D"/>
          <w:sz w:val="22"/>
          <w:szCs w:val="22"/>
        </w:rPr>
        <w:tab/>
        <w:t>ULTRAVIEW UNIVERSAL AP RED DETECTION KIT</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19.</w:t>
      </w:r>
      <w:r w:rsidRPr="00D07F43">
        <w:rPr>
          <w:rFonts w:ascii="Times New Roman" w:hAnsi="Times New Roman" w:cs="Times New Roman"/>
          <w:color w:val="0D0D0D"/>
          <w:sz w:val="22"/>
          <w:szCs w:val="22"/>
        </w:rPr>
        <w:tab/>
        <w:t>ultraView Universal DAB Detection Kit</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20.</w:t>
      </w:r>
      <w:r w:rsidRPr="00D07F43">
        <w:rPr>
          <w:rFonts w:ascii="Times New Roman" w:hAnsi="Times New Roman" w:cs="Times New Roman"/>
          <w:color w:val="0D0D0D"/>
          <w:sz w:val="22"/>
          <w:szCs w:val="22"/>
        </w:rPr>
        <w:tab/>
        <w:t>OptiView DAB Detection Kit</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21.</w:t>
      </w:r>
      <w:r w:rsidRPr="00D07F43">
        <w:rPr>
          <w:rFonts w:ascii="Times New Roman" w:hAnsi="Times New Roman" w:cs="Times New Roman"/>
          <w:color w:val="0D0D0D"/>
          <w:sz w:val="22"/>
          <w:szCs w:val="22"/>
        </w:rPr>
        <w:tab/>
        <w:t>BLUING REAGENT</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22.</w:t>
      </w:r>
      <w:r w:rsidRPr="00D07F43">
        <w:rPr>
          <w:rFonts w:ascii="Times New Roman" w:hAnsi="Times New Roman" w:cs="Times New Roman"/>
          <w:color w:val="0D0D0D"/>
          <w:sz w:val="22"/>
          <w:szCs w:val="22"/>
        </w:rPr>
        <w:tab/>
        <w:t>Hematoxylin II</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23.</w:t>
      </w:r>
      <w:r w:rsidRPr="00D07F43">
        <w:rPr>
          <w:rFonts w:ascii="Times New Roman" w:hAnsi="Times New Roman" w:cs="Times New Roman"/>
          <w:color w:val="0D0D0D"/>
          <w:sz w:val="22"/>
          <w:szCs w:val="22"/>
        </w:rPr>
        <w:tab/>
        <w:t>PROTEASE 3</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24.</w:t>
      </w:r>
      <w:r w:rsidRPr="00D07F43">
        <w:rPr>
          <w:rFonts w:ascii="Times New Roman" w:hAnsi="Times New Roman" w:cs="Times New Roman"/>
          <w:color w:val="0D0D0D"/>
          <w:sz w:val="22"/>
          <w:szCs w:val="22"/>
        </w:rPr>
        <w:tab/>
        <w:t>NEXES REAGENT DISPENSER CARD, OPTION 1</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25.</w:t>
      </w:r>
      <w:r w:rsidRPr="00D07F43">
        <w:rPr>
          <w:rFonts w:ascii="Times New Roman" w:hAnsi="Times New Roman" w:cs="Times New Roman"/>
          <w:color w:val="0D0D0D"/>
          <w:sz w:val="22"/>
          <w:szCs w:val="22"/>
        </w:rPr>
        <w:tab/>
        <w:t>Ventana Antibody Diluent with Casein</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26.</w:t>
      </w:r>
      <w:r w:rsidRPr="00D07F43">
        <w:rPr>
          <w:rFonts w:ascii="Times New Roman" w:hAnsi="Times New Roman" w:cs="Times New Roman"/>
          <w:color w:val="0D0D0D"/>
          <w:sz w:val="22"/>
          <w:szCs w:val="22"/>
        </w:rPr>
        <w:tab/>
        <w:t>RIBBON, EBAR PRINTER</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27.</w:t>
      </w:r>
      <w:r w:rsidRPr="00D07F43">
        <w:rPr>
          <w:rFonts w:ascii="Times New Roman" w:hAnsi="Times New Roman" w:cs="Times New Roman"/>
          <w:color w:val="0D0D0D"/>
          <w:sz w:val="22"/>
          <w:szCs w:val="22"/>
        </w:rPr>
        <w:tab/>
        <w:t>Label, Blank, Flap, 540 Roll</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28.</w:t>
      </w:r>
      <w:r w:rsidRPr="00D07F43">
        <w:rPr>
          <w:rFonts w:ascii="Times New Roman" w:hAnsi="Times New Roman" w:cs="Times New Roman"/>
          <w:color w:val="0D0D0D"/>
          <w:sz w:val="22"/>
          <w:szCs w:val="22"/>
        </w:rPr>
        <w:tab/>
        <w:t>Reaction Buffer Concentrate (10X)</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29.</w:t>
      </w:r>
      <w:r w:rsidRPr="00D07F43">
        <w:rPr>
          <w:rFonts w:ascii="Times New Roman" w:hAnsi="Times New Roman" w:cs="Times New Roman"/>
          <w:color w:val="0D0D0D"/>
          <w:sz w:val="22"/>
          <w:szCs w:val="22"/>
        </w:rPr>
        <w:tab/>
        <w:t>Benchmark ULTRA CC1</w:t>
      </w:r>
    </w:p>
    <w:p w:rsidR="00D07F43" w:rsidRPr="00D07F43" w:rsidP="00D07F43">
      <w:pPr>
        <w:pStyle w:val="BodyText"/>
        <w:rPr>
          <w:rFonts w:ascii="Times New Roman" w:hAnsi="Times New Roman" w:cs="Times New Roman"/>
          <w:color w:val="0D0D0D"/>
          <w:sz w:val="22"/>
          <w:szCs w:val="22"/>
        </w:rPr>
      </w:pPr>
      <w:r w:rsidRPr="00D07F43">
        <w:rPr>
          <w:rFonts w:ascii="Times New Roman" w:hAnsi="Times New Roman" w:cs="Times New Roman"/>
          <w:color w:val="0D0D0D"/>
          <w:sz w:val="22"/>
          <w:szCs w:val="22"/>
        </w:rPr>
        <w:t>30.</w:t>
      </w:r>
      <w:r w:rsidRPr="00D07F43">
        <w:rPr>
          <w:rFonts w:ascii="Times New Roman" w:hAnsi="Times New Roman" w:cs="Times New Roman"/>
          <w:color w:val="0D0D0D"/>
          <w:sz w:val="22"/>
          <w:szCs w:val="22"/>
        </w:rPr>
        <w:tab/>
        <w:t>BenchMark Ultra LCS</w:t>
      </w:r>
    </w:p>
    <w:p w:rsidR="00FF7D5A" w:rsidRPr="00137372" w:rsidP="00D07F43">
      <w:pPr>
        <w:pStyle w:val="BodyText"/>
        <w:ind w:left="0"/>
        <w:rPr>
          <w:rFonts w:ascii="Times New Roman" w:hAnsi="Times New Roman" w:cs="Times New Roman"/>
          <w:color w:val="0D0D0D"/>
          <w:sz w:val="22"/>
          <w:szCs w:val="22"/>
        </w:rPr>
      </w:pPr>
      <w:r w:rsidRPr="00D07F43">
        <w:rPr>
          <w:rFonts w:ascii="Times New Roman" w:hAnsi="Times New Roman" w:cs="Times New Roman"/>
          <w:color w:val="0D0D0D"/>
          <w:sz w:val="22"/>
          <w:szCs w:val="22"/>
        </w:rPr>
        <w:t>31.</w:t>
      </w:r>
      <w:r w:rsidRPr="00D07F43">
        <w:rPr>
          <w:rFonts w:ascii="Times New Roman" w:hAnsi="Times New Roman" w:cs="Times New Roman"/>
          <w:color w:val="0D0D0D"/>
          <w:sz w:val="22"/>
          <w:szCs w:val="22"/>
        </w:rPr>
        <w:tab/>
        <w:t xml:space="preserve">10X EZ PREP SOLUTION, 2L   </w:t>
      </w:r>
    </w:p>
    <w:p w:rsidR="00A56720" w:rsidRPr="00137372" w:rsidP="00203210">
      <w:pPr>
        <w:pStyle w:val="BodyText"/>
        <w:spacing w:before="193"/>
        <w:ind w:left="0" w:right="151"/>
        <w:rPr>
          <w:rFonts w:ascii="Times New Roman" w:hAnsi="Times New Roman" w:cs="Times New Roman"/>
          <w:b/>
          <w:bCs/>
          <w:color w:val="0D0D0D"/>
          <w:sz w:val="22"/>
          <w:szCs w:val="22"/>
        </w:rPr>
      </w:pPr>
      <w:r w:rsidRPr="00137372">
        <w:rPr>
          <w:rFonts w:ascii="Times New Roman" w:hAnsi="Times New Roman" w:cs="Times New Roman"/>
          <w:color w:val="0D0D0D"/>
          <w:sz w:val="22"/>
          <w:szCs w:val="22"/>
        </w:rPr>
        <w:t xml:space="preserve">This procurement is being conducted in accordance with </w:t>
      </w:r>
      <w:r w:rsidRPr="00137372" w:rsidR="00084740">
        <w:rPr>
          <w:rFonts w:ascii="Times New Roman" w:hAnsi="Times New Roman" w:cs="Times New Roman"/>
          <w:color w:val="0D0D0D"/>
          <w:sz w:val="22"/>
          <w:szCs w:val="22"/>
        </w:rPr>
        <w:t>FAR 13.106-1(b) (1)(ii), “Soliciting from a Single Source.”</w:t>
      </w:r>
      <w:r w:rsidRPr="00137372" w:rsidR="006753FD">
        <w:rPr>
          <w:rFonts w:ascii="Times New Roman" w:hAnsi="Times New Roman" w:cs="Times New Roman"/>
          <w:color w:val="0D0D0D"/>
          <w:sz w:val="22"/>
          <w:szCs w:val="22"/>
        </w:rPr>
        <w:t xml:space="preserve"> </w:t>
      </w:r>
      <w:r w:rsidRPr="00137372">
        <w:rPr>
          <w:rFonts w:ascii="Times New Roman" w:hAnsi="Times New Roman" w:cs="Times New Roman"/>
          <w:color w:val="0D0D0D"/>
          <w:sz w:val="22"/>
          <w:szCs w:val="22"/>
        </w:rPr>
        <w:t xml:space="preserve">The NAICS code utilized for this procurement is </w:t>
      </w:r>
      <w:r w:rsidRPr="00137372" w:rsidR="00AC6C6E">
        <w:rPr>
          <w:rFonts w:ascii="Times New Roman" w:hAnsi="Times New Roman" w:cs="Times New Roman"/>
          <w:color w:val="0D0D0D"/>
          <w:sz w:val="22"/>
          <w:szCs w:val="22"/>
        </w:rPr>
        <w:t>334516</w:t>
      </w:r>
      <w:r w:rsidRPr="00137372" w:rsidR="006753FD">
        <w:rPr>
          <w:rFonts w:ascii="Times New Roman" w:hAnsi="Times New Roman" w:cs="Times New Roman"/>
          <w:color w:val="0D0D0D"/>
          <w:sz w:val="22"/>
          <w:szCs w:val="22"/>
        </w:rPr>
        <w:t xml:space="preserve">, </w:t>
      </w:r>
      <w:r w:rsidRPr="00137372" w:rsidR="00BE02B8">
        <w:rPr>
          <w:rFonts w:ascii="Times New Roman" w:hAnsi="Times New Roman" w:cs="Times New Roman"/>
          <w:color w:val="0D0D0D"/>
          <w:sz w:val="22"/>
          <w:szCs w:val="22"/>
        </w:rPr>
        <w:t>Analytical Laboratory Instrument Manufacturing</w:t>
      </w:r>
      <w:r w:rsidRPr="00137372" w:rsidR="006753FD">
        <w:rPr>
          <w:rFonts w:ascii="Times New Roman" w:hAnsi="Times New Roman" w:cs="Times New Roman"/>
          <w:b/>
          <w:bCs/>
          <w:color w:val="0D0D0D"/>
          <w:sz w:val="22"/>
          <w:szCs w:val="22"/>
        </w:rPr>
        <w:t xml:space="preserve"> </w:t>
      </w:r>
      <w:r w:rsidRPr="00137372">
        <w:rPr>
          <w:rFonts w:ascii="Times New Roman" w:hAnsi="Times New Roman" w:cs="Times New Roman"/>
          <w:color w:val="0D0D0D"/>
          <w:sz w:val="22"/>
          <w:szCs w:val="22"/>
        </w:rPr>
        <w:t xml:space="preserve">with a Size Standard of </w:t>
      </w:r>
      <w:r w:rsidRPr="00137372" w:rsidR="00616187">
        <w:rPr>
          <w:rFonts w:ascii="Times New Roman" w:hAnsi="Times New Roman" w:cs="Times New Roman"/>
          <w:color w:val="0D0D0D"/>
          <w:sz w:val="22"/>
          <w:szCs w:val="22"/>
        </w:rPr>
        <w:t>1,0</w:t>
      </w:r>
      <w:r w:rsidRPr="00137372" w:rsidR="006753FD">
        <w:rPr>
          <w:rFonts w:ascii="Times New Roman" w:hAnsi="Times New Roman" w:cs="Times New Roman"/>
          <w:color w:val="0D0D0D"/>
          <w:sz w:val="22"/>
          <w:szCs w:val="22"/>
        </w:rPr>
        <w:t>00</w:t>
      </w:r>
      <w:r w:rsidRPr="00137372" w:rsidR="009400F1">
        <w:rPr>
          <w:rFonts w:ascii="Times New Roman" w:hAnsi="Times New Roman" w:cs="Times New Roman"/>
          <w:color w:val="0D0D0D"/>
          <w:sz w:val="22"/>
          <w:szCs w:val="22"/>
        </w:rPr>
        <w:t xml:space="preserve"> </w:t>
      </w:r>
      <w:r w:rsidRPr="00137372" w:rsidR="00616187">
        <w:rPr>
          <w:rFonts w:ascii="Times New Roman" w:hAnsi="Times New Roman" w:cs="Times New Roman"/>
          <w:color w:val="0D0D0D"/>
          <w:sz w:val="22"/>
          <w:szCs w:val="22"/>
        </w:rPr>
        <w:t>e</w:t>
      </w:r>
      <w:r w:rsidRPr="00137372" w:rsidR="009400F1">
        <w:rPr>
          <w:rFonts w:ascii="Times New Roman" w:hAnsi="Times New Roman" w:cs="Times New Roman"/>
          <w:color w:val="0D0D0D"/>
          <w:sz w:val="22"/>
          <w:szCs w:val="22"/>
        </w:rPr>
        <w:t>mployees</w:t>
      </w:r>
      <w:r w:rsidRPr="00137372" w:rsidR="00AE769B">
        <w:rPr>
          <w:rFonts w:ascii="Times New Roman" w:hAnsi="Times New Roman" w:cs="Times New Roman"/>
          <w:color w:val="0D0D0D"/>
          <w:sz w:val="22"/>
          <w:szCs w:val="22"/>
        </w:rPr>
        <w:t>.</w:t>
      </w:r>
    </w:p>
    <w:p w:rsidR="007B0445" w:rsidRPr="00137372" w:rsidP="00203210">
      <w:pPr>
        <w:pStyle w:val="BodyText"/>
        <w:spacing w:before="193"/>
        <w:ind w:left="0" w:right="151"/>
        <w:jc w:val="both"/>
        <w:rPr>
          <w:rFonts w:ascii="Times New Roman" w:hAnsi="Times New Roman" w:cs="Times New Roman"/>
          <w:sz w:val="22"/>
          <w:szCs w:val="22"/>
        </w:rPr>
      </w:pPr>
      <w:r w:rsidRPr="00137372">
        <w:rPr>
          <w:rFonts w:ascii="Times New Roman" w:hAnsi="Times New Roman" w:cs="Times New Roman"/>
          <w:color w:val="0D0D0D"/>
          <w:sz w:val="22"/>
          <w:szCs w:val="22"/>
        </w:rPr>
        <w:t xml:space="preserve">This Notice of Intent is not a request for Proposals or Quotations. No solicitation document </w:t>
      </w:r>
      <w:r w:rsidRPr="00137372" w:rsidR="00D03ECB">
        <w:rPr>
          <w:rFonts w:ascii="Times New Roman" w:hAnsi="Times New Roman" w:cs="Times New Roman"/>
          <w:color w:val="0D0D0D"/>
          <w:sz w:val="22"/>
          <w:szCs w:val="22"/>
        </w:rPr>
        <w:t>exists,</w:t>
      </w:r>
      <w:r w:rsidRPr="00137372">
        <w:rPr>
          <w:rFonts w:ascii="Times New Roman" w:hAnsi="Times New Roman" w:cs="Times New Roman"/>
          <w:color w:val="0D0D0D"/>
          <w:sz w:val="22"/>
          <w:szCs w:val="22"/>
        </w:rPr>
        <w:t xml:space="preserve"> and no telephone or email inquiries will be accepted. No contract award will be made on the basis of proposals, or quotations received in response to this notice. Interested persons may identify their interest and capability</w:t>
      </w:r>
      <w:r w:rsidRPr="00137372">
        <w:rPr>
          <w:rFonts w:ascii="Times New Roman" w:hAnsi="Times New Roman" w:cs="Times New Roman"/>
          <w:color w:val="0D0D0D"/>
          <w:spacing w:val="-4"/>
          <w:sz w:val="22"/>
          <w:szCs w:val="22"/>
        </w:rPr>
        <w:t xml:space="preserve"> </w:t>
      </w:r>
      <w:r w:rsidRPr="00137372">
        <w:rPr>
          <w:rFonts w:ascii="Times New Roman" w:hAnsi="Times New Roman" w:cs="Times New Roman"/>
          <w:color w:val="0D0D0D"/>
          <w:sz w:val="22"/>
          <w:szCs w:val="22"/>
        </w:rPr>
        <w:t>to</w:t>
      </w:r>
      <w:r w:rsidRPr="00137372">
        <w:rPr>
          <w:rFonts w:ascii="Times New Roman" w:hAnsi="Times New Roman" w:cs="Times New Roman"/>
          <w:color w:val="0D0D0D"/>
          <w:spacing w:val="-3"/>
          <w:sz w:val="22"/>
          <w:szCs w:val="22"/>
        </w:rPr>
        <w:t xml:space="preserve"> </w:t>
      </w:r>
      <w:r w:rsidRPr="00137372">
        <w:rPr>
          <w:rFonts w:ascii="Times New Roman" w:hAnsi="Times New Roman" w:cs="Times New Roman"/>
          <w:color w:val="0D0D0D"/>
          <w:sz w:val="22"/>
          <w:szCs w:val="22"/>
        </w:rPr>
        <w:t>respond</w:t>
      </w:r>
      <w:r w:rsidRPr="00137372">
        <w:rPr>
          <w:rFonts w:ascii="Times New Roman" w:hAnsi="Times New Roman" w:cs="Times New Roman"/>
          <w:color w:val="0D0D0D"/>
          <w:spacing w:val="-3"/>
          <w:sz w:val="22"/>
          <w:szCs w:val="22"/>
        </w:rPr>
        <w:t xml:space="preserve"> </w:t>
      </w:r>
      <w:r w:rsidRPr="00137372">
        <w:rPr>
          <w:rFonts w:ascii="Times New Roman" w:hAnsi="Times New Roman" w:cs="Times New Roman"/>
          <w:color w:val="0D0D0D"/>
          <w:sz w:val="22"/>
          <w:szCs w:val="22"/>
        </w:rPr>
        <w:t>to</w:t>
      </w:r>
      <w:r w:rsidRPr="00137372">
        <w:rPr>
          <w:rFonts w:ascii="Times New Roman" w:hAnsi="Times New Roman" w:cs="Times New Roman"/>
          <w:color w:val="0D0D0D"/>
          <w:spacing w:val="-3"/>
          <w:sz w:val="22"/>
          <w:szCs w:val="22"/>
        </w:rPr>
        <w:t xml:space="preserve"> </w:t>
      </w:r>
      <w:r w:rsidRPr="00137372">
        <w:rPr>
          <w:rFonts w:ascii="Times New Roman" w:hAnsi="Times New Roman" w:cs="Times New Roman"/>
          <w:color w:val="0D0D0D"/>
          <w:sz w:val="22"/>
          <w:szCs w:val="22"/>
        </w:rPr>
        <w:t>the</w:t>
      </w:r>
      <w:r w:rsidRPr="00137372">
        <w:rPr>
          <w:rFonts w:ascii="Times New Roman" w:hAnsi="Times New Roman" w:cs="Times New Roman"/>
          <w:color w:val="0D0D0D"/>
          <w:spacing w:val="-2"/>
          <w:sz w:val="22"/>
          <w:szCs w:val="22"/>
        </w:rPr>
        <w:t xml:space="preserve"> </w:t>
      </w:r>
      <w:r w:rsidRPr="00137372" w:rsidR="00A56720">
        <w:rPr>
          <w:rFonts w:ascii="Times New Roman" w:hAnsi="Times New Roman" w:cs="Times New Roman"/>
          <w:color w:val="0D0D0D"/>
          <w:sz w:val="22"/>
          <w:szCs w:val="22"/>
        </w:rPr>
        <w:t>requirement and</w:t>
      </w:r>
      <w:r w:rsidRPr="00137372">
        <w:rPr>
          <w:rFonts w:ascii="Times New Roman" w:hAnsi="Times New Roman" w:cs="Times New Roman"/>
          <w:color w:val="0D0D0D"/>
          <w:spacing w:val="-3"/>
          <w:sz w:val="22"/>
          <w:szCs w:val="22"/>
        </w:rPr>
        <w:t xml:space="preserve"> </w:t>
      </w:r>
      <w:r w:rsidRPr="00137372">
        <w:rPr>
          <w:rFonts w:ascii="Times New Roman" w:hAnsi="Times New Roman" w:cs="Times New Roman"/>
          <w:color w:val="0D0D0D"/>
          <w:sz w:val="22"/>
          <w:szCs w:val="22"/>
        </w:rPr>
        <w:t>should</w:t>
      </w:r>
      <w:r w:rsidRPr="00137372">
        <w:rPr>
          <w:rFonts w:ascii="Times New Roman" w:hAnsi="Times New Roman" w:cs="Times New Roman"/>
          <w:color w:val="0D0D0D"/>
          <w:spacing w:val="-2"/>
          <w:sz w:val="22"/>
          <w:szCs w:val="22"/>
        </w:rPr>
        <w:t xml:space="preserve"> </w:t>
      </w:r>
      <w:r w:rsidRPr="00137372">
        <w:rPr>
          <w:rFonts w:ascii="Times New Roman" w:hAnsi="Times New Roman" w:cs="Times New Roman"/>
          <w:color w:val="0D0D0D"/>
          <w:sz w:val="22"/>
          <w:szCs w:val="22"/>
        </w:rPr>
        <w:t>furnish</w:t>
      </w:r>
      <w:r w:rsidRPr="00137372">
        <w:rPr>
          <w:rFonts w:ascii="Times New Roman" w:hAnsi="Times New Roman" w:cs="Times New Roman"/>
          <w:color w:val="0D0D0D"/>
          <w:spacing w:val="-4"/>
          <w:sz w:val="22"/>
          <w:szCs w:val="22"/>
        </w:rPr>
        <w:t xml:space="preserve"> </w:t>
      </w:r>
      <w:r w:rsidRPr="00137372">
        <w:rPr>
          <w:rFonts w:ascii="Times New Roman" w:hAnsi="Times New Roman" w:cs="Times New Roman"/>
          <w:color w:val="0D0D0D"/>
          <w:sz w:val="22"/>
          <w:szCs w:val="22"/>
        </w:rPr>
        <w:t>detailed</w:t>
      </w:r>
      <w:r w:rsidRPr="00137372">
        <w:rPr>
          <w:rFonts w:ascii="Times New Roman" w:hAnsi="Times New Roman" w:cs="Times New Roman"/>
          <w:color w:val="0D0D0D"/>
          <w:spacing w:val="-3"/>
          <w:sz w:val="22"/>
          <w:szCs w:val="22"/>
        </w:rPr>
        <w:t xml:space="preserve"> </w:t>
      </w:r>
      <w:r w:rsidRPr="00137372">
        <w:rPr>
          <w:rFonts w:ascii="Times New Roman" w:hAnsi="Times New Roman" w:cs="Times New Roman"/>
          <w:color w:val="0D0D0D"/>
          <w:sz w:val="22"/>
          <w:szCs w:val="22"/>
        </w:rPr>
        <w:t>data</w:t>
      </w:r>
      <w:r w:rsidRPr="00137372">
        <w:rPr>
          <w:rFonts w:ascii="Times New Roman" w:hAnsi="Times New Roman" w:cs="Times New Roman"/>
          <w:color w:val="0D0D0D"/>
          <w:spacing w:val="-4"/>
          <w:sz w:val="22"/>
          <w:szCs w:val="22"/>
        </w:rPr>
        <w:t xml:space="preserve"> </w:t>
      </w:r>
      <w:r w:rsidRPr="00137372">
        <w:rPr>
          <w:rFonts w:ascii="Times New Roman" w:hAnsi="Times New Roman" w:cs="Times New Roman"/>
          <w:color w:val="0D0D0D"/>
          <w:sz w:val="22"/>
          <w:szCs w:val="22"/>
        </w:rPr>
        <w:t>concerning</w:t>
      </w:r>
      <w:r w:rsidRPr="00137372">
        <w:rPr>
          <w:rFonts w:ascii="Times New Roman" w:hAnsi="Times New Roman" w:cs="Times New Roman"/>
          <w:color w:val="0D0D0D"/>
          <w:spacing w:val="-3"/>
          <w:sz w:val="22"/>
          <w:szCs w:val="22"/>
        </w:rPr>
        <w:t xml:space="preserve"> </w:t>
      </w:r>
      <w:r w:rsidRPr="00137372">
        <w:rPr>
          <w:rFonts w:ascii="Times New Roman" w:hAnsi="Times New Roman" w:cs="Times New Roman"/>
          <w:color w:val="0D0D0D"/>
          <w:sz w:val="22"/>
          <w:szCs w:val="22"/>
        </w:rPr>
        <w:t>their</w:t>
      </w:r>
      <w:r w:rsidRPr="00137372">
        <w:rPr>
          <w:rFonts w:ascii="Times New Roman" w:hAnsi="Times New Roman" w:cs="Times New Roman"/>
          <w:color w:val="0D0D0D"/>
          <w:spacing w:val="-1"/>
          <w:sz w:val="22"/>
          <w:szCs w:val="22"/>
        </w:rPr>
        <w:t xml:space="preserve"> </w:t>
      </w:r>
      <w:r w:rsidRPr="00137372">
        <w:rPr>
          <w:rFonts w:ascii="Times New Roman" w:hAnsi="Times New Roman" w:cs="Times New Roman"/>
          <w:color w:val="0D0D0D"/>
          <w:sz w:val="22"/>
          <w:szCs w:val="22"/>
        </w:rPr>
        <w:t>capabilities</w:t>
      </w:r>
      <w:r w:rsidRPr="00137372">
        <w:rPr>
          <w:rFonts w:ascii="Times New Roman" w:hAnsi="Times New Roman" w:cs="Times New Roman"/>
          <w:color w:val="0D0D0D"/>
          <w:spacing w:val="-4"/>
          <w:sz w:val="22"/>
          <w:szCs w:val="22"/>
        </w:rPr>
        <w:t xml:space="preserve"> </w:t>
      </w:r>
      <w:r w:rsidRPr="00137372">
        <w:rPr>
          <w:rFonts w:ascii="Times New Roman" w:hAnsi="Times New Roman" w:cs="Times New Roman"/>
          <w:color w:val="0D0D0D"/>
          <w:sz w:val="22"/>
          <w:szCs w:val="22"/>
        </w:rPr>
        <w:t xml:space="preserve">to provide services sought including pricing data and technical data sufficient enough to determine that a comparable source to the government is available. The government may consider all Expressions of Interest received prior to </w:t>
      </w:r>
      <w:r w:rsidRPr="009C16AC" w:rsidR="009C16AC">
        <w:rPr>
          <w:rFonts w:ascii="Times New Roman" w:hAnsi="Times New Roman" w:cs="Times New Roman"/>
          <w:b/>
          <w:bCs/>
          <w:color w:val="0D0D0D"/>
          <w:sz w:val="22"/>
          <w:szCs w:val="22"/>
        </w:rPr>
        <w:t xml:space="preserve">March </w:t>
      </w:r>
      <w:r w:rsidRPr="00137372" w:rsidR="00E04065">
        <w:rPr>
          <w:rFonts w:ascii="Times New Roman" w:hAnsi="Times New Roman" w:cs="Times New Roman"/>
          <w:b/>
          <w:bCs/>
          <w:color w:val="0D0D0D"/>
          <w:sz w:val="22"/>
          <w:szCs w:val="22"/>
        </w:rPr>
        <w:t>6</w:t>
      </w:r>
      <w:r w:rsidRPr="00137372" w:rsidR="00E04065">
        <w:rPr>
          <w:rFonts w:ascii="Times New Roman" w:hAnsi="Times New Roman" w:cs="Times New Roman"/>
          <w:b/>
          <w:bCs/>
          <w:color w:val="0D0D0D"/>
          <w:sz w:val="22"/>
          <w:szCs w:val="22"/>
          <w:vertAlign w:val="superscript"/>
        </w:rPr>
        <w:t>th</w:t>
      </w:r>
      <w:r w:rsidRPr="00137372" w:rsidR="00E04065">
        <w:rPr>
          <w:rFonts w:ascii="Times New Roman" w:hAnsi="Times New Roman" w:cs="Times New Roman"/>
          <w:b/>
          <w:bCs/>
          <w:color w:val="0D0D0D"/>
          <w:sz w:val="22"/>
          <w:szCs w:val="22"/>
        </w:rPr>
        <w:t>, 202</w:t>
      </w:r>
      <w:r w:rsidR="009C16AC">
        <w:rPr>
          <w:rFonts w:ascii="Times New Roman" w:hAnsi="Times New Roman" w:cs="Times New Roman"/>
          <w:b/>
          <w:bCs/>
          <w:color w:val="0D0D0D"/>
          <w:sz w:val="22"/>
          <w:szCs w:val="22"/>
        </w:rPr>
        <w:t>5</w:t>
      </w:r>
      <w:r w:rsidRPr="00137372">
        <w:rPr>
          <w:rFonts w:ascii="Times New Roman" w:hAnsi="Times New Roman" w:cs="Times New Roman"/>
          <w:color w:val="0D0D0D"/>
          <w:sz w:val="22"/>
          <w:szCs w:val="22"/>
        </w:rPr>
        <w:t>. A determination by the government not to compete this proposed contract based upon responses to this notice is solely within the discretion of the government. Information received will be considered solely for the purpose of determining whether to conduct a competitive procurement. Responses to this notice must be emailed to</w:t>
      </w:r>
      <w:r w:rsidRPr="00137372" w:rsidR="00A56720">
        <w:rPr>
          <w:rFonts w:ascii="Times New Roman" w:hAnsi="Times New Roman" w:cs="Times New Roman"/>
          <w:color w:val="0D0D0D"/>
          <w:sz w:val="22"/>
          <w:szCs w:val="22"/>
        </w:rPr>
        <w:t xml:space="preserve"> </w:t>
      </w:r>
      <w:r>
        <w:fldChar w:fldCharType="begin"/>
      </w:r>
      <w:r>
        <w:instrText xml:space="preserve"> HYPERLINK "mailto:jonatan.rondon@va.gov" </w:instrText>
      </w:r>
      <w:r>
        <w:fldChar w:fldCharType="separate"/>
      </w:r>
      <w:r w:rsidRPr="00137372" w:rsidR="00E04065">
        <w:rPr>
          <w:rStyle w:val="Hyperlink"/>
          <w:rFonts w:ascii="Times New Roman" w:hAnsi="Times New Roman" w:cs="Times New Roman"/>
          <w:sz w:val="22"/>
          <w:szCs w:val="22"/>
        </w:rPr>
        <w:t>jonatan.rondon@va.gov</w:t>
      </w:r>
      <w:r>
        <w:fldChar w:fldCharType="end"/>
      </w:r>
      <w:r w:rsidRPr="00137372" w:rsidR="00A56720">
        <w:rPr>
          <w:rFonts w:ascii="Times New Roman" w:hAnsi="Times New Roman" w:cs="Times New Roman"/>
          <w:color w:val="0D0D0D"/>
          <w:sz w:val="22"/>
          <w:szCs w:val="22"/>
        </w:rPr>
        <w:t xml:space="preserve"> </w:t>
      </w:r>
      <w:r w:rsidRPr="00137372">
        <w:rPr>
          <w:rFonts w:ascii="Times New Roman" w:hAnsi="Times New Roman" w:cs="Times New Roman"/>
          <w:color w:val="0D0D0D"/>
          <w:sz w:val="22"/>
          <w:szCs w:val="22"/>
        </w:rPr>
        <w:t xml:space="preserve">and received by </w:t>
      </w:r>
      <w:r w:rsidRPr="00137372">
        <w:rPr>
          <w:rFonts w:ascii="Times New Roman" w:hAnsi="Times New Roman" w:cs="Times New Roman"/>
          <w:b/>
          <w:bCs/>
          <w:color w:val="0D0D0D"/>
          <w:sz w:val="22"/>
          <w:szCs w:val="22"/>
        </w:rPr>
        <w:t>1</w:t>
      </w:r>
      <w:r w:rsidRPr="00137372" w:rsidR="006E7B7C">
        <w:rPr>
          <w:rFonts w:ascii="Times New Roman" w:hAnsi="Times New Roman" w:cs="Times New Roman"/>
          <w:b/>
          <w:bCs/>
          <w:color w:val="0D0D0D"/>
          <w:sz w:val="22"/>
          <w:szCs w:val="22"/>
        </w:rPr>
        <w:t>6:</w:t>
      </w:r>
      <w:r w:rsidRPr="00137372" w:rsidR="006753FD">
        <w:rPr>
          <w:rFonts w:ascii="Times New Roman" w:hAnsi="Times New Roman" w:cs="Times New Roman"/>
          <w:b/>
          <w:bCs/>
          <w:color w:val="0D0D0D"/>
          <w:sz w:val="22"/>
          <w:szCs w:val="22"/>
        </w:rPr>
        <w:t>00</w:t>
      </w:r>
      <w:r w:rsidRPr="00137372">
        <w:rPr>
          <w:rFonts w:ascii="Times New Roman" w:hAnsi="Times New Roman" w:cs="Times New Roman"/>
          <w:b/>
          <w:bCs/>
          <w:color w:val="0D0D0D"/>
          <w:sz w:val="22"/>
          <w:szCs w:val="22"/>
        </w:rPr>
        <w:t xml:space="preserve"> hours EST on</w:t>
      </w:r>
      <w:r w:rsidRPr="00137372" w:rsidR="00084740">
        <w:rPr>
          <w:rFonts w:ascii="Times New Roman" w:hAnsi="Times New Roman" w:cs="Times New Roman"/>
          <w:b/>
          <w:bCs/>
          <w:color w:val="0D0D0D"/>
          <w:sz w:val="22"/>
          <w:szCs w:val="22"/>
        </w:rPr>
        <w:t xml:space="preserve"> </w:t>
      </w:r>
      <w:r w:rsidR="009C16AC">
        <w:rPr>
          <w:rFonts w:ascii="Times New Roman" w:hAnsi="Times New Roman" w:cs="Times New Roman"/>
          <w:b/>
          <w:bCs/>
          <w:color w:val="0D0D0D"/>
          <w:sz w:val="22"/>
          <w:szCs w:val="22"/>
        </w:rPr>
        <w:t>March</w:t>
      </w:r>
      <w:r w:rsidRPr="00137372" w:rsidR="00E04065">
        <w:rPr>
          <w:rFonts w:ascii="Times New Roman" w:hAnsi="Times New Roman" w:cs="Times New Roman"/>
          <w:b/>
          <w:bCs/>
          <w:color w:val="0D0D0D"/>
          <w:sz w:val="22"/>
          <w:szCs w:val="22"/>
        </w:rPr>
        <w:t xml:space="preserve"> 6</w:t>
      </w:r>
      <w:r w:rsidRPr="00137372" w:rsidR="00E04065">
        <w:rPr>
          <w:rFonts w:ascii="Times New Roman" w:hAnsi="Times New Roman" w:cs="Times New Roman"/>
          <w:b/>
          <w:bCs/>
          <w:color w:val="0D0D0D"/>
          <w:sz w:val="22"/>
          <w:szCs w:val="22"/>
          <w:vertAlign w:val="superscript"/>
        </w:rPr>
        <w:t>th</w:t>
      </w:r>
      <w:r w:rsidRPr="00137372" w:rsidR="00E04065">
        <w:rPr>
          <w:rFonts w:ascii="Times New Roman" w:hAnsi="Times New Roman" w:cs="Times New Roman"/>
          <w:b/>
          <w:bCs/>
          <w:color w:val="0D0D0D"/>
          <w:sz w:val="22"/>
          <w:szCs w:val="22"/>
        </w:rPr>
        <w:t>, 202</w:t>
      </w:r>
      <w:r w:rsidR="00981132">
        <w:rPr>
          <w:rFonts w:ascii="Times New Roman" w:hAnsi="Times New Roman" w:cs="Times New Roman"/>
          <w:b/>
          <w:bCs/>
          <w:color w:val="0D0D0D"/>
          <w:sz w:val="22"/>
          <w:szCs w:val="22"/>
        </w:rPr>
        <w:t>5</w:t>
      </w:r>
      <w:r w:rsidRPr="00137372">
        <w:rPr>
          <w:rFonts w:ascii="Times New Roman" w:hAnsi="Times New Roman" w:cs="Times New Roman"/>
          <w:b/>
          <w:bCs/>
          <w:color w:val="0D0D0D"/>
          <w:sz w:val="22"/>
          <w:szCs w:val="22"/>
        </w:rPr>
        <w:t>.</w:t>
      </w:r>
      <w:r w:rsidRPr="00137372">
        <w:rPr>
          <w:rFonts w:ascii="Times New Roman" w:hAnsi="Times New Roman" w:cs="Times New Roman"/>
          <w:color w:val="0D0D0D"/>
          <w:sz w:val="22"/>
          <w:szCs w:val="22"/>
        </w:rPr>
        <w:t xml:space="preserve"> Submitters are responsible for ensuring their EOI reaches the designated contracting officer</w:t>
      </w:r>
      <w:r w:rsidRPr="00137372">
        <w:rPr>
          <w:rFonts w:ascii="Times New Roman" w:hAnsi="Times New Roman" w:cs="Times New Roman"/>
          <w:color w:val="0D0D0D"/>
          <w:spacing w:val="-1"/>
          <w:sz w:val="22"/>
          <w:szCs w:val="22"/>
        </w:rPr>
        <w:t xml:space="preserve"> </w:t>
      </w:r>
      <w:r w:rsidRPr="00137372">
        <w:rPr>
          <w:rFonts w:ascii="Times New Roman" w:hAnsi="Times New Roman" w:cs="Times New Roman"/>
          <w:color w:val="0D0D0D"/>
          <w:sz w:val="22"/>
          <w:szCs w:val="22"/>
        </w:rPr>
        <w:t>on-time.</w:t>
      </w:r>
    </w:p>
    <w:sectPr>
      <w:headerReference w:type="default" r:id="rId4"/>
      <w:footerReference w:type="default" r:id="rId5"/>
      <w:headerReference w:type="first" r:id="rId6"/>
      <w:footerReference w:type="first" r:id="rId7"/>
      <w:type w:val="continuous"/>
      <w:pgSz w:w="12240" w:h="15840"/>
      <w:pgMar w:top="0" w:right="1440" w:bottom="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uiPriority w:val="1"/>
    <w:qFormat/>
    <w:pPr>
      <w:ind w:left="100"/>
    </w:pPr>
    <w:rPr>
      <w:sz w:val="20"/>
      <w:szCs w:val="20"/>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6720"/>
    <w:rPr>
      <w:color w:val="0000FF" w:themeColor="hyperlink"/>
      <w:u w:val="single"/>
    </w:rPr>
  </w:style>
  <w:style w:type="character" w:customStyle="1" w:styleId="UnresolvedMention">
    <w:name w:val="Unresolved Mention"/>
    <w:basedOn w:val="DefaultParagraphFont"/>
    <w:uiPriority w:val="99"/>
    <w:semiHidden/>
    <w:unhideWhenUsed/>
    <w:rsid w:val="00A56720"/>
    <w:rPr>
      <w:color w:val="605E5C"/>
      <w:shd w:val="clear" w:color="auto" w:fill="E1DFDD"/>
    </w:rPr>
  </w:style>
  <w:style w:type="paragraph" w:customStyle="1" w:styleId="Default">
    <w:name w:val="Default"/>
    <w:rsid w:val="000571E9"/>
    <w:pPr>
      <w:widowControl/>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2025-02-28T18:03:05Z</dcterms:created>
  <dcterms:modified xsi:type="dcterms:W3CDTF">2025-02-28T18:03:05Z</dcterms:modified>
</cp:coreProperties>
</file>