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1A54" w14:textId="77777777" w:rsidR="00A05297" w:rsidRPr="00A05297" w:rsidRDefault="00A05297" w:rsidP="00D11D95">
      <w:pPr>
        <w:rPr>
          <w:rFonts w:ascii="Times New Roman" w:hAnsi="Times New Roman" w:cs="Times New Roman"/>
          <w:sz w:val="24"/>
          <w:szCs w:val="24"/>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501"/>
      </w:tblGrid>
      <w:tr w:rsidR="00855750" w:rsidRPr="00A05297" w14:paraId="67051A57" w14:textId="77777777" w:rsidTr="00231CE2">
        <w:trPr>
          <w:trHeight w:val="287"/>
        </w:trPr>
        <w:tc>
          <w:tcPr>
            <w:tcW w:w="1278" w:type="dxa"/>
          </w:tcPr>
          <w:p w14:paraId="67051A55"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SUBJECT*</w:t>
            </w:r>
          </w:p>
        </w:tc>
        <w:tc>
          <w:tcPr>
            <w:tcW w:w="8640" w:type="dxa"/>
          </w:tcPr>
          <w:p w14:paraId="67051A56" w14:textId="77777777" w:rsidR="00A05297" w:rsidRPr="00A05297" w:rsidRDefault="00A05297" w:rsidP="00F43FAC">
            <w:pPr>
              <w:rPr>
                <w:rStyle w:val="AAMSKBFill-InHighlight"/>
                <w:rFonts w:ascii="Times New Roman" w:hAnsi="Times New Roman"/>
                <w:color w:val="auto"/>
                <w:sz w:val="24"/>
                <w:szCs w:val="24"/>
              </w:rPr>
            </w:pPr>
            <w:r w:rsidRPr="00A05297">
              <w:rPr>
                <w:rStyle w:val="AAMSKBFill-InHighlight"/>
                <w:rFonts w:ascii="Times New Roman" w:hAnsi="Times New Roman"/>
                <w:color w:val="auto"/>
                <w:sz w:val="24"/>
                <w:szCs w:val="24"/>
              </w:rPr>
              <w:t xml:space="preserve">Garner VA Clinic Eye Equipment   </w:t>
            </w:r>
          </w:p>
        </w:tc>
      </w:tr>
    </w:tbl>
    <w:p w14:paraId="67051A58" w14:textId="77777777" w:rsidR="00A05297" w:rsidRPr="00A05297" w:rsidRDefault="00A05297" w:rsidP="00D11D95">
      <w:pPr>
        <w:spacing w:after="160" w:line="254" w:lineRule="auto"/>
        <w:rPr>
          <w:rFonts w:ascii="Times New Roman" w:eastAsia="Calibri" w:hAnsi="Times New Roman" w:cs="Times New Roman"/>
          <w:sz w:val="24"/>
          <w:szCs w:val="24"/>
        </w:rPr>
      </w:pPr>
    </w:p>
    <w:p w14:paraId="67051A59" w14:textId="77777777" w:rsidR="00A05297" w:rsidRPr="00A05297" w:rsidRDefault="00A05297" w:rsidP="00963A95">
      <w:pPr>
        <w:pBdr>
          <w:top w:val="single" w:sz="4" w:space="1" w:color="auto"/>
          <w:bottom w:val="single" w:sz="4" w:space="1" w:color="auto"/>
        </w:pBdr>
        <w:spacing w:after="160" w:line="254" w:lineRule="auto"/>
        <w:jc w:val="center"/>
        <w:rPr>
          <w:rFonts w:ascii="Times New Roman" w:eastAsia="Calibri" w:hAnsi="Times New Roman" w:cs="Times New Roman"/>
          <w:b/>
          <w:sz w:val="24"/>
          <w:szCs w:val="24"/>
        </w:rPr>
      </w:pPr>
      <w:r w:rsidRPr="00A05297">
        <w:rPr>
          <w:rFonts w:ascii="Times New Roman" w:hAnsi="Times New Roman" w:cs="Times New Roman"/>
          <w:b/>
          <w:color w:val="4F81BD" w:themeColor="accent1"/>
          <w:sz w:val="24"/>
          <w:szCs w:val="24"/>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855750" w:rsidRPr="00A05297" w14:paraId="67051A5C" w14:textId="77777777" w:rsidTr="009738F0">
        <w:tc>
          <w:tcPr>
            <w:tcW w:w="4698" w:type="dxa"/>
            <w:hideMark/>
          </w:tcPr>
          <w:p w14:paraId="67051A5A"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CONTRACTING OFFICE’S ZIP CODE*</w:t>
            </w:r>
          </w:p>
        </w:tc>
        <w:tc>
          <w:tcPr>
            <w:tcW w:w="5220" w:type="dxa"/>
            <w:hideMark/>
          </w:tcPr>
          <w:p w14:paraId="67051A5B" w14:textId="77777777" w:rsidR="00A05297" w:rsidRPr="00A05297" w:rsidRDefault="00A05297">
            <w:pPr>
              <w:rPr>
                <w:rFonts w:ascii="Times New Roman" w:hAnsi="Times New Roman"/>
                <w:sz w:val="24"/>
                <w:szCs w:val="24"/>
              </w:rPr>
            </w:pPr>
            <w:r w:rsidRPr="00A05297">
              <w:rPr>
                <w:rFonts w:ascii="Times New Roman" w:hAnsi="Times New Roman"/>
                <w:sz w:val="24"/>
                <w:szCs w:val="24"/>
              </w:rPr>
              <w:t>23667</w:t>
            </w:r>
          </w:p>
        </w:tc>
      </w:tr>
      <w:tr w:rsidR="00855750" w:rsidRPr="00A05297" w14:paraId="67051A5F" w14:textId="77777777" w:rsidTr="009738F0">
        <w:tc>
          <w:tcPr>
            <w:tcW w:w="4698" w:type="dxa"/>
            <w:hideMark/>
          </w:tcPr>
          <w:p w14:paraId="67051A5D"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SOLICITATION NUMBER*</w:t>
            </w:r>
          </w:p>
        </w:tc>
        <w:tc>
          <w:tcPr>
            <w:tcW w:w="5220" w:type="dxa"/>
            <w:hideMark/>
          </w:tcPr>
          <w:p w14:paraId="67051A5E" w14:textId="77777777" w:rsidR="00A05297" w:rsidRPr="00A05297" w:rsidRDefault="00A05297">
            <w:pPr>
              <w:rPr>
                <w:rFonts w:ascii="Times New Roman" w:hAnsi="Times New Roman"/>
                <w:sz w:val="24"/>
                <w:szCs w:val="24"/>
              </w:rPr>
            </w:pPr>
            <w:r w:rsidRPr="00A05297">
              <w:rPr>
                <w:rFonts w:ascii="Times New Roman" w:hAnsi="Times New Roman"/>
                <w:sz w:val="24"/>
                <w:szCs w:val="24"/>
              </w:rPr>
              <w:t>36C24625Q0212</w:t>
            </w:r>
          </w:p>
        </w:tc>
      </w:tr>
      <w:tr w:rsidR="00855750" w:rsidRPr="00A05297" w14:paraId="67051A62" w14:textId="77777777" w:rsidTr="009738F0">
        <w:tc>
          <w:tcPr>
            <w:tcW w:w="4698" w:type="dxa"/>
          </w:tcPr>
          <w:p w14:paraId="67051A60"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RESPONSE DATE/TIME/ZONE</w:t>
            </w:r>
          </w:p>
        </w:tc>
        <w:tc>
          <w:tcPr>
            <w:tcW w:w="5220" w:type="dxa"/>
          </w:tcPr>
          <w:p w14:paraId="67051A61" w14:textId="77777777" w:rsidR="00A05297" w:rsidRPr="00A05297" w:rsidRDefault="00A05297">
            <w:pPr>
              <w:rPr>
                <w:rStyle w:val="AAMSKBFill-InHighlight"/>
                <w:rFonts w:ascii="Times New Roman" w:hAnsi="Times New Roman"/>
                <w:color w:val="auto"/>
                <w:sz w:val="24"/>
                <w:szCs w:val="24"/>
              </w:rPr>
            </w:pPr>
            <w:r w:rsidRPr="00A05297">
              <w:rPr>
                <w:rStyle w:val="AAMSKBFill-InHighlight"/>
                <w:rFonts w:ascii="Times New Roman" w:hAnsi="Times New Roman"/>
                <w:color w:val="auto"/>
                <w:sz w:val="24"/>
                <w:szCs w:val="24"/>
              </w:rPr>
              <w:t>02-27-2025 12pm EASTERN TIME, NEW YORK, USA</w:t>
            </w:r>
          </w:p>
        </w:tc>
      </w:tr>
      <w:tr w:rsidR="00855750" w:rsidRPr="00A05297" w14:paraId="67051A65" w14:textId="77777777" w:rsidTr="009738F0">
        <w:tc>
          <w:tcPr>
            <w:tcW w:w="4698" w:type="dxa"/>
          </w:tcPr>
          <w:p w14:paraId="67051A63"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ARCHIVE</w:t>
            </w:r>
          </w:p>
        </w:tc>
        <w:tc>
          <w:tcPr>
            <w:tcW w:w="5220" w:type="dxa"/>
            <w:hideMark/>
          </w:tcPr>
          <w:p w14:paraId="67051A64" w14:textId="77777777" w:rsidR="00A05297" w:rsidRPr="00A05297" w:rsidRDefault="00A05297">
            <w:pPr>
              <w:rPr>
                <w:rFonts w:ascii="Times New Roman" w:hAnsi="Times New Roman"/>
                <w:sz w:val="24"/>
                <w:szCs w:val="24"/>
              </w:rPr>
            </w:pPr>
            <w:r w:rsidRPr="00A05297">
              <w:rPr>
                <w:rFonts w:ascii="Times New Roman" w:hAnsi="Times New Roman"/>
                <w:sz w:val="24"/>
                <w:szCs w:val="24"/>
              </w:rPr>
              <w:t>15</w:t>
            </w:r>
            <w:r w:rsidRPr="00A05297">
              <w:rPr>
                <w:rFonts w:ascii="Times New Roman" w:hAnsi="Times New Roman"/>
                <w:sz w:val="24"/>
                <w:szCs w:val="24"/>
                <w:bdr w:val="none" w:sz="0" w:space="0" w:color="auto" w:frame="1"/>
              </w:rPr>
              <w:t xml:space="preserve"> DAYS AFTER THE RESPONSE DATE</w:t>
            </w:r>
          </w:p>
        </w:tc>
      </w:tr>
      <w:tr w:rsidR="00855750" w:rsidRPr="00A05297" w14:paraId="67051A68" w14:textId="77777777" w:rsidTr="009738F0">
        <w:tc>
          <w:tcPr>
            <w:tcW w:w="4698" w:type="dxa"/>
          </w:tcPr>
          <w:p w14:paraId="67051A66"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RECOVERY ACT FUNDS</w:t>
            </w:r>
          </w:p>
        </w:tc>
        <w:tc>
          <w:tcPr>
            <w:tcW w:w="5220" w:type="dxa"/>
            <w:hideMark/>
          </w:tcPr>
          <w:p w14:paraId="67051A67" w14:textId="77777777" w:rsidR="00A05297" w:rsidRPr="00A05297" w:rsidRDefault="00A05297">
            <w:pPr>
              <w:rPr>
                <w:rFonts w:ascii="Times New Roman" w:hAnsi="Times New Roman"/>
                <w:sz w:val="24"/>
                <w:szCs w:val="24"/>
              </w:rPr>
            </w:pPr>
            <w:r w:rsidRPr="00A05297">
              <w:rPr>
                <w:rFonts w:ascii="Times New Roman" w:hAnsi="Times New Roman"/>
                <w:sz w:val="24"/>
                <w:szCs w:val="24"/>
              </w:rPr>
              <w:t>N</w:t>
            </w:r>
          </w:p>
        </w:tc>
      </w:tr>
      <w:tr w:rsidR="00855750" w:rsidRPr="00A05297" w14:paraId="67051A6B" w14:textId="77777777" w:rsidTr="009738F0">
        <w:tc>
          <w:tcPr>
            <w:tcW w:w="4698" w:type="dxa"/>
          </w:tcPr>
          <w:p w14:paraId="67051A69"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PRODUCT SERVICE CODE*</w:t>
            </w:r>
          </w:p>
        </w:tc>
        <w:tc>
          <w:tcPr>
            <w:tcW w:w="5220" w:type="dxa"/>
          </w:tcPr>
          <w:p w14:paraId="67051A6A" w14:textId="77777777" w:rsidR="00A05297" w:rsidRPr="00A05297" w:rsidRDefault="00A05297" w:rsidP="00A91E71">
            <w:pPr>
              <w:rPr>
                <w:rStyle w:val="AAMSKBFill-InHighlight"/>
                <w:rFonts w:ascii="Times New Roman" w:hAnsi="Times New Roman"/>
                <w:color w:val="auto"/>
                <w:sz w:val="24"/>
                <w:szCs w:val="24"/>
              </w:rPr>
            </w:pPr>
            <w:r w:rsidRPr="00A05297">
              <w:rPr>
                <w:rStyle w:val="AAMSKBFill-InHighlight"/>
                <w:rFonts w:ascii="Times New Roman" w:hAnsi="Times New Roman"/>
                <w:color w:val="auto"/>
                <w:sz w:val="24"/>
                <w:szCs w:val="24"/>
              </w:rPr>
              <w:t>6515</w:t>
            </w:r>
          </w:p>
        </w:tc>
      </w:tr>
      <w:tr w:rsidR="00855750" w:rsidRPr="00A05297" w14:paraId="67051A6E" w14:textId="77777777" w:rsidTr="009738F0">
        <w:tc>
          <w:tcPr>
            <w:tcW w:w="4698" w:type="dxa"/>
          </w:tcPr>
          <w:p w14:paraId="67051A6C"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NAICS CODE*</w:t>
            </w:r>
          </w:p>
        </w:tc>
        <w:tc>
          <w:tcPr>
            <w:tcW w:w="5220" w:type="dxa"/>
            <w:hideMark/>
          </w:tcPr>
          <w:p w14:paraId="67051A6D" w14:textId="77777777" w:rsidR="00A05297" w:rsidRPr="00A05297" w:rsidRDefault="00A05297" w:rsidP="00A91E71">
            <w:pPr>
              <w:rPr>
                <w:rFonts w:ascii="Times New Roman" w:hAnsi="Times New Roman"/>
                <w:sz w:val="24"/>
                <w:szCs w:val="24"/>
              </w:rPr>
            </w:pPr>
            <w:r w:rsidRPr="00A05297">
              <w:rPr>
                <w:rFonts w:ascii="Times New Roman" w:hAnsi="Times New Roman"/>
                <w:sz w:val="24"/>
                <w:szCs w:val="24"/>
              </w:rPr>
              <w:t>339112</w:t>
            </w:r>
          </w:p>
        </w:tc>
      </w:tr>
      <w:tr w:rsidR="00855750" w:rsidRPr="00A05297" w14:paraId="67051A76" w14:textId="77777777" w:rsidTr="009738F0">
        <w:tc>
          <w:tcPr>
            <w:tcW w:w="4698" w:type="dxa"/>
            <w:hideMark/>
          </w:tcPr>
          <w:p w14:paraId="67051A6F"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CONTRACTING OFFICE ADDRESS</w:t>
            </w:r>
          </w:p>
        </w:tc>
        <w:tc>
          <w:tcPr>
            <w:tcW w:w="5220" w:type="dxa"/>
          </w:tcPr>
          <w:p w14:paraId="67051A70" w14:textId="77777777" w:rsidR="00A05297" w:rsidRPr="00A05297" w:rsidRDefault="00A05297">
            <w:pPr>
              <w:rPr>
                <w:rFonts w:ascii="Times New Roman" w:eastAsiaTheme="minorHAnsi" w:hAnsi="Times New Roman"/>
                <w:sz w:val="24"/>
                <w:szCs w:val="24"/>
                <w:bdr w:val="none" w:sz="0" w:space="0" w:color="auto" w:frame="1"/>
              </w:rPr>
            </w:pPr>
            <w:r w:rsidRPr="00A05297">
              <w:rPr>
                <w:rStyle w:val="AAMSKBFill-InHighlight"/>
                <w:rFonts w:ascii="Times New Roman" w:hAnsi="Times New Roman"/>
                <w:sz w:val="24"/>
                <w:szCs w:val="24"/>
              </w:rPr>
              <w:t xml:space="preserve"> </w:t>
            </w:r>
          </w:p>
          <w:p w14:paraId="67051A71"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Department of Veterans Affairs</w:t>
            </w:r>
            <w:r w:rsidRPr="00A05297">
              <w:rPr>
                <w:rStyle w:val="AAMSKBFill-InHighlight"/>
                <w:rFonts w:ascii="Times New Roman" w:hAnsi="Times New Roman"/>
                <w:sz w:val="24"/>
                <w:szCs w:val="24"/>
              </w:rPr>
              <w:t xml:space="preserve"> </w:t>
            </w:r>
          </w:p>
          <w:p w14:paraId="67051A72"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Network Contracting Office 6</w:t>
            </w:r>
            <w:r w:rsidRPr="00A05297">
              <w:rPr>
                <w:rStyle w:val="AAMSKBFill-InHighlight"/>
                <w:rFonts w:ascii="Times New Roman" w:hAnsi="Times New Roman"/>
                <w:sz w:val="24"/>
                <w:szCs w:val="24"/>
              </w:rPr>
              <w:t xml:space="preserve"> </w:t>
            </w:r>
          </w:p>
          <w:p w14:paraId="67051A73"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100 Emancipation Drive</w:t>
            </w:r>
          </w:p>
          <w:p w14:paraId="67051A74"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Hampton VA  23667</w:t>
            </w:r>
            <w:r w:rsidRPr="00A05297">
              <w:rPr>
                <w:rStyle w:val="AAMSKBFill-InHighlight"/>
                <w:rFonts w:ascii="Times New Roman" w:hAnsi="Times New Roman"/>
                <w:sz w:val="24"/>
                <w:szCs w:val="24"/>
              </w:rPr>
              <w:t xml:space="preserve"> </w:t>
            </w:r>
          </w:p>
          <w:p w14:paraId="67051A75" w14:textId="77777777" w:rsidR="00A05297" w:rsidRPr="00A05297" w:rsidRDefault="00A05297">
            <w:pPr>
              <w:rPr>
                <w:rFonts w:ascii="Times New Roman" w:hAnsi="Times New Roman"/>
                <w:sz w:val="24"/>
                <w:szCs w:val="24"/>
              </w:rPr>
            </w:pPr>
          </w:p>
        </w:tc>
      </w:tr>
      <w:tr w:rsidR="00855750" w:rsidRPr="00A05297" w14:paraId="67051A80" w14:textId="77777777" w:rsidTr="009738F0">
        <w:tc>
          <w:tcPr>
            <w:tcW w:w="4698" w:type="dxa"/>
          </w:tcPr>
          <w:p w14:paraId="67051A77"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POINT OF CONTACT*</w:t>
            </w:r>
          </w:p>
          <w:p w14:paraId="67051A78" w14:textId="77777777" w:rsidR="00A05297" w:rsidRPr="00A05297" w:rsidRDefault="00A05297">
            <w:pPr>
              <w:rPr>
                <w:rFonts w:ascii="Times New Roman" w:hAnsi="Times New Roman"/>
                <w:b/>
                <w:sz w:val="24"/>
                <w:szCs w:val="24"/>
              </w:rPr>
            </w:pPr>
          </w:p>
          <w:p w14:paraId="67051A79" w14:textId="77777777" w:rsidR="00A05297" w:rsidRPr="00A05297" w:rsidRDefault="00A05297">
            <w:pPr>
              <w:rPr>
                <w:rFonts w:ascii="Times New Roman" w:hAnsi="Times New Roman"/>
                <w:b/>
                <w:sz w:val="24"/>
                <w:szCs w:val="24"/>
              </w:rPr>
            </w:pPr>
          </w:p>
        </w:tc>
        <w:tc>
          <w:tcPr>
            <w:tcW w:w="5220" w:type="dxa"/>
            <w:hideMark/>
          </w:tcPr>
          <w:p w14:paraId="67051A7A"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Contract Specialist</w:t>
            </w:r>
            <w:r w:rsidRPr="00A05297">
              <w:rPr>
                <w:rStyle w:val="AAMSKBFill-InHighlight"/>
                <w:rFonts w:ascii="Times New Roman" w:hAnsi="Times New Roman"/>
                <w:sz w:val="24"/>
                <w:szCs w:val="24"/>
              </w:rPr>
              <w:t xml:space="preserve"> </w:t>
            </w:r>
          </w:p>
          <w:p w14:paraId="67051A7B"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Ricardo McIntosh</w:t>
            </w:r>
          </w:p>
          <w:p w14:paraId="67051A7C" w14:textId="77777777" w:rsidR="00A05297" w:rsidRPr="00A05297" w:rsidRDefault="00A05297">
            <w:pPr>
              <w:rPr>
                <w:rFonts w:ascii="Times New Roman" w:eastAsiaTheme="minorHAnsi" w:hAnsi="Times New Roman"/>
                <w:sz w:val="24"/>
                <w:szCs w:val="24"/>
                <w:bdr w:val="none" w:sz="0" w:space="0" w:color="auto" w:frame="1"/>
              </w:rPr>
            </w:pPr>
            <w:r w:rsidRPr="00A05297">
              <w:rPr>
                <w:rFonts w:ascii="Times New Roman" w:eastAsiaTheme="minorHAnsi" w:hAnsi="Times New Roman"/>
                <w:sz w:val="24"/>
                <w:szCs w:val="24"/>
                <w:bdr w:val="none" w:sz="0" w:space="0" w:color="auto" w:frame="1"/>
              </w:rPr>
              <w:t>Ricardo.McIntosh@va.gov</w:t>
            </w:r>
          </w:p>
          <w:p w14:paraId="67051A7D" w14:textId="77777777" w:rsidR="00A05297" w:rsidRPr="00A05297" w:rsidRDefault="00A05297">
            <w:pPr>
              <w:rPr>
                <w:rFonts w:ascii="Times New Roman" w:eastAsiaTheme="minorHAnsi" w:hAnsi="Times New Roman"/>
                <w:sz w:val="24"/>
                <w:szCs w:val="24"/>
                <w:bdr w:val="none" w:sz="0" w:space="0" w:color="auto" w:frame="1"/>
              </w:rPr>
            </w:pPr>
          </w:p>
          <w:p w14:paraId="67051A7E" w14:textId="77777777" w:rsidR="00A05297" w:rsidRPr="00A05297" w:rsidRDefault="00A05297">
            <w:pPr>
              <w:rPr>
                <w:rFonts w:ascii="Times New Roman" w:eastAsiaTheme="minorHAnsi" w:hAnsi="Times New Roman"/>
                <w:sz w:val="24"/>
                <w:szCs w:val="24"/>
                <w:bdr w:val="none" w:sz="0" w:space="0" w:color="auto" w:frame="1"/>
              </w:rPr>
            </w:pPr>
          </w:p>
          <w:p w14:paraId="67051A7F" w14:textId="77777777" w:rsidR="00A05297" w:rsidRPr="00A05297" w:rsidRDefault="00A05297">
            <w:pPr>
              <w:rPr>
                <w:rFonts w:ascii="Times New Roman" w:hAnsi="Times New Roman"/>
                <w:sz w:val="24"/>
                <w:szCs w:val="24"/>
              </w:rPr>
            </w:pPr>
          </w:p>
        </w:tc>
      </w:tr>
    </w:tbl>
    <w:p w14:paraId="67051A81" w14:textId="77777777" w:rsidR="00A05297" w:rsidRPr="00A05297" w:rsidRDefault="00A05297" w:rsidP="00D11D95">
      <w:pPr>
        <w:rPr>
          <w:rFonts w:ascii="Times New Roman" w:hAnsi="Times New Roman" w:cs="Times New Roman"/>
          <w:sz w:val="24"/>
          <w:szCs w:val="24"/>
        </w:rPr>
      </w:pPr>
    </w:p>
    <w:p w14:paraId="67051A82" w14:textId="77777777" w:rsidR="00A05297" w:rsidRPr="00A05297" w:rsidRDefault="00A05297" w:rsidP="005B0401">
      <w:pPr>
        <w:pBdr>
          <w:top w:val="single" w:sz="4" w:space="1" w:color="auto"/>
          <w:bottom w:val="single" w:sz="4" w:space="1" w:color="auto"/>
        </w:pBdr>
        <w:spacing w:after="160" w:line="252" w:lineRule="auto"/>
        <w:jc w:val="center"/>
        <w:rPr>
          <w:rFonts w:ascii="Times New Roman" w:eastAsia="Calibri" w:hAnsi="Times New Roman" w:cs="Times New Roman"/>
          <w:b/>
          <w:sz w:val="24"/>
          <w:szCs w:val="24"/>
        </w:rPr>
      </w:pPr>
      <w:r w:rsidRPr="00A05297">
        <w:rPr>
          <w:rFonts w:ascii="Times New Roman" w:hAnsi="Times New Roman" w:cs="Times New Roman"/>
          <w:b/>
          <w:color w:val="4F81BD" w:themeColor="accent1"/>
          <w:sz w:val="24"/>
          <w:szCs w:val="24"/>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855750" w:rsidRPr="00A05297" w14:paraId="67051A85" w14:textId="77777777" w:rsidTr="00057B35">
        <w:tc>
          <w:tcPr>
            <w:tcW w:w="4675" w:type="dxa"/>
            <w:hideMark/>
          </w:tcPr>
          <w:p w14:paraId="67051A83"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AGENCY’S URL</w:t>
            </w:r>
          </w:p>
        </w:tc>
        <w:tc>
          <w:tcPr>
            <w:tcW w:w="5243" w:type="dxa"/>
            <w:hideMark/>
          </w:tcPr>
          <w:p w14:paraId="67051A84" w14:textId="77777777" w:rsidR="00A05297" w:rsidRPr="00A05297" w:rsidRDefault="00A05297">
            <w:pPr>
              <w:rPr>
                <w:rFonts w:ascii="Times New Roman" w:hAnsi="Times New Roman"/>
                <w:sz w:val="24"/>
                <w:szCs w:val="24"/>
              </w:rPr>
            </w:pPr>
          </w:p>
        </w:tc>
      </w:tr>
      <w:tr w:rsidR="00855750" w:rsidRPr="00A05297" w14:paraId="67051A88" w14:textId="77777777" w:rsidTr="00057B35">
        <w:tc>
          <w:tcPr>
            <w:tcW w:w="4675" w:type="dxa"/>
            <w:hideMark/>
          </w:tcPr>
          <w:p w14:paraId="67051A86"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URL DESCRIPTION</w:t>
            </w:r>
          </w:p>
        </w:tc>
        <w:tc>
          <w:tcPr>
            <w:tcW w:w="5243" w:type="dxa"/>
            <w:hideMark/>
          </w:tcPr>
          <w:p w14:paraId="67051A87" w14:textId="77777777" w:rsidR="00A05297" w:rsidRPr="00A05297" w:rsidRDefault="00A05297">
            <w:pPr>
              <w:rPr>
                <w:rFonts w:ascii="Times New Roman" w:hAnsi="Times New Roman"/>
                <w:sz w:val="24"/>
                <w:szCs w:val="24"/>
              </w:rPr>
            </w:pPr>
          </w:p>
        </w:tc>
      </w:tr>
      <w:tr w:rsidR="00855750" w:rsidRPr="00A05297" w14:paraId="67051A8B" w14:textId="77777777" w:rsidTr="00057B35">
        <w:tc>
          <w:tcPr>
            <w:tcW w:w="4675" w:type="dxa"/>
            <w:hideMark/>
          </w:tcPr>
          <w:p w14:paraId="67051A89"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AGENCY CONTACT’S EMAIL ADDRESS</w:t>
            </w:r>
          </w:p>
        </w:tc>
        <w:tc>
          <w:tcPr>
            <w:tcW w:w="5243" w:type="dxa"/>
            <w:hideMark/>
          </w:tcPr>
          <w:p w14:paraId="67051A8A" w14:textId="77777777" w:rsidR="00A05297" w:rsidRPr="00A05297" w:rsidRDefault="00A05297">
            <w:pPr>
              <w:rPr>
                <w:rFonts w:ascii="Times New Roman" w:hAnsi="Times New Roman"/>
                <w:sz w:val="24"/>
                <w:szCs w:val="24"/>
              </w:rPr>
            </w:pPr>
          </w:p>
        </w:tc>
      </w:tr>
      <w:tr w:rsidR="00855750" w:rsidRPr="00A05297" w14:paraId="67051A8E" w14:textId="77777777" w:rsidTr="00057B35">
        <w:tc>
          <w:tcPr>
            <w:tcW w:w="4675" w:type="dxa"/>
            <w:hideMark/>
          </w:tcPr>
          <w:p w14:paraId="67051A8C" w14:textId="77777777" w:rsidR="00A05297" w:rsidRPr="00A05297" w:rsidRDefault="00A05297">
            <w:pPr>
              <w:rPr>
                <w:rFonts w:ascii="Times New Roman" w:hAnsi="Times New Roman"/>
                <w:b/>
                <w:sz w:val="24"/>
                <w:szCs w:val="24"/>
              </w:rPr>
            </w:pPr>
            <w:r w:rsidRPr="00A05297">
              <w:rPr>
                <w:rFonts w:ascii="Times New Roman" w:hAnsi="Times New Roman"/>
                <w:b/>
                <w:sz w:val="24"/>
                <w:szCs w:val="24"/>
              </w:rPr>
              <w:t>EMAIL DESCRIPTION</w:t>
            </w:r>
          </w:p>
        </w:tc>
        <w:tc>
          <w:tcPr>
            <w:tcW w:w="5243" w:type="dxa"/>
            <w:hideMark/>
          </w:tcPr>
          <w:p w14:paraId="67051A8D" w14:textId="77777777" w:rsidR="00A05297" w:rsidRPr="00A05297" w:rsidRDefault="00A05297">
            <w:pPr>
              <w:rPr>
                <w:rFonts w:ascii="Times New Roman" w:hAnsi="Times New Roman"/>
                <w:sz w:val="24"/>
                <w:szCs w:val="24"/>
              </w:rPr>
            </w:pPr>
          </w:p>
        </w:tc>
      </w:tr>
    </w:tbl>
    <w:p w14:paraId="67051A91" w14:textId="05115E29" w:rsidR="00A05297" w:rsidRPr="00110919" w:rsidRDefault="00A05297" w:rsidP="00475E8E">
      <w:pPr>
        <w:rPr>
          <w:rFonts w:ascii="Times New Roman" w:hAnsi="Times New Roman" w:cs="Times New Roman"/>
          <w:b/>
          <w:color w:val="4F81BD" w:themeColor="accent1"/>
          <w:sz w:val="24"/>
          <w:szCs w:val="24"/>
          <w:bdr w:val="none" w:sz="0" w:space="0" w:color="auto" w:frame="1"/>
        </w:rPr>
      </w:pPr>
      <w:r w:rsidRPr="00A05297">
        <w:rPr>
          <w:rFonts w:ascii="Times New Roman" w:hAnsi="Times New Roman" w:cs="Times New Roman"/>
          <w:b/>
          <w:color w:val="4F81BD" w:themeColor="accent1"/>
          <w:sz w:val="24"/>
          <w:szCs w:val="24"/>
          <w:bdr w:val="none" w:sz="0" w:space="0" w:color="auto" w:frame="1"/>
        </w:rPr>
        <w:br w:type="page"/>
      </w:r>
      <w:bookmarkStart w:id="0" w:name="_Hlk181102609"/>
    </w:p>
    <w:p w14:paraId="67051A92" w14:textId="77777777" w:rsidR="00A05297" w:rsidRPr="00A05297" w:rsidRDefault="00A05297" w:rsidP="00475E8E">
      <w:pPr>
        <w:pBdr>
          <w:top w:val="single" w:sz="4" w:space="1" w:color="auto"/>
          <w:bottom w:val="single" w:sz="4" w:space="1" w:color="auto"/>
        </w:pBdr>
        <w:jc w:val="center"/>
        <w:rPr>
          <w:rFonts w:ascii="Times New Roman" w:eastAsia="Times New Roman" w:hAnsi="Times New Roman" w:cs="Times New Roman"/>
          <w:b/>
          <w:sz w:val="24"/>
          <w:szCs w:val="24"/>
        </w:rPr>
      </w:pPr>
      <w:r w:rsidRPr="00A05297">
        <w:rPr>
          <w:rFonts w:ascii="Times New Roman" w:eastAsia="Times New Roman" w:hAnsi="Times New Roman" w:cs="Times New Roman"/>
          <w:b/>
          <w:color w:val="4F81BD"/>
          <w:sz w:val="24"/>
          <w:szCs w:val="24"/>
          <w:bdr w:val="none" w:sz="0" w:space="0" w:color="auto" w:frame="1"/>
        </w:rPr>
        <w:lastRenderedPageBreak/>
        <w:t>DESCRIPTION</w:t>
      </w:r>
    </w:p>
    <w:p w14:paraId="67051A93" w14:textId="77777777" w:rsidR="00A05297" w:rsidRPr="00A05297" w:rsidRDefault="00A05297" w:rsidP="00475E8E">
      <w:pPr>
        <w:jc w:val="center"/>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INTENT TO SOLE SOURCE</w:t>
      </w:r>
    </w:p>
    <w:p w14:paraId="67051A94"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The Department of Veterans Affairs Network Contracting Office (NCO) 6, Durham Veterans Affairs Medical Center (VAMC) intends to enter into a sole source procurement with Melling Medical 658 South Columbus Street Alexandria, VA 22314, United States.</w:t>
      </w:r>
    </w:p>
    <w:p w14:paraId="67051A95"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p>
    <w:p w14:paraId="67051A96"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NAICS 339112- Surgical and Medical Instrument Manufacturing; ophthalmic, and veterinary instruments and apparatus (except electrotherapeutic, electromedical, and irradiation apparatus). The proposed contract action is to provide Eye Equipment items to that are listed below:</w:t>
      </w:r>
    </w:p>
    <w:tbl>
      <w:tblPr>
        <w:tblStyle w:val="TableGrid1"/>
        <w:tblW w:w="0" w:type="auto"/>
        <w:jc w:val="center"/>
        <w:tblLayout w:type="fixed"/>
        <w:tblLook w:val="04A0" w:firstRow="1" w:lastRow="0" w:firstColumn="1" w:lastColumn="0" w:noHBand="0" w:noVBand="1"/>
      </w:tblPr>
      <w:tblGrid>
        <w:gridCol w:w="740"/>
        <w:gridCol w:w="5690"/>
        <w:gridCol w:w="1987"/>
      </w:tblGrid>
      <w:tr w:rsidR="00855750" w:rsidRPr="00A05297" w14:paraId="67051A9A" w14:textId="77777777" w:rsidTr="00C42BA3">
        <w:trPr>
          <w:trHeight w:val="296"/>
          <w:jc w:val="center"/>
        </w:trPr>
        <w:tc>
          <w:tcPr>
            <w:tcW w:w="740" w:type="dxa"/>
          </w:tcPr>
          <w:p w14:paraId="67051A97" w14:textId="77777777" w:rsidR="00A05297" w:rsidRPr="00A05297" w:rsidRDefault="00A05297" w:rsidP="00475E8E">
            <w:pPr>
              <w:spacing w:line="276" w:lineRule="auto"/>
              <w:jc w:val="both"/>
              <w:rPr>
                <w:rFonts w:ascii="Times New Roman" w:eastAsia="Times New Roman" w:hAnsi="Times New Roman"/>
                <w:b/>
                <w:sz w:val="24"/>
                <w:szCs w:val="24"/>
              </w:rPr>
            </w:pPr>
            <w:r w:rsidRPr="00A05297">
              <w:rPr>
                <w:rFonts w:ascii="Times New Roman" w:eastAsia="Times New Roman" w:hAnsi="Times New Roman"/>
                <w:b/>
                <w:sz w:val="24"/>
                <w:szCs w:val="24"/>
              </w:rPr>
              <w:t>Item</w:t>
            </w:r>
          </w:p>
        </w:tc>
        <w:tc>
          <w:tcPr>
            <w:tcW w:w="5690" w:type="dxa"/>
          </w:tcPr>
          <w:p w14:paraId="67051A98" w14:textId="77777777" w:rsidR="00A05297" w:rsidRPr="00A05297" w:rsidRDefault="00A05297" w:rsidP="00475E8E">
            <w:pPr>
              <w:spacing w:line="276" w:lineRule="auto"/>
              <w:jc w:val="both"/>
              <w:rPr>
                <w:rFonts w:ascii="Times New Roman" w:eastAsia="Times New Roman" w:hAnsi="Times New Roman"/>
                <w:b/>
                <w:sz w:val="24"/>
                <w:szCs w:val="24"/>
              </w:rPr>
            </w:pPr>
            <w:r w:rsidRPr="00A05297">
              <w:rPr>
                <w:rFonts w:ascii="Times New Roman" w:eastAsia="Times New Roman" w:hAnsi="Times New Roman"/>
                <w:b/>
                <w:sz w:val="24"/>
                <w:szCs w:val="24"/>
              </w:rPr>
              <w:t>Description</w:t>
            </w:r>
          </w:p>
        </w:tc>
        <w:tc>
          <w:tcPr>
            <w:tcW w:w="1987" w:type="dxa"/>
          </w:tcPr>
          <w:p w14:paraId="67051A99" w14:textId="77777777" w:rsidR="00A05297" w:rsidRPr="00A05297" w:rsidRDefault="00A05297" w:rsidP="00475E8E">
            <w:pPr>
              <w:spacing w:line="276" w:lineRule="auto"/>
              <w:jc w:val="both"/>
              <w:rPr>
                <w:rFonts w:ascii="Times New Roman" w:eastAsia="Times New Roman" w:hAnsi="Times New Roman"/>
                <w:b/>
                <w:sz w:val="24"/>
                <w:szCs w:val="24"/>
              </w:rPr>
            </w:pPr>
            <w:r w:rsidRPr="00A05297">
              <w:rPr>
                <w:rFonts w:ascii="Times New Roman" w:eastAsia="Times New Roman" w:hAnsi="Times New Roman"/>
                <w:b/>
                <w:sz w:val="24"/>
                <w:szCs w:val="24"/>
              </w:rPr>
              <w:t>Location</w:t>
            </w:r>
          </w:p>
        </w:tc>
      </w:tr>
      <w:tr w:rsidR="00855750" w:rsidRPr="00A05297" w14:paraId="67051AA0" w14:textId="77777777" w:rsidTr="00C42BA3">
        <w:trPr>
          <w:trHeight w:val="1826"/>
          <w:jc w:val="center"/>
        </w:trPr>
        <w:tc>
          <w:tcPr>
            <w:tcW w:w="740" w:type="dxa"/>
          </w:tcPr>
          <w:p w14:paraId="67051A9B"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1</w:t>
            </w:r>
          </w:p>
        </w:tc>
        <w:tc>
          <w:tcPr>
            <w:tcW w:w="5690" w:type="dxa"/>
          </w:tcPr>
          <w:p w14:paraId="67051A9C"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 xml:space="preserve">Vendor is to provide </w:t>
            </w:r>
            <w:bookmarkStart w:id="1" w:name="_Hlk181101233"/>
            <w:r w:rsidRPr="00A05297">
              <w:rPr>
                <w:rFonts w:ascii="Times New Roman" w:eastAsia="Times New Roman" w:hAnsi="Times New Roman"/>
                <w:sz w:val="24"/>
                <w:szCs w:val="24"/>
              </w:rPr>
              <w:t xml:space="preserve">to provide brand name </w:t>
            </w:r>
            <w:bookmarkEnd w:id="1"/>
            <w:r w:rsidRPr="00A05297">
              <w:rPr>
                <w:rFonts w:ascii="Times New Roman" w:eastAsia="Times New Roman" w:hAnsi="Times New Roman"/>
                <w:sz w:val="24"/>
                <w:szCs w:val="24"/>
              </w:rPr>
              <w:t>equipment that meets or exceeds the physical, functional, and performance of the equipment listed below.</w:t>
            </w:r>
          </w:p>
          <w:p w14:paraId="67051A9D" w14:textId="77777777" w:rsidR="00A05297" w:rsidRPr="00A05297" w:rsidRDefault="00A05297" w:rsidP="00475E8E">
            <w:pPr>
              <w:numPr>
                <w:ilvl w:val="0"/>
                <w:numId w:val="1"/>
              </w:numPr>
              <w:contextualSpacing/>
              <w:jc w:val="both"/>
              <w:rPr>
                <w:rFonts w:ascii="Times New Roman" w:eastAsia="Times New Roman" w:hAnsi="Times New Roman"/>
                <w:sz w:val="24"/>
                <w:szCs w:val="24"/>
              </w:rPr>
            </w:pPr>
            <w:r w:rsidRPr="00A05297">
              <w:rPr>
                <w:rFonts w:ascii="Times New Roman" w:eastAsia="Times New Roman" w:hAnsi="Times New Roman"/>
                <w:sz w:val="24"/>
                <w:szCs w:val="24"/>
              </w:rPr>
              <w:t>Gauge, Distance, Pupillary</w:t>
            </w:r>
          </w:p>
          <w:p w14:paraId="67051A9E" w14:textId="77777777" w:rsidR="00A05297" w:rsidRPr="00A05297" w:rsidRDefault="00A05297" w:rsidP="00475E8E">
            <w:pPr>
              <w:ind w:left="720"/>
              <w:contextualSpacing/>
              <w:jc w:val="both"/>
              <w:rPr>
                <w:rFonts w:ascii="Times New Roman" w:eastAsia="Times New Roman" w:hAnsi="Times New Roman"/>
                <w:sz w:val="24"/>
                <w:szCs w:val="24"/>
              </w:rPr>
            </w:pPr>
          </w:p>
        </w:tc>
        <w:tc>
          <w:tcPr>
            <w:tcW w:w="1987" w:type="dxa"/>
          </w:tcPr>
          <w:p w14:paraId="67051A9F"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 xml:space="preserve">Wake </w:t>
            </w:r>
            <w:r w:rsidRPr="00A05297">
              <w:rPr>
                <w:rFonts w:ascii="Times New Roman" w:eastAsia="Times New Roman" w:hAnsi="Times New Roman"/>
                <w:sz w:val="24"/>
                <w:szCs w:val="24"/>
              </w:rPr>
              <w:br/>
              <w:t xml:space="preserve">County </w:t>
            </w:r>
            <w:r w:rsidRPr="00A05297">
              <w:rPr>
                <w:rFonts w:ascii="Times New Roman" w:eastAsia="Times New Roman" w:hAnsi="Times New Roman"/>
                <w:sz w:val="24"/>
                <w:szCs w:val="24"/>
              </w:rPr>
              <w:br/>
              <w:t xml:space="preserve">VA </w:t>
            </w:r>
            <w:r w:rsidRPr="00A05297">
              <w:rPr>
                <w:rFonts w:ascii="Times New Roman" w:eastAsia="Times New Roman" w:hAnsi="Times New Roman"/>
                <w:sz w:val="24"/>
                <w:szCs w:val="24"/>
              </w:rPr>
              <w:br/>
              <w:t>Outpatient Clinic</w:t>
            </w:r>
            <w:r w:rsidRPr="00A05297">
              <w:rPr>
                <w:rFonts w:ascii="Times New Roman" w:eastAsia="Times New Roman" w:hAnsi="Times New Roman"/>
                <w:sz w:val="24"/>
                <w:szCs w:val="24"/>
              </w:rPr>
              <w:br/>
              <w:t>VAMC</w:t>
            </w:r>
          </w:p>
        </w:tc>
      </w:tr>
      <w:tr w:rsidR="00855750" w:rsidRPr="00A05297" w14:paraId="67051AA4" w14:textId="77777777" w:rsidTr="00475E8E">
        <w:trPr>
          <w:trHeight w:val="683"/>
          <w:jc w:val="center"/>
        </w:trPr>
        <w:tc>
          <w:tcPr>
            <w:tcW w:w="740" w:type="dxa"/>
          </w:tcPr>
          <w:p w14:paraId="67051AA1"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2</w:t>
            </w:r>
          </w:p>
        </w:tc>
        <w:tc>
          <w:tcPr>
            <w:tcW w:w="5690" w:type="dxa"/>
          </w:tcPr>
          <w:p w14:paraId="67051AA2" w14:textId="77777777" w:rsidR="00A05297" w:rsidRPr="00A05297" w:rsidRDefault="00A05297" w:rsidP="00475E8E">
            <w:pPr>
              <w:numPr>
                <w:ilvl w:val="0"/>
                <w:numId w:val="1"/>
              </w:num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Mirror, Front Surface Reflector, Eye Exam</w:t>
            </w:r>
          </w:p>
        </w:tc>
        <w:tc>
          <w:tcPr>
            <w:tcW w:w="1987" w:type="dxa"/>
          </w:tcPr>
          <w:p w14:paraId="67051AA3" w14:textId="77777777" w:rsidR="00A05297" w:rsidRPr="00A05297" w:rsidRDefault="00A05297" w:rsidP="00475E8E">
            <w:pPr>
              <w:spacing w:line="276" w:lineRule="auto"/>
              <w:jc w:val="both"/>
              <w:rPr>
                <w:rFonts w:ascii="Times New Roman" w:eastAsia="Times New Roman" w:hAnsi="Times New Roman"/>
                <w:sz w:val="24"/>
                <w:szCs w:val="24"/>
              </w:rPr>
            </w:pPr>
          </w:p>
        </w:tc>
      </w:tr>
      <w:tr w:rsidR="00855750" w:rsidRPr="00A05297" w14:paraId="67051AA8" w14:textId="77777777" w:rsidTr="00475E8E">
        <w:trPr>
          <w:trHeight w:val="638"/>
          <w:jc w:val="center"/>
        </w:trPr>
        <w:tc>
          <w:tcPr>
            <w:tcW w:w="740" w:type="dxa"/>
          </w:tcPr>
          <w:p w14:paraId="67051AA5"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3</w:t>
            </w:r>
          </w:p>
        </w:tc>
        <w:tc>
          <w:tcPr>
            <w:tcW w:w="5690" w:type="dxa"/>
          </w:tcPr>
          <w:p w14:paraId="67051AA6" w14:textId="77777777" w:rsidR="00A05297" w:rsidRPr="00A05297" w:rsidRDefault="00A05297" w:rsidP="00475E8E">
            <w:pPr>
              <w:pStyle w:val="ListParagraph"/>
              <w:numPr>
                <w:ilvl w:val="0"/>
                <w:numId w:val="1"/>
              </w:numPr>
              <w:spacing w:after="160" w:line="259" w:lineRule="auto"/>
              <w:rPr>
                <w:rFonts w:ascii="Times New Roman" w:eastAsia="Times New Roman" w:hAnsi="Times New Roman"/>
                <w:sz w:val="24"/>
                <w:szCs w:val="24"/>
              </w:rPr>
            </w:pPr>
            <w:r w:rsidRPr="00A05297">
              <w:rPr>
                <w:rFonts w:ascii="Times New Roman" w:eastAsia="Times New Roman" w:hAnsi="Times New Roman"/>
                <w:sz w:val="24"/>
                <w:szCs w:val="24"/>
              </w:rPr>
              <w:t>Warmer, Spectacle, Plastic</w:t>
            </w:r>
          </w:p>
        </w:tc>
        <w:tc>
          <w:tcPr>
            <w:tcW w:w="1987" w:type="dxa"/>
          </w:tcPr>
          <w:p w14:paraId="67051AA7" w14:textId="77777777" w:rsidR="00A05297" w:rsidRPr="00A05297" w:rsidRDefault="00A05297" w:rsidP="00475E8E">
            <w:pPr>
              <w:spacing w:line="276" w:lineRule="auto"/>
              <w:jc w:val="both"/>
              <w:rPr>
                <w:rFonts w:ascii="Times New Roman" w:eastAsia="Times New Roman" w:hAnsi="Times New Roman"/>
                <w:sz w:val="24"/>
                <w:szCs w:val="24"/>
              </w:rPr>
            </w:pPr>
          </w:p>
        </w:tc>
      </w:tr>
      <w:tr w:rsidR="00855750" w:rsidRPr="00A05297" w14:paraId="67051AAD" w14:textId="77777777" w:rsidTr="00475E8E">
        <w:trPr>
          <w:trHeight w:val="503"/>
          <w:jc w:val="center"/>
        </w:trPr>
        <w:tc>
          <w:tcPr>
            <w:tcW w:w="740" w:type="dxa"/>
          </w:tcPr>
          <w:p w14:paraId="67051AA9"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4</w:t>
            </w:r>
          </w:p>
        </w:tc>
        <w:tc>
          <w:tcPr>
            <w:tcW w:w="5690" w:type="dxa"/>
          </w:tcPr>
          <w:p w14:paraId="67051AAA" w14:textId="77777777" w:rsidR="00A05297" w:rsidRPr="00A05297" w:rsidRDefault="00A05297" w:rsidP="00475E8E">
            <w:pPr>
              <w:pStyle w:val="ListParagraph"/>
              <w:numPr>
                <w:ilvl w:val="0"/>
                <w:numId w:val="1"/>
              </w:numPr>
              <w:rPr>
                <w:rFonts w:ascii="Times New Roman" w:eastAsia="Times New Roman" w:hAnsi="Times New Roman"/>
                <w:sz w:val="24"/>
                <w:szCs w:val="24"/>
              </w:rPr>
            </w:pPr>
            <w:r w:rsidRPr="00A05297">
              <w:rPr>
                <w:rFonts w:ascii="Times New Roman" w:eastAsia="Times New Roman" w:hAnsi="Times New Roman"/>
                <w:sz w:val="24"/>
                <w:szCs w:val="24"/>
              </w:rPr>
              <w:t>Pachymeter, Handheld Ultrasound, Corneal</w:t>
            </w:r>
          </w:p>
          <w:p w14:paraId="67051AAB" w14:textId="77777777" w:rsidR="00A05297" w:rsidRPr="00A05297" w:rsidRDefault="00A05297" w:rsidP="00475E8E">
            <w:pPr>
              <w:ind w:left="360"/>
              <w:rPr>
                <w:rFonts w:ascii="Times New Roman" w:eastAsia="Times New Roman" w:hAnsi="Times New Roman"/>
                <w:sz w:val="24"/>
                <w:szCs w:val="24"/>
              </w:rPr>
            </w:pPr>
          </w:p>
        </w:tc>
        <w:tc>
          <w:tcPr>
            <w:tcW w:w="1987" w:type="dxa"/>
          </w:tcPr>
          <w:p w14:paraId="67051AAC" w14:textId="77777777" w:rsidR="00A05297" w:rsidRPr="00A05297" w:rsidRDefault="00A05297" w:rsidP="00475E8E">
            <w:pPr>
              <w:spacing w:line="276" w:lineRule="auto"/>
              <w:jc w:val="both"/>
              <w:rPr>
                <w:rFonts w:ascii="Times New Roman" w:eastAsia="Times New Roman" w:hAnsi="Times New Roman"/>
                <w:sz w:val="24"/>
                <w:szCs w:val="24"/>
              </w:rPr>
            </w:pPr>
          </w:p>
        </w:tc>
      </w:tr>
      <w:tr w:rsidR="00855750" w:rsidRPr="00A05297" w14:paraId="67051AB1" w14:textId="77777777" w:rsidTr="00475E8E">
        <w:trPr>
          <w:trHeight w:val="557"/>
          <w:jc w:val="center"/>
        </w:trPr>
        <w:tc>
          <w:tcPr>
            <w:tcW w:w="740" w:type="dxa"/>
          </w:tcPr>
          <w:p w14:paraId="67051AAE" w14:textId="77777777" w:rsidR="00A05297" w:rsidRPr="00A05297" w:rsidRDefault="00A05297" w:rsidP="00475E8E">
            <w:pPr>
              <w:spacing w:line="276" w:lineRule="auto"/>
              <w:jc w:val="both"/>
              <w:rPr>
                <w:rFonts w:ascii="Times New Roman" w:eastAsia="Times New Roman" w:hAnsi="Times New Roman"/>
                <w:sz w:val="24"/>
                <w:szCs w:val="24"/>
              </w:rPr>
            </w:pPr>
            <w:r w:rsidRPr="00A05297">
              <w:rPr>
                <w:rFonts w:ascii="Times New Roman" w:eastAsia="Times New Roman" w:hAnsi="Times New Roman"/>
                <w:sz w:val="24"/>
                <w:szCs w:val="24"/>
              </w:rPr>
              <w:t>5</w:t>
            </w:r>
          </w:p>
        </w:tc>
        <w:tc>
          <w:tcPr>
            <w:tcW w:w="5690" w:type="dxa"/>
          </w:tcPr>
          <w:p w14:paraId="67051AAF" w14:textId="77777777" w:rsidR="00A05297" w:rsidRPr="00A05297" w:rsidRDefault="00A05297" w:rsidP="00475E8E">
            <w:pPr>
              <w:pStyle w:val="ListParagraph"/>
              <w:numPr>
                <w:ilvl w:val="0"/>
                <w:numId w:val="1"/>
              </w:numPr>
              <w:rPr>
                <w:rFonts w:ascii="Times New Roman" w:eastAsia="Times New Roman" w:hAnsi="Times New Roman"/>
                <w:sz w:val="24"/>
                <w:szCs w:val="24"/>
              </w:rPr>
            </w:pPr>
            <w:r w:rsidRPr="00A05297">
              <w:rPr>
                <w:rFonts w:ascii="Times New Roman" w:eastAsia="Times New Roman" w:hAnsi="Times New Roman"/>
                <w:sz w:val="24"/>
                <w:szCs w:val="24"/>
              </w:rPr>
              <w:t>Corneal Topography Unit</w:t>
            </w:r>
          </w:p>
        </w:tc>
        <w:tc>
          <w:tcPr>
            <w:tcW w:w="1987" w:type="dxa"/>
          </w:tcPr>
          <w:p w14:paraId="67051AB0" w14:textId="77777777" w:rsidR="00A05297" w:rsidRPr="00A05297" w:rsidRDefault="00A05297" w:rsidP="00475E8E">
            <w:pPr>
              <w:spacing w:line="276" w:lineRule="auto"/>
              <w:jc w:val="both"/>
              <w:rPr>
                <w:rFonts w:ascii="Times New Roman" w:eastAsia="Times New Roman" w:hAnsi="Times New Roman"/>
                <w:sz w:val="24"/>
                <w:szCs w:val="24"/>
              </w:rPr>
            </w:pPr>
          </w:p>
        </w:tc>
      </w:tr>
    </w:tbl>
    <w:p w14:paraId="67051AB2"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p>
    <w:p w14:paraId="67051AB3"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p>
    <w:p w14:paraId="67051AB4"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The Government intends to solicit and negotiate with only one source under the authority of VAAR 819.7008, Sole source to an SDVOSB.  Contract will be for an estimated period of performance 10 March 2025 – 10 June 2025. This notice of intent is not a request for quotation</w:t>
      </w:r>
      <w:r w:rsidRPr="00A05297">
        <w:rPr>
          <w:rFonts w:ascii="Times New Roman" w:eastAsia="Times New Roman" w:hAnsi="Times New Roman" w:cs="Times New Roman"/>
          <w:sz w:val="24"/>
          <w:szCs w:val="24"/>
          <w:highlight w:val="yellow"/>
        </w:rPr>
        <w:t xml:space="preserve">.  Interested parties may identify their interest in the requirement and capabilities to </w:t>
      </w:r>
      <w:hyperlink r:id="rId7" w:history="1">
        <w:r w:rsidRPr="00A05297">
          <w:rPr>
            <w:rFonts w:ascii="Times New Roman" w:eastAsia="Times New Roman" w:hAnsi="Times New Roman" w:cs="Times New Roman"/>
            <w:color w:val="0000FF"/>
            <w:sz w:val="24"/>
            <w:szCs w:val="24"/>
            <w:highlight w:val="yellow"/>
            <w:u w:val="single"/>
          </w:rPr>
          <w:t>Ricardo.McIntosh@va.gov</w:t>
        </w:r>
      </w:hyperlink>
      <w:r w:rsidRPr="00A05297">
        <w:rPr>
          <w:rFonts w:ascii="Times New Roman" w:eastAsia="Times New Roman" w:hAnsi="Times New Roman" w:cs="Times New Roman"/>
          <w:sz w:val="24"/>
          <w:szCs w:val="24"/>
          <w:highlight w:val="yellow"/>
        </w:rPr>
        <w:t xml:space="preserve"> no later than 3:00 PM EST, February 27, 2025.</w:t>
      </w:r>
      <w:r w:rsidRPr="00A05297">
        <w:rPr>
          <w:rFonts w:ascii="Times New Roman" w:eastAsia="Times New Roman" w:hAnsi="Times New Roman" w:cs="Times New Roman"/>
          <w:sz w:val="24"/>
          <w:szCs w:val="24"/>
        </w:rPr>
        <w:t xml:space="preserve">  Telephone inquiries will not be accepted.  All information shall be furnished at no cost or obligation to the government.  </w:t>
      </w:r>
    </w:p>
    <w:p w14:paraId="67051AB5"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p>
    <w:p w14:paraId="67051AB6"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(a) Gray market items are Original Equipment Manufacturers (OEM) goods sold through unauthorized channels in direct competition with authorized distributors. This procurement is for new OEM medical supplies, medical equipment and/or services contracts for maintenance of medical equipment (i.e. replacement parts) for VA Medical Centers.  No remanufacture or gray market items will be acceptable.</w:t>
      </w:r>
    </w:p>
    <w:p w14:paraId="67051AB7"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 xml:space="preserve"> </w:t>
      </w:r>
    </w:p>
    <w:p w14:paraId="67051AB8"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 xml:space="preserve">(b) Vendor shall be an OEM, authorized dealer, authorized distributor or authorized reseller for the proposed medical supplies, medical equipment and/or services contracts for maintenance of medical equipment (i.e. replacement parts), verified by an authorization letter or other documents from the OEM, such that the OEM’s warranty and service are provided and maintained by the </w:t>
      </w:r>
      <w:r w:rsidRPr="00A05297">
        <w:rPr>
          <w:rFonts w:ascii="Times New Roman" w:eastAsia="Times New Roman" w:hAnsi="Times New Roman" w:cs="Times New Roman"/>
          <w:sz w:val="24"/>
          <w:szCs w:val="24"/>
        </w:rPr>
        <w:lastRenderedPageBreak/>
        <w:t>OEM.  All software licensing, warranty and service associated with the medical supplies, medical equipment and/or services contracts for maintenance of medical equipment shall be in accordance with the OEM terms and conditions.</w:t>
      </w:r>
    </w:p>
    <w:p w14:paraId="67051AB9"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p>
    <w:p w14:paraId="67051ABA"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(c) The delivery of gray market items to the VA in the fulfillment of an order/award constitutes a breach of contract.  Accordingly, the VA reserves the right to enforce any of its contractual remedies. This includes termination of the contract or, solely at the VA’s election, allowing the Vendor to replace, at no cost to the Government, any remanufactured or gray market item(s) delivered to a VA medical facility upon discovery of such items.</w:t>
      </w:r>
    </w:p>
    <w:p w14:paraId="67051ABB"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p>
    <w:p w14:paraId="67051ABC" w14:textId="77777777" w:rsidR="00A05297" w:rsidRPr="00A05297" w:rsidRDefault="00A05297" w:rsidP="00475E8E">
      <w:pPr>
        <w:spacing w:after="0" w:line="240" w:lineRule="auto"/>
        <w:jc w:val="both"/>
        <w:rPr>
          <w:rFonts w:ascii="Times New Roman" w:eastAsia="Times New Roman" w:hAnsi="Times New Roman" w:cs="Times New Roman"/>
          <w:sz w:val="24"/>
          <w:szCs w:val="24"/>
        </w:rPr>
      </w:pPr>
      <w:r w:rsidRPr="00A05297">
        <w:rPr>
          <w:rFonts w:ascii="Times New Roman" w:eastAsia="Times New Roman" w:hAnsi="Times New Roman" w:cs="Times New Roman"/>
          <w:sz w:val="24"/>
          <w:szCs w:val="24"/>
        </w:rPr>
        <w:t xml:space="preserve">No solicitation will be made available.  Information received will normally be considered solely for the purpose of determining whether to conduct a competitive procurement.  A determination by the government not to complete this proposed contract based upon responses to the notice is solely within the discretion of the Government. </w:t>
      </w:r>
    </w:p>
    <w:bookmarkEnd w:id="0"/>
    <w:p w14:paraId="67051ABD" w14:textId="77777777" w:rsidR="00A05297" w:rsidRPr="00A05297" w:rsidRDefault="00A05297" w:rsidP="00475E8E">
      <w:pPr>
        <w:rPr>
          <w:rFonts w:ascii="Times New Roman" w:eastAsia="Times New Roman" w:hAnsi="Times New Roman" w:cs="Times New Roman"/>
          <w:sz w:val="24"/>
          <w:szCs w:val="24"/>
        </w:rPr>
      </w:pPr>
    </w:p>
    <w:p w14:paraId="67051ABE" w14:textId="77777777" w:rsidR="00A05297" w:rsidRPr="00A05297" w:rsidRDefault="00A05297">
      <w:pPr>
        <w:rPr>
          <w:rFonts w:ascii="Times New Roman" w:hAnsi="Times New Roman" w:cs="Times New Roman"/>
          <w:sz w:val="24"/>
          <w:szCs w:val="24"/>
        </w:rPr>
      </w:pPr>
    </w:p>
    <w:sectPr w:rsidR="00A05297" w:rsidRPr="00A05297">
      <w:headerReference w:type="default" r:id="rId8"/>
      <w:footerReference w:type="default" r:id="rId9"/>
      <w:footerReference w:type="first" r:id="rId10"/>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1AD3" w14:textId="77777777" w:rsidR="00A05297" w:rsidRDefault="00A05297">
      <w:pPr>
        <w:spacing w:after="0" w:line="240" w:lineRule="auto"/>
      </w:pPr>
      <w:r>
        <w:separator/>
      </w:r>
    </w:p>
  </w:endnote>
  <w:endnote w:type="continuationSeparator" w:id="0">
    <w:p w14:paraId="67051AD5" w14:textId="77777777" w:rsidR="00A05297" w:rsidRDefault="00A0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1ACD" w14:textId="77777777" w:rsidR="00855750" w:rsidRDefault="00A05297">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fldSimple w:instr=" NUMPAGES   \* MERGEFORMAT ">
      <w: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1ACE" w14:textId="77777777" w:rsidR="00855750" w:rsidRDefault="00A05297">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1ACF" w14:textId="77777777" w:rsidR="00A05297" w:rsidRDefault="00A05297">
      <w:pPr>
        <w:spacing w:after="0" w:line="240" w:lineRule="auto"/>
      </w:pPr>
      <w:r>
        <w:separator/>
      </w:r>
    </w:p>
  </w:footnote>
  <w:footnote w:type="continuationSeparator" w:id="0">
    <w:p w14:paraId="67051AD1" w14:textId="77777777" w:rsidR="00A05297" w:rsidRDefault="00A05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1ACB" w14:textId="77777777" w:rsidR="00A05297" w:rsidRPr="00475E8E" w:rsidRDefault="00A05297" w:rsidP="00475E8E">
    <w:pPr>
      <w:keepNext/>
      <w:keepLines/>
      <w:spacing w:before="120" w:after="120"/>
      <w:jc w:val="center"/>
      <w:outlineLvl w:val="0"/>
      <w:rPr>
        <w:rFonts w:ascii="Arial" w:eastAsia="Times New Roman" w:hAnsi="Arial" w:cs="Times New Roman"/>
        <w:b/>
        <w:bCs/>
        <w:color w:val="365F91"/>
        <w:sz w:val="36"/>
        <w:szCs w:val="24"/>
      </w:rPr>
    </w:pPr>
    <w:bookmarkStart w:id="2" w:name="_Hlk181102628"/>
    <w:bookmarkStart w:id="3" w:name="_Hlk181102629"/>
    <w:bookmarkStart w:id="4" w:name="_Hlk181102630"/>
    <w:bookmarkStart w:id="5" w:name="_Hlk181102631"/>
    <w:r w:rsidRPr="00475E8E">
      <w:rPr>
        <w:rFonts w:ascii="Arial" w:eastAsia="Times New Roman" w:hAnsi="Arial" w:cs="Times New Roman"/>
        <w:b/>
        <w:bCs/>
        <w:color w:val="365F91"/>
        <w:sz w:val="36"/>
        <w:szCs w:val="24"/>
      </w:rPr>
      <w:t>Special Notice</w:t>
    </w:r>
  </w:p>
  <w:bookmarkEnd w:id="2"/>
  <w:bookmarkEnd w:id="3"/>
  <w:bookmarkEnd w:id="4"/>
  <w:bookmarkEnd w:id="5"/>
  <w:p w14:paraId="67051ACC" w14:textId="77777777" w:rsidR="00A05297" w:rsidRDefault="00A05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463E0"/>
    <w:multiLevelType w:val="hybridMultilevel"/>
    <w:tmpl w:val="40CAEE2C"/>
    <w:lvl w:ilvl="0" w:tplc="4ADC310E">
      <w:numFmt w:val="bullet"/>
      <w:lvlText w:val=""/>
      <w:lvlJc w:val="left"/>
      <w:pPr>
        <w:ind w:left="720" w:hanging="360"/>
      </w:pPr>
      <w:rPr>
        <w:rFonts w:ascii="Symbol" w:eastAsiaTheme="minorEastAsia" w:hAnsi="Symbol" w:cs="Arial" w:hint="default"/>
      </w:rPr>
    </w:lvl>
    <w:lvl w:ilvl="1" w:tplc="77127E8E" w:tentative="1">
      <w:start w:val="1"/>
      <w:numFmt w:val="bullet"/>
      <w:lvlText w:val="o"/>
      <w:lvlJc w:val="left"/>
      <w:pPr>
        <w:ind w:left="1440" w:hanging="360"/>
      </w:pPr>
      <w:rPr>
        <w:rFonts w:ascii="Courier New" w:hAnsi="Courier New" w:cs="Courier New" w:hint="default"/>
      </w:rPr>
    </w:lvl>
    <w:lvl w:ilvl="2" w:tplc="A880AAEE" w:tentative="1">
      <w:start w:val="1"/>
      <w:numFmt w:val="bullet"/>
      <w:lvlText w:val=""/>
      <w:lvlJc w:val="left"/>
      <w:pPr>
        <w:ind w:left="2160" w:hanging="360"/>
      </w:pPr>
      <w:rPr>
        <w:rFonts w:ascii="Wingdings" w:hAnsi="Wingdings" w:hint="default"/>
      </w:rPr>
    </w:lvl>
    <w:lvl w:ilvl="3" w:tplc="ECC030EE" w:tentative="1">
      <w:start w:val="1"/>
      <w:numFmt w:val="bullet"/>
      <w:lvlText w:val=""/>
      <w:lvlJc w:val="left"/>
      <w:pPr>
        <w:ind w:left="2880" w:hanging="360"/>
      </w:pPr>
      <w:rPr>
        <w:rFonts w:ascii="Symbol" w:hAnsi="Symbol" w:hint="default"/>
      </w:rPr>
    </w:lvl>
    <w:lvl w:ilvl="4" w:tplc="7DA458E8" w:tentative="1">
      <w:start w:val="1"/>
      <w:numFmt w:val="bullet"/>
      <w:lvlText w:val="o"/>
      <w:lvlJc w:val="left"/>
      <w:pPr>
        <w:ind w:left="3600" w:hanging="360"/>
      </w:pPr>
      <w:rPr>
        <w:rFonts w:ascii="Courier New" w:hAnsi="Courier New" w:cs="Courier New" w:hint="default"/>
      </w:rPr>
    </w:lvl>
    <w:lvl w:ilvl="5" w:tplc="5308F152" w:tentative="1">
      <w:start w:val="1"/>
      <w:numFmt w:val="bullet"/>
      <w:lvlText w:val=""/>
      <w:lvlJc w:val="left"/>
      <w:pPr>
        <w:ind w:left="4320" w:hanging="360"/>
      </w:pPr>
      <w:rPr>
        <w:rFonts w:ascii="Wingdings" w:hAnsi="Wingdings" w:hint="default"/>
      </w:rPr>
    </w:lvl>
    <w:lvl w:ilvl="6" w:tplc="7730F6D6" w:tentative="1">
      <w:start w:val="1"/>
      <w:numFmt w:val="bullet"/>
      <w:lvlText w:val=""/>
      <w:lvlJc w:val="left"/>
      <w:pPr>
        <w:ind w:left="5040" w:hanging="360"/>
      </w:pPr>
      <w:rPr>
        <w:rFonts w:ascii="Symbol" w:hAnsi="Symbol" w:hint="default"/>
      </w:rPr>
    </w:lvl>
    <w:lvl w:ilvl="7" w:tplc="31D05314" w:tentative="1">
      <w:start w:val="1"/>
      <w:numFmt w:val="bullet"/>
      <w:lvlText w:val="o"/>
      <w:lvlJc w:val="left"/>
      <w:pPr>
        <w:ind w:left="5760" w:hanging="360"/>
      </w:pPr>
      <w:rPr>
        <w:rFonts w:ascii="Courier New" w:hAnsi="Courier New" w:cs="Courier New" w:hint="default"/>
      </w:rPr>
    </w:lvl>
    <w:lvl w:ilvl="8" w:tplc="A8182700" w:tentative="1">
      <w:start w:val="1"/>
      <w:numFmt w:val="bullet"/>
      <w:lvlText w:val=""/>
      <w:lvlJc w:val="left"/>
      <w:pPr>
        <w:ind w:left="6480" w:hanging="360"/>
      </w:pPr>
      <w:rPr>
        <w:rFonts w:ascii="Wingdings" w:hAnsi="Wingdings" w:hint="default"/>
      </w:rPr>
    </w:lvl>
  </w:abstractNum>
  <w:num w:numId="1" w16cid:durableId="11012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750"/>
    <w:rsid w:val="00110919"/>
    <w:rsid w:val="00855750"/>
    <w:rsid w:val="00A0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1A54"/>
  <w15:docId w15:val="{BA2070FE-7503-4086-ABF4-C8F4E65A35DE}"/>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ardo.McIntosh@v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579</Words>
  <Characters>3429</Characters>
  <Application>Microsoft Office Word</Application>
  <DocSecurity>0</DocSecurity>
  <Lines>131</Lines>
  <Paragraphs>65</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Mcintosh, Ricardo P. NCO 6</cp:lastModifiedBy>
  <cp:revision>3</cp:revision>
  <dcterms:created xsi:type="dcterms:W3CDTF">2025-02-26T18:22:00Z</dcterms:created>
  <dcterms:modified xsi:type="dcterms:W3CDTF">2025-02-26T18:24:00Z</dcterms:modified>
</cp:coreProperties>
</file>