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Apollo Service Medical Equipment, KC, 36C255-25-AP-0016,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589-25-1-1837-0010 (VA-25-00012798)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66048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36C25525Q0222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02-27-2025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2:00 PM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CENTRAL TIME, CHICAGO,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15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J065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811210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Contracting Office (NCO) 15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3450 S 4th Street Trafficway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Leavenworth KS  66048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Contracting Officer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Paul Dixon Jr.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paul.dixon@va.gov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913-946-1116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  <w:sectPr>
          <w:headerReference w:type="default" r:id="rId4"/>
          <w:footerReference w:type="default" r:id="rId5"/>
          <w:headerReference w:type="first" r:id="rId6"/>
          <w:footerReference w:type="first" r:id="rId7"/>
          <w:type w:val="continuous"/>
          <w:pgSz w:w="12240" w:h="15840"/>
          <w:pgMar w:top="1080" w:right="1440" w:bottom="1080" w:left="1440" w:header="360" w:footer="360"/>
          <w:cols w:space="720"/>
          <w:titlePg/>
          <w:docGrid w:linePitch="360"/>
        </w:sect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8E2766" w:rsidP="008E2766">
      <w:r>
        <w:t>This is an</w:t>
      </w:r>
      <w:r w:rsidRPr="00A15B65">
        <w:rPr>
          <w:b/>
          <w:bCs/>
        </w:rPr>
        <w:t xml:space="preserve"> INTENT TO SOLE SOURCE NOTICE</w:t>
      </w:r>
      <w:r>
        <w:t xml:space="preserve"> only.</w:t>
      </w:r>
    </w:p>
    <w:p w:rsidR="008E2766" w:rsidP="008E2766">
      <w:r>
        <w:t xml:space="preserve">This is an intent to sole source notice for commercial items prepared in accordance with </w:t>
      </w:r>
      <w:r>
        <w:t>FAR</w:t>
      </w:r>
    </w:p>
    <w:p w:rsidR="008E2766" w:rsidP="008E2766">
      <w:r>
        <w:t xml:space="preserve">Subpart 5.2, Synopses of Proposed Contract Actions. This announcement constitutes the </w:t>
      </w:r>
      <w:r>
        <w:t>only</w:t>
      </w:r>
    </w:p>
    <w:p w:rsidR="008E2766" w:rsidP="008E2766">
      <w:r>
        <w:t>notice of intent to sole source and synopsis of proposed action.</w:t>
      </w:r>
    </w:p>
    <w:p w:rsidR="008E2766" w:rsidP="008E2766">
      <w:r>
        <w:t>The Department of Veterans Affairs, VHA, Network Contracting Office (NCO) 15 intends to</w:t>
      </w:r>
    </w:p>
    <w:p w:rsidR="008E2766" w:rsidP="008E2766">
      <w:r>
        <w:t>negotiate/award a sole-source contract to Drager. The contract will be a</w:t>
      </w:r>
    </w:p>
    <w:p w:rsidR="008E2766" w:rsidP="008E2766">
      <w:r>
        <w:t>Base plus two (2) Option Years Firm Fixed award. The statutory authority for this noncompetitive</w:t>
      </w:r>
    </w:p>
    <w:p w:rsidR="008E2766" w:rsidP="008E2766">
      <w:r>
        <w:t>acquisition is FAR 13.106- 1(b) as implemented by FAR 6.302-1.</w:t>
      </w:r>
    </w:p>
    <w:p w:rsidR="008E2766" w:rsidP="008E2766">
      <w:r>
        <w:t xml:space="preserve">The North American Industrial Classification System (NAICS) code for this procurement </w:t>
      </w:r>
      <w:r>
        <w:t>is</w:t>
      </w:r>
    </w:p>
    <w:p w:rsidR="008E2766" w:rsidP="008E2766">
      <w:r>
        <w:t xml:space="preserve">811210, and the FSC/PSC is </w:t>
      </w:r>
      <w:r>
        <w:t>J065</w:t>
      </w:r>
      <w:r>
        <w:t>.</w:t>
      </w:r>
    </w:p>
    <w:p w:rsidR="008E2766" w:rsidP="008E2766">
      <w:r>
        <w:t>The Department of Veterans Affairs intends to solicit and award an Open Market Sole Source</w:t>
      </w:r>
    </w:p>
    <w:p w:rsidR="008E2766" w:rsidP="008E2766">
      <w:r>
        <w:t xml:space="preserve">Firm Fixed award for Maintenance and Repair on the Drager Ventilator Systems at </w:t>
      </w:r>
      <w:r>
        <w:t>Kansas City</w:t>
      </w:r>
    </w:p>
    <w:p w:rsidR="008E2766" w:rsidP="008E2766">
      <w:r>
        <w:t>VA Medical Center.</w:t>
      </w:r>
    </w:p>
    <w:p w:rsidR="008E2766" w:rsidP="008E2766">
      <w:r>
        <w:t>THIS NOTICE IS NOT A REQUEST FOR COMPETITIVE PROPOSALS OR QUOTATIONS. A</w:t>
      </w:r>
    </w:p>
    <w:p w:rsidR="008E2766" w:rsidP="008E2766">
      <w:r>
        <w:t>SOLICITATION WILL NOT BE POSTED.</w:t>
      </w:r>
    </w:p>
    <w:p w:rsidR="008E2766" w:rsidP="008E2766">
      <w:r>
        <w:t>Interested persons may identify their interest and capability to respond to the requirement by</w:t>
      </w:r>
    </w:p>
    <w:p w:rsidR="008E2766" w:rsidP="008E2766">
      <w:r>
        <w:t>2</w:t>
      </w:r>
      <w:r>
        <w:t>:00 PM CDT 2</w:t>
      </w:r>
      <w:r>
        <w:t>7</w:t>
      </w:r>
      <w:r>
        <w:t xml:space="preserve"> </w:t>
      </w:r>
      <w:r>
        <w:t>February</w:t>
      </w:r>
      <w:r>
        <w:t xml:space="preserve"> 202</w:t>
      </w:r>
      <w:r>
        <w:t>5</w:t>
      </w:r>
      <w:r>
        <w:t xml:space="preserve"> via email to </w:t>
      </w:r>
      <w:r>
        <w:t>paul.dixon@va.gov</w:t>
      </w:r>
      <w:r>
        <w:t xml:space="preserve"> All responses received by the</w:t>
      </w:r>
    </w:p>
    <w:p w:rsidR="008E2766" w:rsidP="008E2766">
      <w:r>
        <w:t xml:space="preserve">closing date specified herein will be considered by the Government, any response to this </w:t>
      </w:r>
      <w:r>
        <w:t>notice</w:t>
      </w:r>
    </w:p>
    <w:p w:rsidR="008E2766" w:rsidP="008E2766">
      <w:r>
        <w:t xml:space="preserve">must show clear and convincing evidence that the responding company can provide the </w:t>
      </w:r>
      <w:r>
        <w:t>same</w:t>
      </w:r>
    </w:p>
    <w:p w:rsidR="008E2766" w:rsidP="008E2766">
      <w:r>
        <w:t xml:space="preserve">services by the required date. However, a determination by the Government to not compete </w:t>
      </w:r>
      <w:r>
        <w:t>is</w:t>
      </w:r>
    </w:p>
    <w:p w:rsidR="008E2766" w:rsidP="008E2766">
      <w:r>
        <w:t>solely within the discretion of the Government.</w:t>
      </w:r>
    </w:p>
    <w:p w:rsidR="00123059"/>
    <w:sectPr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2"/>
      <w:gridCol w:w="46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1F63B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1F63B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1F63BF" w:rsidRPr="00975C97" w:rsidP="009A409F">
    <w:pPr>
      <w:pStyle w:val="Footer"/>
      <w:rPr>
        <w:rFonts w:cstheme="minorHAnsi"/>
      </w:rPr>
    </w:pPr>
  </w:p>
  <w:p w:rsidR="001F63BF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83"/>
      <w:gridCol w:w="4677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1F63B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1F63B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1F63BF" w:rsidRPr="00E52D1F" w:rsidP="00637F97">
    <w:pPr>
      <w:pStyle w:val="Footer"/>
      <w:jc w:val="right"/>
      <w:rPr>
        <w:rFonts w:cstheme="minorHAnsi"/>
      </w:rPr>
    </w:pPr>
  </w:p>
  <w:p w:rsidR="001F63BF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B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B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27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4.xml" /><Relationship Id="rId11" Type="http://schemas.openxmlformats.org/officeDocument/2006/relationships/footer" Target="footer4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2025-02-24T19:02:31Z</dcterms:created>
  <dcterms:modified xsi:type="dcterms:W3CDTF">2025-02-24T19:02:31Z</dcterms:modified>
</cp:coreProperties>
</file>