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ACIST CVi Contrast Dye Injector System, Sole Source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55101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36C26325Q0482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03-03-2025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12:00 PM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CENTRAL TIME, CHICAGO,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60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6515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339112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23 CONTRACTING OFFICE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316 Robert Street N. STE. 506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St. Paul MN  55101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Savannah Weberg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savannah.weberg@va.gov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320-252-1670 ext. 4701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Use Email for all Communications</w:t>
            </w: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516E79">
      <w:pPr>
        <w:rPr>
          <w:iCs/>
          <w:szCs w:val="24"/>
        </w:rPr>
      </w:pPr>
      <w:r>
        <w:t xml:space="preserve">Sole Source Firm Fixed-Price Contract for </w:t>
      </w:r>
      <w:r>
        <w:rPr>
          <w:iCs/>
          <w:szCs w:val="24"/>
        </w:rPr>
        <w:t xml:space="preserve">ACIST </w:t>
      </w:r>
      <w:r>
        <w:rPr>
          <w:iCs/>
          <w:szCs w:val="24"/>
        </w:rPr>
        <w:t>CVi</w:t>
      </w:r>
      <w:r>
        <w:rPr>
          <w:iCs/>
          <w:szCs w:val="24"/>
        </w:rPr>
        <w:t xml:space="preserve"> Contrast Delivery System to B2H Consulting Group.</w:t>
      </w:r>
    </w:p>
    <w:p w:rsidR="004D7A01">
      <w:pPr>
        <w:rPr>
          <w:iCs/>
          <w:szCs w:val="24"/>
        </w:rPr>
      </w:pPr>
      <w:r>
        <w:rPr>
          <w:iCs/>
          <w:szCs w:val="24"/>
        </w:rPr>
        <w:t xml:space="preserve">Email response to: </w:t>
      </w:r>
      <w:r>
        <w:fldChar w:fldCharType="begin"/>
      </w:r>
      <w:r>
        <w:instrText xml:space="preserve"> HYPERLINK "mailto:savannah.weberg@va.gov" </w:instrText>
      </w:r>
      <w:r>
        <w:fldChar w:fldCharType="separate"/>
      </w:r>
      <w:r w:rsidRPr="00EC5798">
        <w:rPr>
          <w:rStyle w:val="Hyperlink"/>
          <w:iCs/>
          <w:szCs w:val="24"/>
        </w:rPr>
        <w:t>savannah.weberg@va.gov</w:t>
      </w:r>
      <w:r>
        <w:fldChar w:fldCharType="end"/>
      </w:r>
    </w:p>
    <w:p w:rsidR="004D7A01">
      <w:pPr>
        <w:rPr>
          <w:iCs/>
          <w:szCs w:val="24"/>
        </w:rPr>
      </w:pPr>
      <w:r>
        <w:rPr>
          <w:iCs/>
          <w:szCs w:val="24"/>
        </w:rPr>
        <w:t>Responses must be received no later than 12:00 PM CST Monday, March 3, 2025.</w:t>
      </w:r>
    </w:p>
    <w:p w:rsidR="004D7A01">
      <w:pPr>
        <w:rPr>
          <w:iCs/>
          <w:szCs w:val="24"/>
        </w:rPr>
      </w:pPr>
      <w:r>
        <w:rPr>
          <w:iCs/>
          <w:szCs w:val="24"/>
        </w:rPr>
        <w:t>Email Subject line must include: 36C26325Q0482.</w:t>
      </w:r>
    </w:p>
    <w:p w:rsidR="004D7A01">
      <w:r>
        <w:rPr>
          <w:iCs/>
          <w:szCs w:val="24"/>
        </w:rPr>
        <w:t>See attached Notice</w:t>
      </w:r>
      <w:r w:rsidR="00492063">
        <w:rPr>
          <w:iCs/>
          <w:szCs w:val="24"/>
        </w:rPr>
        <w:t xml:space="preserve"> and J&amp;A</w:t>
      </w:r>
      <w:r w:rsidR="005632CA">
        <w:rPr>
          <w:iCs/>
          <w:szCs w:val="24"/>
        </w:rPr>
        <w:t xml:space="preserve"> for further details</w:t>
      </w:r>
      <w:r w:rsidR="00492063">
        <w:rPr>
          <w:iCs/>
          <w:szCs w:val="24"/>
        </w:rPr>
        <w:t>.</w:t>
      </w:r>
    </w:p>
    <w:p>
      <w:pPr>
        <w:ind w:left="360"/>
      </w:pPr>
      <w:r>
        <w:t>See attached document: Notice Intent to Sole Source 36C26325Q0482 Contrast Dye Injector.</w:t>
      </w:r>
    </w:p>
    <w:p>
      <w:pPr>
        <w:ind w:left="360"/>
      </w:pPr>
      <w:r>
        <w:t>See attached document: P03. Sole Source FAR13 Contrast Dye Injector_signed_Redacted.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A0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A0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2025-02-24T21:12:30Z</dcterms:created>
  <dcterms:modified xsi:type="dcterms:W3CDTF">2025-02-24T21:12:30Z</dcterms:modified>
</cp:coreProperties>
</file>