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Intent to Sole Source toCorps Medical Supply LLC.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Eysei Surgical Cataract System in support of the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Iowa City IA, Healthcare System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56303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36C26325Q0503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03-06-2025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11:59pm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CENTRAL TIME, CHICAGO,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6515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339112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23 CONTRACTING OFFICE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Officer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1303 5th St. STE 300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St. Cloud MN  56303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Christi Melendez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Christi.Melendez@va.gov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8B3D4E" w:rsidRPr="008B3D4E" w:rsidP="00DC5006">
      <w:pPr>
        <w:rPr>
          <w:b/>
          <w:bCs/>
        </w:rPr>
      </w:pPr>
      <w:r w:rsidRPr="008B3D4E">
        <w:rPr>
          <w:b/>
          <w:bCs/>
        </w:rPr>
        <w:t xml:space="preserve">INTENT TO SOLE SOURCE - </w:t>
      </w:r>
      <w:r w:rsidRPr="00773D8C" w:rsidR="00773D8C">
        <w:rPr>
          <w:b/>
          <w:bCs/>
        </w:rPr>
        <w:t>36C26325Q0503</w:t>
      </w:r>
    </w:p>
    <w:p w:rsidR="00663D8C" w:rsidP="008B3D4E">
      <w:r>
        <w:t xml:space="preserve">Department of Veterans </w:t>
      </w:r>
      <w:r w:rsidR="008B3D4E">
        <w:t xml:space="preserve">Affairs </w:t>
      </w:r>
      <w:r w:rsidR="00DC5006">
        <w:t xml:space="preserve">intends to issue a Firm-Fixed Price </w:t>
      </w:r>
      <w:r w:rsidR="008B3D4E">
        <w:t>contract</w:t>
      </w:r>
      <w:r w:rsidR="00DC5006">
        <w:t xml:space="preserve"> to a single source, </w:t>
      </w:r>
      <w:r w:rsidRPr="006F71F4" w:rsidR="006F71F4">
        <w:t>Corps Medical Supply LLC.</w:t>
      </w:r>
      <w:r w:rsidR="006F71F4">
        <w:t xml:space="preserve"> </w:t>
      </w:r>
      <w:r w:rsidR="008B3D4E">
        <w:t>f</w:t>
      </w:r>
      <w:r w:rsidRPr="006F71F4" w:rsidR="006F71F4">
        <w:t>o</w:t>
      </w:r>
      <w:r w:rsidRPr="00C97173" w:rsidR="006F71F4">
        <w:t>r</w:t>
      </w:r>
      <w:r w:rsidRPr="00C97173" w:rsidR="00B00D3E">
        <w:t xml:space="preserve"> </w:t>
      </w:r>
      <w:r w:rsidR="00B00D3E">
        <w:t xml:space="preserve">an </w:t>
      </w:r>
      <w:r w:rsidRPr="00B00D3E" w:rsidR="00B00D3E">
        <w:t>Eyesi</w:t>
      </w:r>
      <w:r w:rsidRPr="00B00D3E" w:rsidR="00B00D3E">
        <w:t xml:space="preserve"> Surgical Cataract &amp; Vitreoretinal Surgery Virtual Reality Training Simulator</w:t>
      </w:r>
      <w:r w:rsidR="00B00D3E">
        <w:t xml:space="preserve">. </w:t>
      </w:r>
      <w:r w:rsidR="008B3D4E">
        <w:t>This procurement is authorized by FAR 13.106-1</w:t>
      </w:r>
      <w:r w:rsidR="00A829C7">
        <w:t>(b)(1)(i)</w:t>
      </w:r>
      <w:r>
        <w:t xml:space="preserve">.  Only one source </w:t>
      </w:r>
      <w:r>
        <w:t>is capable of providing</w:t>
      </w:r>
      <w:r>
        <w:t xml:space="preserve"> the supplies required due to brand-name restrictions and </w:t>
      </w:r>
      <w:r w:rsidR="002E6BBB">
        <w:t xml:space="preserve">this </w:t>
      </w:r>
      <w:r w:rsidR="003E5D95">
        <w:t xml:space="preserve">sole </w:t>
      </w:r>
      <w:r w:rsidR="002E6BBB">
        <w:t xml:space="preserve">source is the </w:t>
      </w:r>
      <w:r>
        <w:t>Original Equipment Manufacturer</w:t>
      </w:r>
      <w:r w:rsidR="00C063B8">
        <w:t>’s only licensed distributor.</w:t>
      </w:r>
    </w:p>
    <w:p w:rsidR="008B3D4E" w:rsidP="008B3D4E">
      <w:r>
        <w:t xml:space="preserve">The NAICS code is </w:t>
      </w:r>
      <w:r w:rsidRPr="003C7FB2" w:rsidR="003C7FB2">
        <w:t>339112</w:t>
      </w:r>
      <w:r w:rsidR="00143537">
        <w:t xml:space="preserve">. </w:t>
      </w:r>
      <w:r>
        <w:t xml:space="preserve">The PSC code is </w:t>
      </w:r>
      <w:r w:rsidRPr="003C7FB2">
        <w:t>6515</w:t>
      </w:r>
      <w:r>
        <w:t>.</w:t>
      </w:r>
    </w:p>
    <w:p w:rsidR="004E24ED" w:rsidP="00DC5006">
      <w:r w:rsidRPr="00DC5006">
        <w:t>This notice of intent is not a request for competitive quotations. However, all responsible sources may submit a capability statement</w:t>
      </w:r>
      <w:r>
        <w:t xml:space="preserve">, </w:t>
      </w:r>
      <w:r w:rsidRPr="00DC5006">
        <w:t xml:space="preserve">which shall be considered by the Government. The Government will consider responses received </w:t>
      </w:r>
      <w:r>
        <w:t xml:space="preserve">by the closing date of </w:t>
      </w:r>
      <w:r w:rsidRPr="00DC5006">
        <w:t xml:space="preserve">this notice. Information received will be considered solely for the purpose of determining </w:t>
      </w:r>
      <w:r w:rsidRPr="00DC5006">
        <w:t>whether or not</w:t>
      </w:r>
      <w:r w:rsidRPr="00DC5006">
        <w:t xml:space="preserve"> to conduct a full and open competitive procurement or a small business set aside competitive procurement. The Government will not pay for any information received in response to this announcement.</w:t>
      </w:r>
    </w:p>
    <w:p w:rsidR="00DC5006" w:rsidRPr="00DC5006" w:rsidP="00DC5006">
      <w:r w:rsidRPr="00DC5006">
        <w:t>If the Government decides to compete this requirement, a synopsis shall be issued utilizing the combined synopsis/solicitation procedure identified in FAR 12.603.</w:t>
      </w:r>
    </w:p>
    <w:p w:rsidR="00663D8C" w:rsidRPr="008B3D4E" w:rsidP="008527B9">
      <w:r w:rsidRPr="008B3D4E">
        <w:rPr>
          <w:color w:val="202020"/>
        </w:rPr>
        <w:t>A determination not to compete this requirement based upon responses to this notice is solely within the discretion of the Government.</w:t>
      </w:r>
    </w:p>
    <w:p w:rsidR="00DC5006" w:rsidRPr="00FE222C" w:rsidP="00DC5006">
      <w:pPr>
        <w:rPr>
          <w:b/>
          <w:bCs/>
          <w:u w:val="single"/>
        </w:rPr>
      </w:pPr>
      <w:r w:rsidRPr="00FE222C">
        <w:rPr>
          <w:b/>
          <w:bCs/>
          <w:u w:val="single"/>
        </w:rPr>
        <w:t>POTENTIAL SOURCES SHALL PROVIDE THE FOLLOWING INFORMATION IN THEIR RESPONSE:</w:t>
      </w:r>
    </w:p>
    <w:p w:rsidR="00DC5006" w:rsidRPr="00C609D7" w:rsidP="00DC5006">
      <w:pPr>
        <w:rPr>
          <w:sz w:val="20"/>
          <w:szCs w:val="20"/>
        </w:rPr>
      </w:pPr>
      <w:r w:rsidRPr="00C609D7">
        <w:rPr>
          <w:sz w:val="20"/>
          <w:szCs w:val="20"/>
        </w:rPr>
        <w:t>1.</w:t>
      </w:r>
      <w:r w:rsidRPr="00C609D7">
        <w:rPr>
          <w:sz w:val="20"/>
          <w:szCs w:val="20"/>
        </w:rPr>
        <w:tab/>
        <w:t>Company name, address, primary contact(s), e-mail address</w:t>
      </w:r>
      <w:r w:rsidRPr="00C609D7" w:rsidR="00FE222C">
        <w:rPr>
          <w:sz w:val="20"/>
          <w:szCs w:val="20"/>
        </w:rPr>
        <w:t xml:space="preserve"> &amp; phone number.</w:t>
      </w:r>
    </w:p>
    <w:p w:rsidR="00DC5006" w:rsidRPr="00C609D7" w:rsidP="00DC5006">
      <w:pPr>
        <w:rPr>
          <w:sz w:val="20"/>
          <w:szCs w:val="20"/>
        </w:rPr>
      </w:pPr>
      <w:r w:rsidRPr="00C609D7">
        <w:rPr>
          <w:sz w:val="20"/>
          <w:szCs w:val="20"/>
        </w:rPr>
        <w:t>2.</w:t>
      </w:r>
      <w:r w:rsidRPr="00C609D7">
        <w:rPr>
          <w:sz w:val="20"/>
          <w:szCs w:val="20"/>
        </w:rPr>
        <w:tab/>
      </w:r>
      <w:r w:rsidRPr="00C609D7" w:rsidR="008B3D4E">
        <w:rPr>
          <w:sz w:val="20"/>
          <w:szCs w:val="20"/>
        </w:rPr>
        <w:t>A letter from the OEM confirming your firm is an authorized distributor.</w:t>
      </w:r>
    </w:p>
    <w:p w:rsidR="00DC5006" w:rsidRPr="00C609D7" w:rsidP="00DC5006">
      <w:pPr>
        <w:rPr>
          <w:sz w:val="20"/>
          <w:szCs w:val="20"/>
        </w:rPr>
      </w:pPr>
      <w:r w:rsidRPr="00C609D7">
        <w:rPr>
          <w:sz w:val="20"/>
          <w:szCs w:val="20"/>
        </w:rPr>
        <w:t>3.</w:t>
      </w:r>
      <w:r w:rsidRPr="00C609D7">
        <w:rPr>
          <w:sz w:val="20"/>
          <w:szCs w:val="20"/>
        </w:rPr>
        <w:tab/>
        <w:t>SAM UEI number.</w:t>
      </w:r>
    </w:p>
    <w:p w:rsidR="00DC5006" w:rsidRPr="00C609D7" w:rsidP="00DC5006">
      <w:pPr>
        <w:ind w:left="720" w:hanging="720"/>
        <w:rPr>
          <w:sz w:val="20"/>
          <w:szCs w:val="20"/>
        </w:rPr>
      </w:pPr>
      <w:r w:rsidRPr="00C609D7">
        <w:rPr>
          <w:sz w:val="20"/>
          <w:szCs w:val="20"/>
        </w:rPr>
        <w:t>4.</w:t>
      </w:r>
      <w:r w:rsidRPr="00C609D7">
        <w:rPr>
          <w:sz w:val="20"/>
          <w:szCs w:val="20"/>
        </w:rPr>
        <w:tab/>
      </w:r>
      <w:r w:rsidRPr="00C609D7" w:rsidR="00C609D7">
        <w:rPr>
          <w:sz w:val="20"/>
          <w:szCs w:val="20"/>
        </w:rPr>
        <w:t xml:space="preserve">State if your firm is a large business, small business, service-disabled-veteran-owned small business, veteran-owned small business, HUB zone 8(a), women-owned small business or a </w:t>
      </w:r>
      <w:r w:rsidRPr="00C609D7" w:rsidR="00C609D7">
        <w:rPr>
          <w:sz w:val="20"/>
          <w:szCs w:val="20"/>
        </w:rPr>
        <w:t>small disadvantaged</w:t>
      </w:r>
      <w:r w:rsidRPr="00C609D7" w:rsidR="00C609D7">
        <w:rPr>
          <w:sz w:val="20"/>
          <w:szCs w:val="20"/>
        </w:rPr>
        <w:t xml:space="preserve"> business</w:t>
      </w:r>
    </w:p>
    <w:p w:rsidR="00C609D7" w:rsidRPr="00C609D7" w:rsidP="00C609D7">
      <w:pPr>
        <w:rPr>
          <w:sz w:val="20"/>
          <w:szCs w:val="20"/>
        </w:rPr>
      </w:pPr>
      <w:r w:rsidRPr="00C609D7">
        <w:rPr>
          <w:sz w:val="20"/>
          <w:szCs w:val="20"/>
        </w:rPr>
        <w:t>5.</w:t>
      </w:r>
      <w:r w:rsidRPr="00C609D7">
        <w:rPr>
          <w:sz w:val="20"/>
          <w:szCs w:val="20"/>
        </w:rPr>
        <w:tab/>
      </w:r>
      <w:r w:rsidRPr="00C609D7">
        <w:rPr>
          <w:sz w:val="20"/>
          <w:szCs w:val="20"/>
        </w:rPr>
        <w:t>State if your firm has required items on Schedule (FSS, GSA, SEWP, other…).</w:t>
      </w:r>
    </w:p>
    <w:p w:rsidR="00C609D7" w:rsidRPr="00C609D7" w:rsidP="00C609D7">
      <w:pPr>
        <w:pStyle w:val="NoSpacing1"/>
        <w:ind w:left="720" w:hanging="720"/>
        <w:rPr>
          <w:rFonts w:ascii="Calibri" w:eastAsia="Calibri" w:hAnsi="Calibri" w:cs="Times New Roman"/>
          <w:sz w:val="20"/>
          <w:szCs w:val="20"/>
        </w:rPr>
      </w:pPr>
      <w:r w:rsidRPr="00C609D7">
        <w:rPr>
          <w:sz w:val="20"/>
          <w:szCs w:val="20"/>
        </w:rPr>
        <w:t>6.</w:t>
      </w:r>
      <w:r w:rsidRPr="00C609D7">
        <w:rPr>
          <w:sz w:val="20"/>
          <w:szCs w:val="20"/>
        </w:rPr>
        <w:tab/>
      </w:r>
      <w:r w:rsidRPr="00C609D7">
        <w:rPr>
          <w:rFonts w:ascii="Calibri" w:eastAsia="Calibri" w:hAnsi="Calibri" w:cs="Times New Roman"/>
          <w:sz w:val="20"/>
          <w:szCs w:val="20"/>
        </w:rPr>
        <w:t>If your firm is a Socio-economic small business (WOSB, VOSB, SDVOSB…)</w:t>
      </w:r>
      <w:r w:rsidR="00143537">
        <w:rPr>
          <w:rFonts w:ascii="Calibri" w:eastAsia="Calibri" w:hAnsi="Calibri" w:cs="Times New Roman"/>
          <w:sz w:val="20"/>
          <w:szCs w:val="20"/>
        </w:rPr>
        <w:t xml:space="preserve"> </w:t>
      </w:r>
      <w:r w:rsidRPr="00C609D7">
        <w:rPr>
          <w:rFonts w:ascii="Calibri" w:eastAsia="Calibri" w:hAnsi="Calibri" w:cs="Times New Roman"/>
          <w:sz w:val="20"/>
          <w:szCs w:val="20"/>
        </w:rPr>
        <w:t xml:space="preserve">state if your firm is a Non-Manufacturer under the Non- Manufacturing Rule.  Information regarding the Non-Manufacturer Rule can be found at these links: </w:t>
      </w:r>
    </w:p>
    <w:p w:rsidR="00C609D7" w:rsidRPr="00C609D7" w:rsidP="00C609D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fldChar w:fldCharType="begin"/>
      </w:r>
      <w:r>
        <w:instrText xml:space="preserve"> HYPERLINK "https://www.sba.gov/partners/contracting-officials/small-business-procurement/nonmanufacturer-rule" \l ":~:text=What%20is%20the%20nonmanufacturer%20rule,if%20it%20is%20a%20nonmanufacturer" </w:instrText>
      </w:r>
      <w:r>
        <w:fldChar w:fldCharType="separate"/>
      </w:r>
      <w:r w:rsidRPr="00C609D7">
        <w:rPr>
          <w:color w:val="0000FF"/>
          <w:sz w:val="20"/>
          <w:szCs w:val="20"/>
          <w:u w:val="single"/>
        </w:rPr>
        <w:t>Nonmanufacturer rule | U.S. Small Business Administration (sba.gov)</w:t>
      </w:r>
      <w:r>
        <w:fldChar w:fldCharType="end"/>
      </w:r>
    </w:p>
    <w:p w:rsidR="00C609D7" w:rsidRPr="00C609D7" w:rsidP="00C609D7">
      <w:pPr>
        <w:spacing w:after="0" w:line="240" w:lineRule="auto"/>
        <w:ind w:left="1800"/>
        <w:rPr>
          <w:sz w:val="20"/>
          <w:szCs w:val="20"/>
        </w:rPr>
      </w:pPr>
      <w:r w:rsidRPr="00C609D7">
        <w:rPr>
          <w:sz w:val="20"/>
          <w:szCs w:val="20"/>
        </w:rPr>
        <w:t>-OR-</w:t>
      </w:r>
    </w:p>
    <w:p w:rsidR="00282359" w:rsidRPr="00C609D7" w:rsidP="00C609D7">
      <w:pPr>
        <w:ind w:left="720"/>
        <w:rPr>
          <w:b/>
          <w:bCs/>
          <w:sz w:val="20"/>
          <w:szCs w:val="20"/>
          <w:u w:val="single"/>
        </w:rPr>
      </w:pPr>
      <w:r>
        <w:fldChar w:fldCharType="begin"/>
      </w:r>
      <w:r>
        <w:instrText xml:space="preserve"> HYPERLINK "https://www.sba.gov/partners/contracting-officials/small-business-procurement/nonmanufacturer-le" \l ":~:text=What%20is%20the%20nonmanufacturer%20rule,if%20it%20is%20a%20nonmanufacturer" </w:instrText>
      </w:r>
      <w:r>
        <w:fldChar w:fldCharType="separate"/>
      </w:r>
      <w:r w:rsidRPr="00C609D7" w:rsidR="00C609D7">
        <w:rPr>
          <w:rStyle w:val="Hyperlink"/>
          <w:sz w:val="20"/>
          <w:szCs w:val="20"/>
        </w:rPr>
        <w:t>https://www.sba.gov/partners/contracting-officials/small-business-procurement/nonmanufacturer-le#:~:text=What%20is%20the%20nonmanufacturer%20rule,if%20it%20is%20a%20nonmanufacturer</w:t>
      </w:r>
      <w:r>
        <w:fldChar w:fldCharType="end"/>
      </w:r>
    </w:p>
    <w:p w:rsidR="008527B9" w:rsidP="00DC5006">
      <w:pPr>
        <w:rPr>
          <w:b/>
          <w:bCs/>
          <w:u w:val="single"/>
        </w:rPr>
      </w:pPr>
    </w:p>
    <w:p w:rsidR="008527B9" w:rsidP="00DC5006">
      <w:pPr>
        <w:rPr>
          <w:b/>
          <w:bCs/>
          <w:u w:val="single"/>
        </w:rPr>
      </w:pPr>
    </w:p>
    <w:p w:rsidR="00C609D7" w:rsidP="00DC5006">
      <w:pPr>
        <w:rPr>
          <w:b/>
          <w:bCs/>
          <w:u w:val="single"/>
        </w:rPr>
      </w:pPr>
      <w:r>
        <w:rPr>
          <w:b/>
          <w:bCs/>
          <w:u w:val="single"/>
        </w:rPr>
        <w:t>How to Respond:</w:t>
      </w:r>
    </w:p>
    <w:p w:rsidR="002E6BBB" w:rsidRPr="00C609D7" w:rsidP="002E6BBB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C609D7">
        <w:t xml:space="preserve">All responses must be </w:t>
      </w:r>
      <w:r>
        <w:t xml:space="preserve">sent by email </w:t>
      </w:r>
      <w:r w:rsidRPr="00C609D7">
        <w:t xml:space="preserve">to this email address: </w:t>
      </w:r>
      <w:r>
        <w:fldChar w:fldCharType="begin"/>
      </w:r>
      <w:r>
        <w:instrText xml:space="preserve"> HYPERLINK "mailto:Christi.Melendez@va.gov" </w:instrText>
      </w:r>
      <w:r>
        <w:fldChar w:fldCharType="separate"/>
      </w:r>
      <w:r w:rsidRPr="00085B15" w:rsidR="00D4177C">
        <w:rPr>
          <w:rStyle w:val="Hyperlink"/>
          <w:rFonts w:ascii="Times New Roman" w:hAnsi="Times New Roman"/>
        </w:rPr>
        <w:t>Christi.Melendez@va.gov</w:t>
      </w:r>
      <w:r>
        <w:fldChar w:fldCharType="end"/>
      </w:r>
    </w:p>
    <w:p w:rsidR="002E6BBB" w:rsidP="00C609D7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C609D7" w:rsidRPr="00C609D7" w:rsidP="00C609D7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C609D7">
        <w:t xml:space="preserve">All responses must have </w:t>
      </w:r>
      <w:r w:rsidR="002E6BBB">
        <w:t>this</w:t>
      </w:r>
      <w:r w:rsidRPr="00C609D7">
        <w:t xml:space="preserve"> VA Identifier</w:t>
      </w:r>
      <w:r w:rsidR="002E6BBB">
        <w:t xml:space="preserve"> in the subject line of the email:</w:t>
      </w:r>
      <w:r w:rsidRPr="00C609D7">
        <w:t xml:space="preserve">  </w:t>
      </w:r>
      <w:r w:rsidRPr="006F26D4" w:rsidR="006F26D4">
        <w:rPr>
          <w:b/>
          <w:bCs/>
        </w:rPr>
        <w:t>36C26325Q0503</w:t>
      </w:r>
      <w:r w:rsidR="002E6BBB">
        <w:t>.</w:t>
      </w:r>
    </w:p>
    <w:p w:rsidR="00C609D7" w:rsidP="00C609D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bCs/>
        </w:rPr>
      </w:pPr>
      <w:r w:rsidRPr="00C609D7">
        <w:t>All responses must be received no later than:</w:t>
      </w:r>
      <w:r w:rsidRPr="00C609D7">
        <w:rPr>
          <w:b/>
          <w:bCs/>
        </w:rPr>
        <w:t xml:space="preserve"> </w:t>
      </w:r>
      <w:r w:rsidR="006F26D4">
        <w:rPr>
          <w:b/>
          <w:bCs/>
        </w:rPr>
        <w:t xml:space="preserve">11:59pm Central Time Thursday </w:t>
      </w:r>
      <w:r w:rsidR="00A5742C">
        <w:rPr>
          <w:b/>
          <w:bCs/>
        </w:rPr>
        <w:t xml:space="preserve">03/06/2025. </w:t>
      </w:r>
    </w:p>
    <w:p w:rsidR="002E6BBB" w:rsidRPr="00C609D7" w:rsidP="00C609D7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8527B9" w:rsidP="006338C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color w:val="000000"/>
          <w:u w:val="single"/>
        </w:rPr>
      </w:pPr>
    </w:p>
    <w:p w:rsidR="008527B9" w:rsidP="006338C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color w:val="000000"/>
          <w:u w:val="single"/>
        </w:rPr>
      </w:pPr>
    </w:p>
    <w:p w:rsidR="00367E3E" w:rsidRPr="00DC5006" w:rsidP="006338C3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DC5006">
        <w:rPr>
          <w:b/>
          <w:color w:val="000000"/>
          <w:u w:val="single"/>
        </w:rPr>
        <w:t>Nature and/or Description of the Requirement</w:t>
      </w:r>
      <w:r w:rsidRPr="00DC5006">
        <w:rPr>
          <w:b/>
        </w:rPr>
        <w:t>:</w:t>
      </w:r>
      <w:r w:rsidRPr="00DC5006">
        <w:t xml:space="preserve"> </w:t>
      </w:r>
    </w:p>
    <w:p w:rsidR="00367E3E" w:rsidP="00367E3E">
      <w:p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</w:pPr>
    </w:p>
    <w:p w:rsidR="00B00D3E" w:rsidP="00B00D3E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Eyesi</w:t>
      </w:r>
      <w:r>
        <w:t xml:space="preserve"> Surgical Cataract &amp; Vitreoretinal Surgery Virtual Reality Training Simulator:</w:t>
      </w:r>
    </w:p>
    <w:p w:rsidR="00B00D3E" w:rsidP="00B00D3E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Surgical Cataract System 36M (P-N ES_SET_CAT_IC_36)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Surgical Simulator Platform 2.11 (P-N ES_PS-2004_W)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Surgical Simulator Software (P-N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ES_Software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Cataract Components: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CAT Surgery Interface Pack (P-N SI-C_2011)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Surgical CAT hand activated forceps (P-N IS-C003)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CAT Basic Skills Pack 1 License (P-N TMP-C001) 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including:</w:t>
      </w:r>
    </w:p>
    <w:p w:rsidR="00B00D3E" w:rsidRPr="00B00D3E" w:rsidP="00F2618E">
      <w:pPr>
        <w:pStyle w:val="NoSpacing"/>
      </w:pPr>
      <w:r w:rsidRPr="00B00D3E">
        <w:t>Eyesi</w:t>
      </w:r>
      <w:r w:rsidRPr="00B00D3E">
        <w:t xml:space="preserve"> CAT Anti Tremor Training, </w:t>
      </w:r>
      <w:r w:rsidRPr="00B00D3E">
        <w:t>Eyesi</w:t>
      </w:r>
      <w:r w:rsidRPr="00B00D3E">
        <w:t xml:space="preserve"> CAT Forceps Training, </w:t>
      </w:r>
      <w:r w:rsidRPr="00B00D3E">
        <w:t>Eyesi</w:t>
      </w:r>
      <w:r w:rsidRPr="00B00D3E">
        <w:t xml:space="preserve"> CAT </w:t>
      </w:r>
      <w:r w:rsidRPr="00B00D3E">
        <w:t>Phaco</w:t>
      </w:r>
      <w:r w:rsidRPr="00B00D3E">
        <w:t xml:space="preserve"> Basic Skills Training</w:t>
      </w:r>
    </w:p>
    <w:p w:rsidR="00B00D3E" w:rsidRPr="00B00D3E" w:rsidP="00F2618E">
      <w:pPr>
        <w:pStyle w:val="NoSpacing"/>
      </w:pPr>
    </w:p>
    <w:p w:rsidR="00B00D3E" w:rsidRPr="00B00D3E" w:rsidP="00F2618E">
      <w:pPr>
        <w:pStyle w:val="NoSpacing"/>
      </w:pPr>
      <w:r w:rsidRPr="00B00D3E">
        <w:t xml:space="preserve">HS Simulation </w:t>
      </w:r>
      <w:r w:rsidRPr="00B00D3E">
        <w:t>Eyesi</w:t>
      </w:r>
      <w:r w:rsidRPr="00B00D3E">
        <w:t xml:space="preserve"> CAT Basic Skills Pack 2 License (P-N TMP-C002) 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including:</w:t>
      </w:r>
    </w:p>
    <w:p w:rsidR="00B00D3E" w:rsidRPr="00B00D3E" w:rsidP="00F2618E">
      <w:pPr>
        <w:pStyle w:val="NoSpacing"/>
      </w:pPr>
      <w:r w:rsidRPr="00B00D3E">
        <w:t>Eyesi</w:t>
      </w:r>
      <w:r w:rsidRPr="00B00D3E">
        <w:t xml:space="preserve"> CAT Navigation Training, </w:t>
      </w:r>
      <w:r w:rsidRPr="00B00D3E">
        <w:t>Eyesi</w:t>
      </w:r>
      <w:r w:rsidRPr="00B00D3E">
        <w:t xml:space="preserve"> CAT Bimanual Training, </w:t>
      </w:r>
      <w:r w:rsidRPr="00B00D3E">
        <w:t>Eyesi</w:t>
      </w:r>
      <w:r w:rsidRPr="00B00D3E">
        <w:t xml:space="preserve"> CAT Chopping &amp; Cracking Training</w:t>
      </w:r>
    </w:p>
    <w:p w:rsidR="00F2618E" w:rsidP="00F2618E">
      <w:pPr>
        <w:pStyle w:val="NoSpacing"/>
      </w:pPr>
    </w:p>
    <w:p w:rsidR="00B00D3E" w:rsidRPr="00B00D3E" w:rsidP="00F2618E">
      <w:pPr>
        <w:pStyle w:val="NoSpacing"/>
      </w:pPr>
      <w:r w:rsidRPr="00B00D3E">
        <w:t xml:space="preserve">HS Simulation </w:t>
      </w:r>
      <w:r w:rsidRPr="00B00D3E">
        <w:t>Eyesi</w:t>
      </w:r>
      <w:r w:rsidRPr="00B00D3E">
        <w:t xml:space="preserve"> CAT Basic Skills Pack 3 License (P-N TMP-C003) 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including:</w:t>
      </w:r>
    </w:p>
    <w:p w:rsidR="00B00D3E" w:rsidRPr="00B00D3E" w:rsidP="00F2618E">
      <w:pPr>
        <w:pStyle w:val="NoSpacing"/>
      </w:pPr>
      <w:r w:rsidRPr="00B00D3E">
        <w:t>Eyesi</w:t>
      </w:r>
      <w:r w:rsidRPr="00B00D3E">
        <w:t xml:space="preserve"> CAT Anti-Tremor Training (Intracapsular), </w:t>
      </w:r>
      <w:r w:rsidRPr="00B00D3E">
        <w:t>Eyesi</w:t>
      </w:r>
      <w:r w:rsidRPr="00B00D3E">
        <w:t xml:space="preserve"> CAT Navigation Training (Intracapsular), </w:t>
      </w:r>
      <w:r w:rsidRPr="00B00D3E">
        <w:t>Eyesi</w:t>
      </w:r>
      <w:r w:rsidRPr="00B00D3E">
        <w:t xml:space="preserve"> CAT Chopping Training</w:t>
      </w:r>
    </w:p>
    <w:p w:rsidR="00B00D3E" w:rsidRPr="00B00D3E" w:rsidP="00F2618E">
      <w:pPr>
        <w:pStyle w:val="NoSpacing"/>
      </w:pPr>
    </w:p>
    <w:p w:rsidR="00B00D3E" w:rsidRPr="00B00D3E" w:rsidP="00F2618E">
      <w:pPr>
        <w:pStyle w:val="NoSpacing"/>
      </w:pPr>
      <w:r w:rsidRPr="00B00D3E">
        <w:t xml:space="preserve">HS Simulation </w:t>
      </w:r>
      <w:r w:rsidRPr="00B00D3E">
        <w:t>Eyesi</w:t>
      </w:r>
      <w:r w:rsidRPr="00B00D3E">
        <w:t xml:space="preserve"> CAT </w:t>
      </w:r>
      <w:r w:rsidRPr="00B00D3E">
        <w:t>Capsulorhexis</w:t>
      </w:r>
      <w:r w:rsidRPr="00B00D3E">
        <w:t xml:space="preserve"> License (P-N TM-C101)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Phaco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Divide &amp; Conquer License (P-N TM-C102)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CAT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Hydromaneuvers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License (P-N TM-C103)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IrrigationAspiration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License (P-N TM-C104)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CAT IOL Insertion License (P-N TM-C105)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CAT Anterior Vitrectomy License (P-N TM-C106)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Iris Expansion Ring License (P-N TM-C107)</w:t>
      </w:r>
    </w:p>
    <w:p w:rsidR="00B00D3E" w:rsidRPr="00B00D3E" w:rsidP="00F2618E">
      <w:pPr>
        <w:pStyle w:val="NoSpacing"/>
      </w:pPr>
      <w:r w:rsidRPr="00B00D3E">
        <w:t xml:space="preserve">HS Simulation </w:t>
      </w:r>
      <w:r w:rsidRPr="00B00D3E">
        <w:t>Eyesi</w:t>
      </w:r>
      <w:r w:rsidRPr="00B00D3E">
        <w:t xml:space="preserve"> CAT Capsular Tension Ring License (P-N TM-C108)</w:t>
      </w:r>
    </w:p>
    <w:p w:rsidR="00B00D3E" w:rsidRPr="00B00D3E" w:rsidP="00F2618E">
      <w:pPr>
        <w:pStyle w:val="NoSpacing"/>
      </w:pPr>
    </w:p>
    <w:p w:rsidR="00B00D3E" w:rsidRPr="00B00D3E" w:rsidP="00F2618E">
      <w:pPr>
        <w:pStyle w:val="NoSpacing"/>
      </w:pPr>
      <w:r w:rsidRPr="00B00D3E">
        <w:t>Eyesi</w:t>
      </w:r>
      <w:r w:rsidRPr="00B00D3E">
        <w:t xml:space="preserve"> Courseware:</w:t>
      </w:r>
    </w:p>
    <w:p w:rsidR="00B00D3E" w:rsidRPr="00B00D3E" w:rsidP="00F2618E">
      <w:pPr>
        <w:pStyle w:val="NoSpacing"/>
      </w:pPr>
      <w:r w:rsidRPr="00B00D3E">
        <w:t xml:space="preserve">HS Simulation </w:t>
      </w:r>
      <w:r w:rsidRPr="00B00D3E">
        <w:t>Eyesi</w:t>
      </w:r>
      <w:r w:rsidRPr="00B00D3E">
        <w:t xml:space="preserve"> CAT Training Courseware License (P-N CW_C1) 1 0.00 0.00</w:t>
      </w:r>
    </w:p>
    <w:p w:rsidR="00B00D3E" w:rsidRPr="00B00D3E" w:rsidP="00F2618E">
      <w:pPr>
        <w:pStyle w:val="NoSpacing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:rsidR="00B00D3E" w:rsidRPr="00B00D3E" w:rsidP="00F2618E">
      <w:pPr>
        <w:pStyle w:val="NoSpacing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Surgical Complete Gold Software Plan 36M (P-N ES_MO-003_36) including:</w:t>
      </w:r>
    </w:p>
    <w:p w:rsidR="00B00D3E" w:rsidRPr="00B00D3E" w:rsidP="00F2618E">
      <w:pPr>
        <w:pStyle w:val="NoSpacing"/>
      </w:pPr>
      <w:r w:rsidRPr="00B00D3E">
        <w:t xml:space="preserve">All </w:t>
      </w:r>
      <w:r w:rsidRPr="00B00D3E">
        <w:t>Eyesi</w:t>
      </w:r>
      <w:r w:rsidRPr="00B00D3E">
        <w:t xml:space="preserve"> Surgical software updates to licensed software</w:t>
      </w:r>
      <w:r w:rsidR="008527B9">
        <w:t>.</w:t>
      </w:r>
    </w:p>
    <w:p w:rsidR="00B00D3E" w:rsidRPr="00B00D3E" w:rsidP="00F2618E">
      <w:pPr>
        <w:pStyle w:val="NoSpacing"/>
      </w:pPr>
    </w:p>
    <w:p w:rsidR="00B00D3E" w:rsidRPr="00B00D3E" w:rsidP="00F2618E">
      <w:pPr>
        <w:pStyle w:val="NoSpacing"/>
      </w:pPr>
      <w:r w:rsidRPr="00B00D3E">
        <w:t xml:space="preserve">HS Simulation </w:t>
      </w:r>
      <w:r w:rsidRPr="00B00D3E">
        <w:t>Eyesi</w:t>
      </w:r>
      <w:r w:rsidRPr="00B00D3E">
        <w:t xml:space="preserve"> CAT Spare Instrument Set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Surgical CAT hand activated forceps (P-N IS-C003)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ES CAT Angled Instrument (P-N ESMP_IN_CAT_A_S)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ES CAT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Phaco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Instrument (P-N ESMP_IN_CAT_P_S)</w:t>
      </w:r>
    </w:p>
    <w:p w:rsidR="00B00D3E" w:rsidRPr="00B00D3E" w:rsidP="00B00D3E">
      <w:pPr>
        <w:spacing w:after="0" w:line="24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HS Simulation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Trade-in discount for 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>Eyesi</w:t>
      </w:r>
      <w:r w:rsidRPr="00B00D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Surgical SN062 (P-N VRM_TRADE_HW)</w:t>
      </w:r>
    </w:p>
    <w:p w:rsidR="00A8331A" w:rsidRPr="00DC5006" w:rsidP="006338C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color w:val="FF0000"/>
        </w:rPr>
      </w:pPr>
    </w:p>
    <w:p w:rsidR="00367E3E" w:rsidRPr="00DC5006" w:rsidP="00A8331A">
      <w:pPr>
        <w:spacing w:after="0" w:line="240" w:lineRule="auto"/>
        <w:jc w:val="center"/>
        <w:rPr>
          <w:rFonts w:asciiTheme="minorHAnsi" w:eastAsiaTheme="minorEastAsia" w:hAnsiTheme="minorHAnsi" w:cstheme="minorHAnsi"/>
          <w:bCs/>
        </w:rPr>
      </w:pPr>
      <w:r>
        <w:rPr>
          <w:rFonts w:asciiTheme="minorHAnsi" w:eastAsiaTheme="minorEastAsia" w:hAnsiTheme="minorHAnsi" w:cstheme="minorHAnsi"/>
          <w:bCs/>
        </w:rPr>
        <w:t>*** End ***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652D30"/>
    <w:multiLevelType w:val="hybridMultilevel"/>
    <w:tmpl w:val="BA04B79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/>
  <w:defaultTabStop w:val="720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5006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paragraph" w:customStyle="1" w:styleId="NoSpacing1">
    <w:name w:val="No Spacing1"/>
    <w:next w:val="NoSpacing"/>
    <w:uiPriority w:val="1"/>
    <w:qFormat/>
    <w:rsid w:val="00C609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09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0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2025-02-27T20:22:57Z</dcterms:created>
  <dcterms:modified xsi:type="dcterms:W3CDTF">2025-02-27T20:22:57Z</dcterms:modified>
</cp:coreProperties>
</file>