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50EE" w14:textId="77777777" w:rsidR="004D2FE9" w:rsidRDefault="004D2FE9" w:rsidP="009A3E30">
      <w:pPr>
        <w:spacing w:after="0"/>
        <w:jc w:val="center"/>
        <w:rPr>
          <w:b/>
          <w:sz w:val="28"/>
        </w:rPr>
      </w:pPr>
      <w:r>
        <w:rPr>
          <w:b/>
          <w:sz w:val="28"/>
        </w:rPr>
        <w:t>PERFORMANCE WORK STATEMENT</w:t>
      </w:r>
    </w:p>
    <w:p w14:paraId="337A50EF" w14:textId="77777777" w:rsidR="004D2FE9" w:rsidRPr="004D2FE9" w:rsidRDefault="004D2FE9" w:rsidP="009A3E30">
      <w:pPr>
        <w:spacing w:after="0"/>
        <w:jc w:val="center"/>
        <w:rPr>
          <w:b/>
          <w:sz w:val="12"/>
        </w:rPr>
      </w:pPr>
    </w:p>
    <w:p w14:paraId="337A50F0" w14:textId="5C5C9FCD" w:rsidR="00705506" w:rsidRPr="004D2FE9" w:rsidRDefault="00EC73E6" w:rsidP="004D2FE9">
      <w:pPr>
        <w:spacing w:after="0"/>
        <w:jc w:val="center"/>
        <w:rPr>
          <w:sz w:val="28"/>
        </w:rPr>
      </w:pPr>
      <w:r>
        <w:rPr>
          <w:sz w:val="28"/>
        </w:rPr>
        <w:t xml:space="preserve">Mapbox </w:t>
      </w:r>
      <w:r w:rsidR="005B60A8">
        <w:rPr>
          <w:sz w:val="28"/>
        </w:rPr>
        <w:t>API Tiles</w:t>
      </w:r>
    </w:p>
    <w:p w14:paraId="337A50F1" w14:textId="77777777" w:rsidR="004D2FE9" w:rsidRDefault="004D2FE9" w:rsidP="00705506">
      <w:pPr>
        <w:rPr>
          <w:sz w:val="24"/>
        </w:rPr>
      </w:pPr>
    </w:p>
    <w:p w14:paraId="337A50F2" w14:textId="77777777" w:rsidR="004D2FE9" w:rsidRDefault="004D2FE9" w:rsidP="00705506">
      <w:pPr>
        <w:rPr>
          <w:sz w:val="24"/>
        </w:rPr>
      </w:pPr>
      <w:r>
        <w:rPr>
          <w:sz w:val="24"/>
          <w:szCs w:val="24"/>
        </w:rPr>
        <w:t>1.0. PROJECT DESCRIPTION</w:t>
      </w:r>
      <w:r>
        <w:rPr>
          <w:sz w:val="24"/>
        </w:rPr>
        <w:t xml:space="preserve"> </w:t>
      </w:r>
    </w:p>
    <w:p w14:paraId="337A50F3" w14:textId="7B2445F3" w:rsidR="00A337D1" w:rsidRDefault="00A337D1" w:rsidP="00A337D1">
      <w:pPr>
        <w:rPr>
          <w:sz w:val="24"/>
        </w:rPr>
      </w:pPr>
      <w:r>
        <w:rPr>
          <w:sz w:val="24"/>
        </w:rPr>
        <w:t xml:space="preserve">Under this performance work statement, the vendor will provide </w:t>
      </w:r>
      <w:r w:rsidR="005B60A8">
        <w:rPr>
          <w:sz w:val="24"/>
        </w:rPr>
        <w:t>Software as a Service (SaaS)</w:t>
      </w:r>
      <w:r>
        <w:rPr>
          <w:sz w:val="24"/>
        </w:rPr>
        <w:t xml:space="preserve"> </w:t>
      </w:r>
      <w:r w:rsidR="005B60A8">
        <w:rPr>
          <w:sz w:val="24"/>
        </w:rPr>
        <w:t>f</w:t>
      </w:r>
      <w:r>
        <w:rPr>
          <w:sz w:val="24"/>
        </w:rPr>
        <w:t xml:space="preserve">or </w:t>
      </w:r>
      <w:r w:rsidR="00A43D2E">
        <w:rPr>
          <w:sz w:val="24"/>
        </w:rPr>
        <w:t xml:space="preserve">Mapbox </w:t>
      </w:r>
      <w:r w:rsidR="00A77557">
        <w:rPr>
          <w:sz w:val="24"/>
        </w:rPr>
        <w:t>Raster Tiles API, Static Tiles API, and Temporary Geocoding API.</w:t>
      </w:r>
    </w:p>
    <w:p w14:paraId="337A50F4" w14:textId="77777777" w:rsidR="00327C36" w:rsidRDefault="004D2FE9" w:rsidP="00705506">
      <w:pPr>
        <w:rPr>
          <w:sz w:val="24"/>
          <w:szCs w:val="24"/>
        </w:rPr>
      </w:pPr>
      <w:r w:rsidRPr="00515BB4">
        <w:rPr>
          <w:sz w:val="24"/>
          <w:szCs w:val="24"/>
        </w:rPr>
        <w:t>2.0. BACKGROUND</w:t>
      </w:r>
    </w:p>
    <w:p w14:paraId="337A50F5" w14:textId="0EAD6DFA" w:rsidR="00327C36" w:rsidRPr="00A43D2E" w:rsidRDefault="00A43D2E" w:rsidP="00327C36">
      <w:pPr>
        <w:spacing w:after="0"/>
        <w:rPr>
          <w:sz w:val="24"/>
          <w:szCs w:val="24"/>
        </w:rPr>
      </w:pPr>
      <w:r w:rsidRPr="00A43D2E">
        <w:rPr>
          <w:rFonts w:cstheme="minorHAnsi"/>
          <w:sz w:val="24"/>
          <w:szCs w:val="24"/>
        </w:rPr>
        <w:t xml:space="preserve">Mapbox </w:t>
      </w:r>
      <w:r w:rsidR="008A3C83">
        <w:rPr>
          <w:rFonts w:cstheme="minorHAnsi"/>
          <w:sz w:val="24"/>
          <w:szCs w:val="24"/>
        </w:rPr>
        <w:t>provides</w:t>
      </w:r>
      <w:r w:rsidR="00C75436">
        <w:rPr>
          <w:rFonts w:cstheme="minorHAnsi"/>
          <w:sz w:val="24"/>
          <w:szCs w:val="24"/>
        </w:rPr>
        <w:t xml:space="preserve"> custom online maps for websites and applications</w:t>
      </w:r>
      <w:r w:rsidRPr="00A43D2E">
        <w:rPr>
          <w:rFonts w:cstheme="minorHAnsi"/>
          <w:sz w:val="24"/>
          <w:szCs w:val="24"/>
        </w:rPr>
        <w:t xml:space="preserve">.  It provides background street maps, satellite imagery, physical maps, and boundary maps for a variety of mapping applications.  Mapbox’s </w:t>
      </w:r>
      <w:r w:rsidR="00C75436">
        <w:rPr>
          <w:rFonts w:cstheme="minorHAnsi"/>
          <w:sz w:val="24"/>
          <w:szCs w:val="24"/>
        </w:rPr>
        <w:t>Application Programming Interfaces (API)</w:t>
      </w:r>
      <w:r w:rsidRPr="00A43D2E">
        <w:rPr>
          <w:rFonts w:cstheme="minorHAnsi"/>
          <w:sz w:val="24"/>
          <w:szCs w:val="24"/>
        </w:rPr>
        <w:t xml:space="preserve"> are the building blocks to integrate location data into any mobile or web application.  Mapbox can be utilized for asset </w:t>
      </w:r>
      <w:r w:rsidR="00C75436" w:rsidRPr="00A43D2E">
        <w:rPr>
          <w:rFonts w:cstheme="minorHAnsi"/>
          <w:sz w:val="24"/>
          <w:szCs w:val="24"/>
        </w:rPr>
        <w:t>tracking and</w:t>
      </w:r>
      <w:r w:rsidRPr="00A43D2E">
        <w:rPr>
          <w:rFonts w:cstheme="minorHAnsi"/>
          <w:sz w:val="24"/>
          <w:szCs w:val="24"/>
        </w:rPr>
        <w:t xml:space="preserve"> is also available for private encrypted map use.  Mapbox can handle more than 2,400 geocode requests per minute, manage terabytes of map data, and support more than 5,000,000 map views per month.</w:t>
      </w:r>
      <w:r w:rsidR="00327C36" w:rsidRPr="00A43D2E">
        <w:rPr>
          <w:sz w:val="24"/>
          <w:szCs w:val="24"/>
        </w:rPr>
        <w:t xml:space="preserve"> </w:t>
      </w:r>
    </w:p>
    <w:p w14:paraId="337A50F6" w14:textId="77777777" w:rsidR="00327C36" w:rsidRPr="00A43D2E" w:rsidRDefault="00327C36" w:rsidP="00327C36">
      <w:pPr>
        <w:spacing w:after="0"/>
        <w:rPr>
          <w:sz w:val="24"/>
          <w:szCs w:val="24"/>
        </w:rPr>
      </w:pPr>
    </w:p>
    <w:p w14:paraId="337A50F7" w14:textId="77777777" w:rsidR="004D2FE9" w:rsidRDefault="004D2FE9" w:rsidP="00705506">
      <w:pPr>
        <w:rPr>
          <w:sz w:val="24"/>
        </w:rPr>
      </w:pPr>
      <w:r>
        <w:rPr>
          <w:sz w:val="24"/>
        </w:rPr>
        <w:t>3.0. SCOPE</w:t>
      </w:r>
    </w:p>
    <w:p w14:paraId="337A50F8" w14:textId="77777777" w:rsidR="004D2FE9" w:rsidRDefault="004D2FE9" w:rsidP="004D2FE9">
      <w:pPr>
        <w:rPr>
          <w:sz w:val="24"/>
        </w:rPr>
      </w:pPr>
      <w:r>
        <w:rPr>
          <w:sz w:val="24"/>
        </w:rPr>
        <w:t>Requirements under this scope of work are:</w:t>
      </w:r>
    </w:p>
    <w:p w14:paraId="337A50F9" w14:textId="77777777" w:rsidR="00FF2E42" w:rsidRDefault="00FF2E42" w:rsidP="004D2FE9">
      <w:pPr>
        <w:rPr>
          <w:sz w:val="24"/>
        </w:rPr>
      </w:pPr>
      <w:r>
        <w:rPr>
          <w:sz w:val="24"/>
        </w:rPr>
        <w:t xml:space="preserve">Task </w:t>
      </w:r>
      <w:r w:rsidR="00533938">
        <w:rPr>
          <w:sz w:val="24"/>
        </w:rPr>
        <w:t>1</w:t>
      </w:r>
      <w:r w:rsidR="00A43D2E">
        <w:rPr>
          <w:sz w:val="24"/>
        </w:rPr>
        <w:t xml:space="preserve"> – Software</w:t>
      </w:r>
    </w:p>
    <w:p w14:paraId="337A50FA" w14:textId="24BF5046" w:rsidR="00FF2E42" w:rsidRDefault="00533938" w:rsidP="004D2FE9">
      <w:pPr>
        <w:pStyle w:val="PlainText"/>
        <w:numPr>
          <w:ilvl w:val="1"/>
          <w:numId w:val="2"/>
        </w:numPr>
        <w:ind w:left="720"/>
        <w:rPr>
          <w:rFonts w:asciiTheme="minorHAnsi" w:hAnsiTheme="minorHAnsi" w:cstheme="minorHAnsi"/>
          <w:sz w:val="24"/>
          <w:szCs w:val="24"/>
        </w:rPr>
      </w:pPr>
      <w:r>
        <w:rPr>
          <w:rFonts w:asciiTheme="minorHAnsi" w:hAnsiTheme="minorHAnsi" w:cstheme="minorHAnsi"/>
          <w:sz w:val="24"/>
          <w:szCs w:val="24"/>
        </w:rPr>
        <w:t>Vendor will provide</w:t>
      </w:r>
      <w:r w:rsidR="00FF2E42">
        <w:rPr>
          <w:rFonts w:asciiTheme="minorHAnsi" w:hAnsiTheme="minorHAnsi" w:cstheme="minorHAnsi"/>
          <w:sz w:val="24"/>
          <w:szCs w:val="24"/>
        </w:rPr>
        <w:t xml:space="preserve"> </w:t>
      </w:r>
      <w:r w:rsidR="00A43D2E">
        <w:rPr>
          <w:rFonts w:asciiTheme="minorHAnsi" w:hAnsiTheme="minorHAnsi" w:cstheme="minorHAnsi"/>
          <w:sz w:val="24"/>
          <w:szCs w:val="24"/>
        </w:rPr>
        <w:t xml:space="preserve">12-month access to Mapbox </w:t>
      </w:r>
      <w:r w:rsidR="00EC6F68">
        <w:rPr>
          <w:rFonts w:asciiTheme="minorHAnsi" w:hAnsiTheme="minorHAnsi" w:cstheme="minorHAnsi"/>
          <w:sz w:val="24"/>
          <w:szCs w:val="24"/>
        </w:rPr>
        <w:t>Raster Tiles API, Static Tiles API, and Temporary Geocoding API</w:t>
      </w:r>
      <w:r w:rsidR="00FF2E42">
        <w:rPr>
          <w:rFonts w:asciiTheme="minorHAnsi" w:hAnsiTheme="minorHAnsi" w:cstheme="minorHAnsi"/>
          <w:sz w:val="24"/>
          <w:szCs w:val="24"/>
        </w:rPr>
        <w:t>.</w:t>
      </w:r>
      <w:r w:rsidR="00A43D2E">
        <w:rPr>
          <w:rFonts w:asciiTheme="minorHAnsi" w:hAnsiTheme="minorHAnsi" w:cstheme="minorHAnsi"/>
          <w:sz w:val="24"/>
          <w:szCs w:val="24"/>
        </w:rPr>
        <w:t xml:space="preserve">  </w:t>
      </w:r>
    </w:p>
    <w:p w14:paraId="337A50FB" w14:textId="77777777" w:rsidR="00FF2E42" w:rsidRDefault="00FF2E42" w:rsidP="00FF2E42">
      <w:pPr>
        <w:pStyle w:val="PlainText"/>
        <w:rPr>
          <w:rFonts w:asciiTheme="minorHAnsi" w:hAnsiTheme="minorHAnsi" w:cstheme="minorHAnsi"/>
          <w:sz w:val="24"/>
          <w:szCs w:val="24"/>
        </w:rPr>
      </w:pPr>
    </w:p>
    <w:p w14:paraId="337A50FC" w14:textId="77777777" w:rsidR="00FF2E42" w:rsidRDefault="00FF2E42" w:rsidP="00FF2E42">
      <w:pPr>
        <w:pStyle w:val="PlainText"/>
        <w:rPr>
          <w:rFonts w:asciiTheme="minorHAnsi" w:hAnsiTheme="minorHAnsi" w:cstheme="minorHAnsi"/>
          <w:sz w:val="24"/>
          <w:szCs w:val="24"/>
        </w:rPr>
      </w:pPr>
      <w:r>
        <w:rPr>
          <w:rFonts w:asciiTheme="minorHAnsi" w:hAnsiTheme="minorHAnsi" w:cstheme="minorHAnsi"/>
          <w:sz w:val="24"/>
          <w:szCs w:val="24"/>
        </w:rPr>
        <w:t xml:space="preserve">Task </w:t>
      </w:r>
      <w:r w:rsidR="00533938">
        <w:rPr>
          <w:rFonts w:asciiTheme="minorHAnsi" w:hAnsiTheme="minorHAnsi" w:cstheme="minorHAnsi"/>
          <w:sz w:val="24"/>
          <w:szCs w:val="24"/>
        </w:rPr>
        <w:t>2</w:t>
      </w:r>
      <w:r>
        <w:rPr>
          <w:rFonts w:asciiTheme="minorHAnsi" w:hAnsiTheme="minorHAnsi" w:cstheme="minorHAnsi"/>
          <w:sz w:val="24"/>
          <w:szCs w:val="24"/>
        </w:rPr>
        <w:t xml:space="preserve"> – Technical Support</w:t>
      </w:r>
    </w:p>
    <w:p w14:paraId="337A50FD" w14:textId="77777777" w:rsidR="00FF2E42" w:rsidRPr="00FF2E42" w:rsidRDefault="003B4187" w:rsidP="00FF2E42">
      <w:pPr>
        <w:pStyle w:val="PlainText"/>
        <w:rPr>
          <w:rFonts w:asciiTheme="minorHAnsi" w:hAnsiTheme="minorHAnsi" w:cstheme="minorHAnsi"/>
          <w:sz w:val="24"/>
          <w:szCs w:val="24"/>
        </w:rPr>
      </w:pPr>
      <w:r>
        <w:rPr>
          <w:rFonts w:asciiTheme="minorHAnsi" w:hAnsiTheme="minorHAnsi" w:cstheme="minorHAnsi"/>
          <w:sz w:val="24"/>
          <w:szCs w:val="24"/>
        </w:rPr>
        <w:t xml:space="preserve">       </w:t>
      </w:r>
    </w:p>
    <w:p w14:paraId="337A50FE" w14:textId="3297C0BD" w:rsidR="004D2FE9" w:rsidRPr="00705506" w:rsidRDefault="004D2FE9" w:rsidP="00FF2E42">
      <w:pPr>
        <w:pStyle w:val="PlainText"/>
        <w:numPr>
          <w:ilvl w:val="1"/>
          <w:numId w:val="2"/>
        </w:numPr>
        <w:ind w:left="720"/>
        <w:rPr>
          <w:rFonts w:asciiTheme="minorHAnsi" w:hAnsiTheme="minorHAnsi" w:cstheme="minorHAnsi"/>
          <w:sz w:val="24"/>
          <w:szCs w:val="24"/>
        </w:rPr>
      </w:pPr>
      <w:r w:rsidRPr="00705506">
        <w:rPr>
          <w:rFonts w:asciiTheme="minorHAnsi" w:hAnsiTheme="minorHAnsi" w:cstheme="minorHAnsi"/>
          <w:sz w:val="24"/>
          <w:szCs w:val="24"/>
        </w:rPr>
        <w:t>Vendor will provide access to online support portal</w:t>
      </w:r>
      <w:r w:rsidR="00CF5D63">
        <w:rPr>
          <w:rFonts w:asciiTheme="minorHAnsi" w:hAnsiTheme="minorHAnsi" w:cstheme="minorHAnsi"/>
          <w:sz w:val="24"/>
          <w:szCs w:val="24"/>
        </w:rPr>
        <w:t xml:space="preserve"> at </w:t>
      </w:r>
      <w:hyperlink r:id="rId10" w:history="1">
        <w:r w:rsidR="00B825E1" w:rsidRPr="00664455">
          <w:rPr>
            <w:rStyle w:val="Hyperlink"/>
            <w:rFonts w:asciiTheme="minorHAnsi" w:hAnsiTheme="minorHAnsi" w:cstheme="minorHAnsi"/>
            <w:sz w:val="24"/>
            <w:szCs w:val="24"/>
          </w:rPr>
          <w:t>https://support.mapbox.com/</w:t>
        </w:r>
      </w:hyperlink>
      <w:r w:rsidR="00CF5D63">
        <w:rPr>
          <w:rFonts w:asciiTheme="minorHAnsi" w:hAnsiTheme="minorHAnsi" w:cstheme="minorHAnsi"/>
          <w:sz w:val="24"/>
          <w:szCs w:val="24"/>
        </w:rPr>
        <w:t xml:space="preserve">. </w:t>
      </w:r>
    </w:p>
    <w:p w14:paraId="337A50FF" w14:textId="77777777" w:rsidR="004D2FE9" w:rsidRPr="00705506" w:rsidRDefault="004D2FE9" w:rsidP="00A337D1">
      <w:pPr>
        <w:pStyle w:val="PlainText"/>
        <w:ind w:left="720"/>
        <w:rPr>
          <w:rFonts w:asciiTheme="minorHAnsi" w:hAnsiTheme="minorHAnsi" w:cstheme="minorHAnsi"/>
          <w:sz w:val="24"/>
          <w:szCs w:val="24"/>
        </w:rPr>
      </w:pPr>
    </w:p>
    <w:p w14:paraId="337A5100" w14:textId="4700AD42" w:rsidR="004D2FE9" w:rsidRPr="00705506" w:rsidRDefault="004D2FE9" w:rsidP="00FF2E42">
      <w:pPr>
        <w:pStyle w:val="PlainText"/>
        <w:numPr>
          <w:ilvl w:val="1"/>
          <w:numId w:val="2"/>
        </w:numPr>
        <w:ind w:left="720"/>
        <w:rPr>
          <w:rFonts w:asciiTheme="minorHAnsi" w:hAnsiTheme="minorHAnsi" w:cstheme="minorHAnsi"/>
          <w:sz w:val="24"/>
          <w:szCs w:val="24"/>
        </w:rPr>
      </w:pPr>
      <w:r w:rsidRPr="00705506">
        <w:rPr>
          <w:rFonts w:asciiTheme="minorHAnsi" w:hAnsiTheme="minorHAnsi" w:cstheme="minorHAnsi"/>
          <w:sz w:val="24"/>
          <w:szCs w:val="24"/>
        </w:rPr>
        <w:t>Vendor will provide access to technical, support and develop</w:t>
      </w:r>
      <w:r w:rsidR="00A43D2E">
        <w:rPr>
          <w:rFonts w:asciiTheme="minorHAnsi" w:hAnsiTheme="minorHAnsi" w:cstheme="minorHAnsi"/>
          <w:sz w:val="24"/>
          <w:szCs w:val="24"/>
        </w:rPr>
        <w:t xml:space="preserve">ment teams via phone, email and/or other instant message/social media platforms </w:t>
      </w:r>
      <w:r w:rsidRPr="00705506">
        <w:rPr>
          <w:rFonts w:asciiTheme="minorHAnsi" w:hAnsiTheme="minorHAnsi" w:cstheme="minorHAnsi"/>
          <w:sz w:val="24"/>
          <w:szCs w:val="24"/>
        </w:rPr>
        <w:t xml:space="preserve">for all questions / needs related to </w:t>
      </w:r>
      <w:r w:rsidR="00A43D2E">
        <w:rPr>
          <w:rFonts w:asciiTheme="minorHAnsi" w:hAnsiTheme="minorHAnsi" w:cstheme="minorHAnsi"/>
          <w:sz w:val="24"/>
          <w:szCs w:val="24"/>
        </w:rPr>
        <w:t>Mapbox l</w:t>
      </w:r>
      <w:r w:rsidRPr="00705506">
        <w:rPr>
          <w:rFonts w:asciiTheme="minorHAnsi" w:hAnsiTheme="minorHAnsi" w:cstheme="minorHAnsi"/>
          <w:sz w:val="24"/>
          <w:szCs w:val="24"/>
        </w:rPr>
        <w:t>icenses</w:t>
      </w:r>
      <w:r w:rsidR="00093CF2">
        <w:rPr>
          <w:rFonts w:asciiTheme="minorHAnsi" w:hAnsiTheme="minorHAnsi" w:cstheme="minorHAnsi"/>
          <w:sz w:val="24"/>
          <w:szCs w:val="24"/>
        </w:rPr>
        <w:t xml:space="preserve"> and token implementation</w:t>
      </w:r>
      <w:r w:rsidR="00CF5D63">
        <w:rPr>
          <w:rFonts w:asciiTheme="minorHAnsi" w:hAnsiTheme="minorHAnsi" w:cstheme="minorHAnsi"/>
          <w:sz w:val="24"/>
          <w:szCs w:val="24"/>
        </w:rPr>
        <w:t>.</w:t>
      </w:r>
    </w:p>
    <w:p w14:paraId="337A5101" w14:textId="77777777" w:rsidR="004D2FE9" w:rsidRPr="00705506" w:rsidRDefault="004D2FE9" w:rsidP="00A337D1">
      <w:pPr>
        <w:pStyle w:val="PlainText"/>
        <w:ind w:left="720"/>
        <w:rPr>
          <w:rFonts w:asciiTheme="minorHAnsi" w:hAnsiTheme="minorHAnsi" w:cstheme="minorHAnsi"/>
          <w:sz w:val="24"/>
          <w:szCs w:val="24"/>
        </w:rPr>
      </w:pPr>
    </w:p>
    <w:p w14:paraId="337A5102" w14:textId="77777777" w:rsidR="004D2FE9" w:rsidRPr="00705506" w:rsidRDefault="004D2FE9" w:rsidP="00FF2E42">
      <w:pPr>
        <w:pStyle w:val="PlainText"/>
        <w:numPr>
          <w:ilvl w:val="1"/>
          <w:numId w:val="2"/>
        </w:numPr>
        <w:ind w:left="720"/>
        <w:rPr>
          <w:rFonts w:asciiTheme="minorHAnsi" w:hAnsiTheme="minorHAnsi" w:cstheme="minorHAnsi"/>
          <w:sz w:val="24"/>
          <w:szCs w:val="24"/>
        </w:rPr>
      </w:pPr>
      <w:r w:rsidRPr="00705506">
        <w:rPr>
          <w:rFonts w:asciiTheme="minorHAnsi" w:hAnsiTheme="minorHAnsi" w:cstheme="minorHAnsi"/>
          <w:sz w:val="24"/>
          <w:szCs w:val="24"/>
        </w:rPr>
        <w:t>Vendor will provide access to all software</w:t>
      </w:r>
      <w:r w:rsidR="00F97AF0">
        <w:rPr>
          <w:rFonts w:asciiTheme="minorHAnsi" w:hAnsiTheme="minorHAnsi" w:cstheme="minorHAnsi"/>
          <w:sz w:val="24"/>
          <w:szCs w:val="24"/>
        </w:rPr>
        <w:t xml:space="preserve"> and tool</w:t>
      </w:r>
      <w:r w:rsidRPr="00705506">
        <w:rPr>
          <w:rFonts w:asciiTheme="minorHAnsi" w:hAnsiTheme="minorHAnsi" w:cstheme="minorHAnsi"/>
          <w:sz w:val="24"/>
          <w:szCs w:val="24"/>
        </w:rPr>
        <w:t xml:space="preserve"> upgrades.  </w:t>
      </w:r>
    </w:p>
    <w:p w14:paraId="337A5103" w14:textId="77777777" w:rsidR="004D2FE9" w:rsidRPr="00705506" w:rsidRDefault="004D2FE9" w:rsidP="00A337D1">
      <w:pPr>
        <w:pStyle w:val="PlainText"/>
        <w:ind w:left="720"/>
        <w:rPr>
          <w:rFonts w:asciiTheme="minorHAnsi" w:hAnsiTheme="minorHAnsi" w:cstheme="minorHAnsi"/>
          <w:sz w:val="24"/>
          <w:szCs w:val="24"/>
        </w:rPr>
      </w:pPr>
    </w:p>
    <w:p w14:paraId="337A5104" w14:textId="77777777" w:rsidR="004D2FE9" w:rsidRPr="00705506" w:rsidRDefault="00CF5D63" w:rsidP="00FF2E42">
      <w:pPr>
        <w:pStyle w:val="PlainText"/>
        <w:numPr>
          <w:ilvl w:val="1"/>
          <w:numId w:val="2"/>
        </w:numPr>
        <w:ind w:left="720"/>
        <w:rPr>
          <w:rFonts w:asciiTheme="minorHAnsi" w:hAnsiTheme="minorHAnsi" w:cstheme="minorHAnsi"/>
          <w:sz w:val="24"/>
          <w:szCs w:val="24"/>
        </w:rPr>
      </w:pPr>
      <w:r>
        <w:rPr>
          <w:rFonts w:asciiTheme="minorHAnsi" w:hAnsiTheme="minorHAnsi" w:cstheme="minorHAnsi"/>
          <w:sz w:val="24"/>
          <w:szCs w:val="24"/>
        </w:rPr>
        <w:t>Vendor will provide o</w:t>
      </w:r>
      <w:r w:rsidR="004D2FE9" w:rsidRPr="00705506">
        <w:rPr>
          <w:rFonts w:asciiTheme="minorHAnsi" w:hAnsiTheme="minorHAnsi" w:cstheme="minorHAnsi"/>
          <w:sz w:val="24"/>
          <w:szCs w:val="24"/>
        </w:rPr>
        <w:t>pportunities to evaluate, test, and provide feedback on new releases and product extensions</w:t>
      </w:r>
      <w:r>
        <w:rPr>
          <w:rFonts w:asciiTheme="minorHAnsi" w:hAnsiTheme="minorHAnsi" w:cstheme="minorHAnsi"/>
          <w:sz w:val="24"/>
          <w:szCs w:val="24"/>
        </w:rPr>
        <w:t>.</w:t>
      </w:r>
    </w:p>
    <w:p w14:paraId="337A5105" w14:textId="77777777" w:rsidR="004D2FE9" w:rsidRPr="00705506" w:rsidRDefault="004D2FE9" w:rsidP="00A337D1">
      <w:pPr>
        <w:pStyle w:val="PlainText"/>
        <w:ind w:left="720"/>
        <w:rPr>
          <w:rFonts w:asciiTheme="minorHAnsi" w:hAnsiTheme="minorHAnsi" w:cstheme="minorHAnsi"/>
          <w:sz w:val="24"/>
          <w:szCs w:val="24"/>
        </w:rPr>
      </w:pPr>
    </w:p>
    <w:p w14:paraId="337A5106" w14:textId="77777777" w:rsidR="006A214F" w:rsidRDefault="004D2FE9" w:rsidP="006A214F">
      <w:pPr>
        <w:pStyle w:val="PlainText"/>
        <w:numPr>
          <w:ilvl w:val="1"/>
          <w:numId w:val="2"/>
        </w:numPr>
        <w:ind w:left="720"/>
        <w:rPr>
          <w:rFonts w:asciiTheme="minorHAnsi" w:hAnsiTheme="minorHAnsi" w:cstheme="minorHAnsi"/>
          <w:sz w:val="24"/>
          <w:szCs w:val="24"/>
        </w:rPr>
      </w:pPr>
      <w:r w:rsidRPr="00705506">
        <w:rPr>
          <w:rFonts w:asciiTheme="minorHAnsi" w:hAnsiTheme="minorHAnsi" w:cstheme="minorHAnsi"/>
          <w:sz w:val="24"/>
          <w:szCs w:val="24"/>
        </w:rPr>
        <w:lastRenderedPageBreak/>
        <w:t>Vendor will provide access to technical and development team on key specific product requirements/enhancements with potential addition of features to core product</w:t>
      </w:r>
      <w:r w:rsidR="00CF5D63">
        <w:rPr>
          <w:rFonts w:asciiTheme="minorHAnsi" w:hAnsiTheme="minorHAnsi" w:cstheme="minorHAnsi"/>
          <w:sz w:val="24"/>
          <w:szCs w:val="24"/>
        </w:rPr>
        <w:t>.</w:t>
      </w:r>
    </w:p>
    <w:p w14:paraId="552315EB" w14:textId="77777777" w:rsidR="00DF1093" w:rsidRDefault="00DF1093" w:rsidP="00DF1093">
      <w:pPr>
        <w:pStyle w:val="ListParagraph"/>
        <w:rPr>
          <w:rFonts w:cstheme="minorHAnsi"/>
          <w:sz w:val="24"/>
          <w:szCs w:val="24"/>
        </w:rPr>
      </w:pPr>
    </w:p>
    <w:p w14:paraId="337A5108" w14:textId="77777777" w:rsidR="004D2FE9" w:rsidRDefault="00A337D1" w:rsidP="00705506">
      <w:pPr>
        <w:rPr>
          <w:sz w:val="24"/>
        </w:rPr>
      </w:pPr>
      <w:r>
        <w:rPr>
          <w:sz w:val="24"/>
        </w:rPr>
        <w:t>4</w:t>
      </w:r>
      <w:r w:rsidR="004D2FE9">
        <w:rPr>
          <w:sz w:val="24"/>
        </w:rPr>
        <w:t>.0. PERFORMANCE STANDARDS</w:t>
      </w:r>
    </w:p>
    <w:tbl>
      <w:tblPr>
        <w:tblW w:w="958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1800"/>
        <w:gridCol w:w="2831"/>
      </w:tblGrid>
      <w:tr w:rsidR="00A337D1" w:rsidRPr="00444310" w14:paraId="337A510C" w14:textId="77777777" w:rsidTr="00FF2E42">
        <w:trPr>
          <w:trHeight w:val="548"/>
          <w:tblHeader/>
        </w:trPr>
        <w:tc>
          <w:tcPr>
            <w:tcW w:w="4950" w:type="dxa"/>
            <w:shd w:val="clear" w:color="auto" w:fill="C4BC96"/>
          </w:tcPr>
          <w:p w14:paraId="337A5109" w14:textId="77777777" w:rsidR="00A337D1" w:rsidRPr="00A337D1" w:rsidRDefault="00A337D1" w:rsidP="005918D0">
            <w:pPr>
              <w:contextualSpacing/>
              <w:jc w:val="center"/>
              <w:rPr>
                <w:rFonts w:cstheme="minorHAnsi"/>
                <w:b/>
                <w:sz w:val="24"/>
              </w:rPr>
            </w:pPr>
            <w:r w:rsidRPr="00A337D1">
              <w:rPr>
                <w:rFonts w:cstheme="minorHAnsi"/>
                <w:b/>
                <w:sz w:val="24"/>
              </w:rPr>
              <w:t>Standard (Statements)</w:t>
            </w:r>
          </w:p>
        </w:tc>
        <w:tc>
          <w:tcPr>
            <w:tcW w:w="1800" w:type="dxa"/>
            <w:shd w:val="clear" w:color="auto" w:fill="C4BC96"/>
          </w:tcPr>
          <w:p w14:paraId="337A510A" w14:textId="77777777" w:rsidR="00A337D1" w:rsidRPr="00A337D1" w:rsidRDefault="00A337D1" w:rsidP="005918D0">
            <w:pPr>
              <w:jc w:val="center"/>
              <w:rPr>
                <w:rFonts w:cstheme="minorHAnsi"/>
                <w:b/>
                <w:sz w:val="24"/>
              </w:rPr>
            </w:pPr>
            <w:r w:rsidRPr="00A337D1">
              <w:rPr>
                <w:rFonts w:cstheme="minorHAnsi"/>
                <w:b/>
                <w:sz w:val="24"/>
              </w:rPr>
              <w:t>Acceptable Quality Level</w:t>
            </w:r>
          </w:p>
        </w:tc>
        <w:tc>
          <w:tcPr>
            <w:tcW w:w="2831" w:type="dxa"/>
            <w:shd w:val="clear" w:color="auto" w:fill="C4BC96"/>
          </w:tcPr>
          <w:p w14:paraId="337A510B" w14:textId="77777777" w:rsidR="00A337D1" w:rsidRPr="00A337D1" w:rsidRDefault="00A337D1" w:rsidP="005918D0">
            <w:pPr>
              <w:jc w:val="center"/>
              <w:rPr>
                <w:rFonts w:cstheme="minorHAnsi"/>
                <w:b/>
                <w:sz w:val="24"/>
              </w:rPr>
            </w:pPr>
            <w:r w:rsidRPr="00A337D1">
              <w:rPr>
                <w:rFonts w:cstheme="minorHAnsi"/>
                <w:b/>
                <w:sz w:val="24"/>
              </w:rPr>
              <w:t>Incentive or Remedy</w:t>
            </w:r>
          </w:p>
        </w:tc>
      </w:tr>
      <w:tr w:rsidR="00A337D1" w:rsidRPr="00444310" w14:paraId="337A5110" w14:textId="77777777" w:rsidTr="00A337D1">
        <w:tc>
          <w:tcPr>
            <w:tcW w:w="4950" w:type="dxa"/>
          </w:tcPr>
          <w:p w14:paraId="337A510D" w14:textId="77777777" w:rsidR="00A337D1" w:rsidRPr="00A337D1" w:rsidRDefault="00A337D1" w:rsidP="005918D0">
            <w:pPr>
              <w:contextualSpacing/>
              <w:rPr>
                <w:rFonts w:cstheme="minorHAnsi"/>
                <w:sz w:val="24"/>
              </w:rPr>
            </w:pPr>
            <w:r w:rsidRPr="00A337D1">
              <w:rPr>
                <w:rFonts w:cstheme="minorHAnsi"/>
                <w:sz w:val="24"/>
              </w:rPr>
              <w:t>Complete/Relevant (All statements)</w:t>
            </w:r>
          </w:p>
        </w:tc>
        <w:tc>
          <w:tcPr>
            <w:tcW w:w="1800" w:type="dxa"/>
          </w:tcPr>
          <w:p w14:paraId="337A510E" w14:textId="77777777" w:rsidR="00A337D1" w:rsidRPr="00A337D1" w:rsidRDefault="00F97AF0" w:rsidP="005918D0">
            <w:pPr>
              <w:rPr>
                <w:rFonts w:cstheme="minorHAnsi"/>
                <w:sz w:val="24"/>
              </w:rPr>
            </w:pPr>
            <w:r>
              <w:rPr>
                <w:rFonts w:cstheme="minorHAnsi"/>
                <w:sz w:val="24"/>
              </w:rPr>
              <w:t>99.9</w:t>
            </w:r>
            <w:r w:rsidR="00A337D1" w:rsidRPr="00A337D1">
              <w:rPr>
                <w:rFonts w:cstheme="minorHAnsi"/>
                <w:sz w:val="24"/>
              </w:rPr>
              <w:t>% of the time</w:t>
            </w:r>
          </w:p>
        </w:tc>
        <w:tc>
          <w:tcPr>
            <w:tcW w:w="2831" w:type="dxa"/>
          </w:tcPr>
          <w:p w14:paraId="337A510F" w14:textId="77777777" w:rsidR="00A337D1" w:rsidRPr="00A337D1" w:rsidRDefault="00A337D1" w:rsidP="005918D0">
            <w:pPr>
              <w:spacing w:line="240" w:lineRule="auto"/>
              <w:contextualSpacing/>
              <w:rPr>
                <w:rFonts w:cstheme="minorHAnsi"/>
                <w:sz w:val="24"/>
              </w:rPr>
            </w:pPr>
            <w:r w:rsidRPr="00A337D1">
              <w:rPr>
                <w:rFonts w:cstheme="minorHAnsi"/>
                <w:color w:val="000000"/>
                <w:sz w:val="24"/>
              </w:rPr>
              <w:t>Re-perform/correct at no cost to the Government.</w:t>
            </w:r>
          </w:p>
        </w:tc>
      </w:tr>
      <w:tr w:rsidR="00A337D1" w:rsidRPr="00444310" w14:paraId="337A5115" w14:textId="77777777" w:rsidTr="00A337D1">
        <w:tc>
          <w:tcPr>
            <w:tcW w:w="4950" w:type="dxa"/>
          </w:tcPr>
          <w:p w14:paraId="337A5111" w14:textId="77777777" w:rsidR="00A337D1" w:rsidRPr="00A337D1" w:rsidRDefault="00A337D1" w:rsidP="005918D0">
            <w:pPr>
              <w:spacing w:line="240" w:lineRule="auto"/>
              <w:contextualSpacing/>
              <w:rPr>
                <w:rFonts w:cstheme="minorHAnsi"/>
                <w:sz w:val="24"/>
              </w:rPr>
            </w:pPr>
            <w:r w:rsidRPr="00A337D1">
              <w:rPr>
                <w:rFonts w:cstheme="minorHAnsi"/>
                <w:sz w:val="24"/>
              </w:rPr>
              <w:t>Compliant with applicable standards</w:t>
            </w:r>
          </w:p>
          <w:p w14:paraId="337A5112" w14:textId="77777777" w:rsidR="00A337D1" w:rsidRPr="00A337D1" w:rsidRDefault="00A337D1" w:rsidP="005918D0">
            <w:pPr>
              <w:spacing w:line="240" w:lineRule="auto"/>
              <w:contextualSpacing/>
              <w:rPr>
                <w:rFonts w:cstheme="minorHAnsi"/>
                <w:sz w:val="24"/>
              </w:rPr>
            </w:pPr>
            <w:r w:rsidRPr="00A337D1">
              <w:rPr>
                <w:rFonts w:cstheme="minorHAnsi"/>
                <w:sz w:val="24"/>
              </w:rPr>
              <w:t>(All Statements)</w:t>
            </w:r>
          </w:p>
        </w:tc>
        <w:tc>
          <w:tcPr>
            <w:tcW w:w="1800" w:type="dxa"/>
          </w:tcPr>
          <w:p w14:paraId="337A5113" w14:textId="77777777" w:rsidR="00A337D1" w:rsidRPr="00A337D1" w:rsidRDefault="00F97AF0" w:rsidP="005918D0">
            <w:pPr>
              <w:rPr>
                <w:rFonts w:cstheme="minorHAnsi"/>
                <w:sz w:val="24"/>
              </w:rPr>
            </w:pPr>
            <w:r>
              <w:rPr>
                <w:rFonts w:cstheme="minorHAnsi"/>
                <w:sz w:val="24"/>
              </w:rPr>
              <w:t>99.9</w:t>
            </w:r>
            <w:r w:rsidR="00A337D1" w:rsidRPr="00A337D1">
              <w:rPr>
                <w:rFonts w:cstheme="minorHAnsi"/>
                <w:sz w:val="24"/>
              </w:rPr>
              <w:t xml:space="preserve"> % of the time</w:t>
            </w:r>
          </w:p>
        </w:tc>
        <w:tc>
          <w:tcPr>
            <w:tcW w:w="2831" w:type="dxa"/>
          </w:tcPr>
          <w:p w14:paraId="337A5114" w14:textId="77777777" w:rsidR="00A337D1" w:rsidRPr="00A337D1" w:rsidRDefault="00A337D1" w:rsidP="005918D0">
            <w:pPr>
              <w:spacing w:line="240" w:lineRule="auto"/>
              <w:contextualSpacing/>
              <w:rPr>
                <w:rFonts w:cstheme="minorHAnsi"/>
                <w:sz w:val="24"/>
              </w:rPr>
            </w:pPr>
            <w:r w:rsidRPr="00A337D1">
              <w:rPr>
                <w:rFonts w:cstheme="minorHAnsi"/>
                <w:color w:val="000000"/>
                <w:sz w:val="24"/>
              </w:rPr>
              <w:t>Re-perform/correct at no cost to the Government.</w:t>
            </w:r>
          </w:p>
        </w:tc>
      </w:tr>
      <w:tr w:rsidR="00A337D1" w:rsidRPr="00444310" w14:paraId="337A511A" w14:textId="77777777" w:rsidTr="00A337D1">
        <w:tc>
          <w:tcPr>
            <w:tcW w:w="4950" w:type="dxa"/>
          </w:tcPr>
          <w:p w14:paraId="337A5116" w14:textId="77777777" w:rsidR="00A337D1" w:rsidRPr="00A337D1" w:rsidRDefault="00A337D1" w:rsidP="005918D0">
            <w:pPr>
              <w:spacing w:line="240" w:lineRule="auto"/>
              <w:contextualSpacing/>
              <w:rPr>
                <w:rFonts w:cstheme="minorHAnsi"/>
                <w:sz w:val="24"/>
              </w:rPr>
            </w:pPr>
            <w:r w:rsidRPr="00A337D1">
              <w:rPr>
                <w:rFonts w:cstheme="minorHAnsi"/>
                <w:sz w:val="24"/>
              </w:rPr>
              <w:t xml:space="preserve">Deliverables completed in accordance with </w:t>
            </w:r>
          </w:p>
          <w:p w14:paraId="337A5117" w14:textId="77777777" w:rsidR="00A337D1" w:rsidRPr="00A337D1" w:rsidRDefault="00A337D1" w:rsidP="005918D0">
            <w:pPr>
              <w:contextualSpacing/>
              <w:rPr>
                <w:rFonts w:cstheme="minorHAnsi"/>
                <w:sz w:val="24"/>
              </w:rPr>
            </w:pPr>
            <w:r w:rsidRPr="00A337D1">
              <w:rPr>
                <w:rFonts w:cstheme="minorHAnsi"/>
                <w:sz w:val="24"/>
              </w:rPr>
              <w:t>Schedule (All statements)</w:t>
            </w:r>
          </w:p>
        </w:tc>
        <w:tc>
          <w:tcPr>
            <w:tcW w:w="1800" w:type="dxa"/>
          </w:tcPr>
          <w:p w14:paraId="337A5118" w14:textId="77777777" w:rsidR="00A337D1" w:rsidRPr="00A337D1" w:rsidRDefault="00A337D1" w:rsidP="005918D0">
            <w:pPr>
              <w:rPr>
                <w:rFonts w:cstheme="minorHAnsi"/>
                <w:sz w:val="24"/>
              </w:rPr>
            </w:pPr>
            <w:r w:rsidRPr="00A337D1">
              <w:rPr>
                <w:rFonts w:cstheme="minorHAnsi"/>
                <w:sz w:val="24"/>
              </w:rPr>
              <w:t>95% of the time</w:t>
            </w:r>
          </w:p>
        </w:tc>
        <w:tc>
          <w:tcPr>
            <w:tcW w:w="2831" w:type="dxa"/>
          </w:tcPr>
          <w:p w14:paraId="337A5119" w14:textId="77777777" w:rsidR="00A337D1" w:rsidRPr="00A337D1" w:rsidRDefault="00A337D1" w:rsidP="005918D0">
            <w:pPr>
              <w:rPr>
                <w:rFonts w:cstheme="minorHAnsi"/>
                <w:sz w:val="24"/>
              </w:rPr>
            </w:pPr>
          </w:p>
        </w:tc>
      </w:tr>
      <w:tr w:rsidR="00A337D1" w:rsidRPr="00444310" w14:paraId="337A511F" w14:textId="77777777" w:rsidTr="00A337D1">
        <w:tc>
          <w:tcPr>
            <w:tcW w:w="4950" w:type="dxa"/>
          </w:tcPr>
          <w:p w14:paraId="337A511B" w14:textId="77777777" w:rsidR="00A337D1" w:rsidRPr="00A337D1" w:rsidRDefault="00A337D1" w:rsidP="005918D0">
            <w:pPr>
              <w:spacing w:line="240" w:lineRule="auto"/>
              <w:contextualSpacing/>
              <w:rPr>
                <w:rFonts w:cstheme="minorHAnsi"/>
                <w:sz w:val="24"/>
              </w:rPr>
            </w:pPr>
            <w:r w:rsidRPr="00A337D1">
              <w:rPr>
                <w:rFonts w:cstheme="minorHAnsi"/>
                <w:sz w:val="24"/>
              </w:rPr>
              <w:t>Early identification of problems and/or corrective actions.  Report to gov’t within 2 days of discovery.</w:t>
            </w:r>
          </w:p>
          <w:p w14:paraId="337A511C" w14:textId="77777777" w:rsidR="00A337D1" w:rsidRPr="00A337D1" w:rsidRDefault="00A337D1" w:rsidP="005918D0">
            <w:pPr>
              <w:spacing w:line="240" w:lineRule="auto"/>
              <w:contextualSpacing/>
              <w:rPr>
                <w:rFonts w:cstheme="minorHAnsi"/>
                <w:sz w:val="24"/>
              </w:rPr>
            </w:pPr>
            <w:r w:rsidRPr="00A337D1">
              <w:rPr>
                <w:rFonts w:cstheme="minorHAnsi"/>
                <w:sz w:val="24"/>
              </w:rPr>
              <w:t>(All statements)</w:t>
            </w:r>
          </w:p>
        </w:tc>
        <w:tc>
          <w:tcPr>
            <w:tcW w:w="1800" w:type="dxa"/>
          </w:tcPr>
          <w:p w14:paraId="337A511D" w14:textId="77777777" w:rsidR="00A337D1" w:rsidRPr="00A337D1" w:rsidRDefault="00A337D1" w:rsidP="005918D0">
            <w:pPr>
              <w:rPr>
                <w:rFonts w:cstheme="minorHAnsi"/>
                <w:sz w:val="24"/>
              </w:rPr>
            </w:pPr>
            <w:r w:rsidRPr="00A337D1">
              <w:rPr>
                <w:rFonts w:cstheme="minorHAnsi"/>
                <w:sz w:val="24"/>
              </w:rPr>
              <w:t>90% of the time</w:t>
            </w:r>
          </w:p>
        </w:tc>
        <w:tc>
          <w:tcPr>
            <w:tcW w:w="2831" w:type="dxa"/>
          </w:tcPr>
          <w:p w14:paraId="337A511E" w14:textId="77777777" w:rsidR="00A337D1" w:rsidRPr="00A337D1" w:rsidRDefault="00A337D1" w:rsidP="005918D0">
            <w:pPr>
              <w:rPr>
                <w:rFonts w:cstheme="minorHAnsi"/>
                <w:sz w:val="24"/>
              </w:rPr>
            </w:pPr>
          </w:p>
        </w:tc>
      </w:tr>
      <w:tr w:rsidR="00A337D1" w:rsidRPr="00444310" w14:paraId="337A5124" w14:textId="77777777" w:rsidTr="00A337D1">
        <w:tc>
          <w:tcPr>
            <w:tcW w:w="4950" w:type="dxa"/>
          </w:tcPr>
          <w:p w14:paraId="337A5120" w14:textId="77777777" w:rsidR="00A337D1" w:rsidRPr="00A337D1" w:rsidRDefault="00A337D1" w:rsidP="005918D0">
            <w:pPr>
              <w:spacing w:line="240" w:lineRule="auto"/>
              <w:contextualSpacing/>
              <w:rPr>
                <w:rFonts w:cstheme="minorHAnsi"/>
                <w:sz w:val="24"/>
              </w:rPr>
            </w:pPr>
            <w:r w:rsidRPr="00A337D1">
              <w:rPr>
                <w:rFonts w:cstheme="minorHAnsi"/>
                <w:sz w:val="24"/>
              </w:rPr>
              <w:t>Operational/Effective</w:t>
            </w:r>
          </w:p>
          <w:p w14:paraId="337A5121" w14:textId="77777777" w:rsidR="00A337D1" w:rsidRPr="00A337D1" w:rsidRDefault="00A337D1" w:rsidP="005918D0">
            <w:pPr>
              <w:spacing w:line="240" w:lineRule="auto"/>
              <w:contextualSpacing/>
              <w:rPr>
                <w:rFonts w:cstheme="minorHAnsi"/>
                <w:sz w:val="24"/>
              </w:rPr>
            </w:pPr>
            <w:r w:rsidRPr="00A337D1">
              <w:rPr>
                <w:rFonts w:cstheme="minorHAnsi"/>
                <w:sz w:val="24"/>
              </w:rPr>
              <w:t xml:space="preserve">(All statements) </w:t>
            </w:r>
          </w:p>
        </w:tc>
        <w:tc>
          <w:tcPr>
            <w:tcW w:w="1800" w:type="dxa"/>
          </w:tcPr>
          <w:p w14:paraId="337A5122" w14:textId="77777777" w:rsidR="00A337D1" w:rsidRPr="00A337D1" w:rsidRDefault="00F97AF0" w:rsidP="005918D0">
            <w:pPr>
              <w:rPr>
                <w:rFonts w:cstheme="minorHAnsi"/>
                <w:sz w:val="24"/>
              </w:rPr>
            </w:pPr>
            <w:r>
              <w:rPr>
                <w:rFonts w:cstheme="minorHAnsi"/>
                <w:sz w:val="24"/>
              </w:rPr>
              <w:t>99.9</w:t>
            </w:r>
            <w:r w:rsidR="00A337D1" w:rsidRPr="00A337D1">
              <w:rPr>
                <w:rFonts w:cstheme="minorHAnsi"/>
                <w:sz w:val="24"/>
              </w:rPr>
              <w:t>% of the time</w:t>
            </w:r>
          </w:p>
        </w:tc>
        <w:tc>
          <w:tcPr>
            <w:tcW w:w="2831" w:type="dxa"/>
          </w:tcPr>
          <w:p w14:paraId="337A5123" w14:textId="77777777" w:rsidR="00A337D1" w:rsidRPr="00A337D1" w:rsidRDefault="00A337D1" w:rsidP="005918D0">
            <w:pPr>
              <w:spacing w:line="240" w:lineRule="auto"/>
              <w:contextualSpacing/>
              <w:rPr>
                <w:rFonts w:cstheme="minorHAnsi"/>
                <w:sz w:val="24"/>
              </w:rPr>
            </w:pPr>
            <w:r w:rsidRPr="00A337D1">
              <w:rPr>
                <w:rFonts w:cstheme="minorHAnsi"/>
                <w:sz w:val="24"/>
              </w:rPr>
              <w:t>Re-perform/correct at no cost to the Government.</w:t>
            </w:r>
          </w:p>
        </w:tc>
      </w:tr>
    </w:tbl>
    <w:p w14:paraId="337A5125" w14:textId="77777777" w:rsidR="00A337D1" w:rsidRDefault="00A337D1" w:rsidP="00A337D1">
      <w:pPr>
        <w:spacing w:after="0"/>
        <w:rPr>
          <w:sz w:val="24"/>
        </w:rPr>
      </w:pPr>
    </w:p>
    <w:p w14:paraId="337A5126" w14:textId="77777777" w:rsidR="004D2FE9" w:rsidRDefault="00A337D1" w:rsidP="00705506">
      <w:pPr>
        <w:rPr>
          <w:sz w:val="24"/>
        </w:rPr>
      </w:pPr>
      <w:r>
        <w:rPr>
          <w:sz w:val="24"/>
        </w:rPr>
        <w:t>5</w:t>
      </w:r>
      <w:r w:rsidR="004D2FE9">
        <w:rPr>
          <w:sz w:val="24"/>
        </w:rPr>
        <w:t>.0 PLACE OF PERFORMANCE</w:t>
      </w:r>
    </w:p>
    <w:p w14:paraId="337A5127" w14:textId="77777777" w:rsidR="00A337D1" w:rsidRDefault="00A337D1" w:rsidP="00705506">
      <w:pPr>
        <w:rPr>
          <w:sz w:val="24"/>
        </w:rPr>
      </w:pPr>
      <w:r>
        <w:rPr>
          <w:sz w:val="24"/>
          <w:szCs w:val="24"/>
        </w:rPr>
        <w:t>The work will be completed at the contractor’s site.</w:t>
      </w:r>
    </w:p>
    <w:p w14:paraId="337A5128" w14:textId="77777777" w:rsidR="004D2FE9" w:rsidRDefault="00A337D1" w:rsidP="00705506">
      <w:pPr>
        <w:rPr>
          <w:sz w:val="24"/>
        </w:rPr>
      </w:pPr>
      <w:r>
        <w:rPr>
          <w:sz w:val="24"/>
        </w:rPr>
        <w:t>6</w:t>
      </w:r>
      <w:r w:rsidR="004D2FE9">
        <w:rPr>
          <w:sz w:val="24"/>
        </w:rPr>
        <w:t>.0 PERIOD OF PERFORMANCE</w:t>
      </w:r>
    </w:p>
    <w:p w14:paraId="337A5129" w14:textId="77777777" w:rsidR="00A337D1" w:rsidRDefault="00A337D1" w:rsidP="00705506">
      <w:pPr>
        <w:rPr>
          <w:sz w:val="24"/>
        </w:rPr>
      </w:pPr>
      <w:r>
        <w:rPr>
          <w:sz w:val="24"/>
          <w:szCs w:val="24"/>
        </w:rPr>
        <w:t xml:space="preserve">The period of performance for this work is </w:t>
      </w:r>
      <w:r w:rsidR="00F97AF0">
        <w:rPr>
          <w:sz w:val="24"/>
          <w:szCs w:val="24"/>
        </w:rPr>
        <w:t>12 months</w:t>
      </w:r>
      <w:r>
        <w:rPr>
          <w:sz w:val="24"/>
          <w:szCs w:val="24"/>
        </w:rPr>
        <w:t xml:space="preserve"> from notice to proceed.</w:t>
      </w:r>
    </w:p>
    <w:p w14:paraId="337A514A" w14:textId="33D6E1F6" w:rsidR="004D2FE9" w:rsidRDefault="00F57769" w:rsidP="00705506">
      <w:pPr>
        <w:rPr>
          <w:sz w:val="24"/>
        </w:rPr>
      </w:pPr>
      <w:r>
        <w:rPr>
          <w:sz w:val="24"/>
        </w:rPr>
        <w:t>7</w:t>
      </w:r>
      <w:r w:rsidR="004D2FE9">
        <w:rPr>
          <w:sz w:val="24"/>
        </w:rPr>
        <w:t>.0 APPLICABLE DOCUMENTS</w:t>
      </w:r>
    </w:p>
    <w:p w14:paraId="337A514B" w14:textId="77777777" w:rsidR="004D2FE9" w:rsidRPr="004D2FE9" w:rsidRDefault="004D2FE9" w:rsidP="004D2FE9">
      <w:pPr>
        <w:rPr>
          <w:sz w:val="24"/>
        </w:rPr>
      </w:pPr>
      <w:r w:rsidRPr="004D2FE9">
        <w:rPr>
          <w:sz w:val="24"/>
        </w:rPr>
        <w:t xml:space="preserve">The following publications form a part of this contract.  The publications below with which the Contractor shall comply are mandatory.  The Contractor shall use current commercial practices and publications whenever possible.  A significant number of Army regulations that govern the conduct of the required work are listed below.  The PWS may set a higher standard of performance than an applicable Army regulation.  The PWS will have precedence over the regulations unless a particular PWS provision is in direct conflict with the applicable provision of the Army regulation.  Unless otherwise noted, the publications can be accessed at www.apd.army.mil.  Upon request, the Government will provide those publications not </w:t>
      </w:r>
      <w:r w:rsidRPr="004D2FE9">
        <w:rPr>
          <w:sz w:val="24"/>
        </w:rPr>
        <w:lastRenderedPageBreak/>
        <w:t xml:space="preserve">available on a web site.  The Contractor shall comply with changes to publications.  The Contractor shall inform the KO of any changes to a publication or documents that impact the cost of the contract.  </w:t>
      </w:r>
    </w:p>
    <w:p w14:paraId="337A514C" w14:textId="77777777" w:rsidR="004D2FE9" w:rsidRPr="004D2FE9" w:rsidRDefault="004D2FE9" w:rsidP="004D2FE9">
      <w:pPr>
        <w:rPr>
          <w:sz w:val="24"/>
        </w:rPr>
      </w:pPr>
      <w:r w:rsidRPr="004D2FE9">
        <w:rPr>
          <w:sz w:val="24"/>
        </w:rPr>
        <w:t>AR 25-1</w:t>
      </w:r>
      <w:r w:rsidRPr="004D2FE9">
        <w:rPr>
          <w:sz w:val="24"/>
        </w:rPr>
        <w:tab/>
      </w:r>
      <w:r>
        <w:rPr>
          <w:sz w:val="24"/>
        </w:rPr>
        <w:tab/>
      </w:r>
      <w:r w:rsidRPr="004D2FE9">
        <w:rPr>
          <w:sz w:val="24"/>
        </w:rPr>
        <w:t xml:space="preserve">Army Information Technology </w:t>
      </w:r>
    </w:p>
    <w:p w14:paraId="337A514D" w14:textId="77777777" w:rsidR="004D2FE9" w:rsidRPr="004D2FE9" w:rsidRDefault="004D2FE9" w:rsidP="004D2FE9">
      <w:pPr>
        <w:rPr>
          <w:sz w:val="24"/>
        </w:rPr>
      </w:pPr>
      <w:r w:rsidRPr="004D2FE9">
        <w:rPr>
          <w:sz w:val="24"/>
        </w:rPr>
        <w:t>AR 25-2</w:t>
      </w:r>
      <w:r w:rsidRPr="004D2FE9">
        <w:rPr>
          <w:sz w:val="24"/>
        </w:rPr>
        <w:tab/>
      </w:r>
      <w:r>
        <w:rPr>
          <w:sz w:val="24"/>
        </w:rPr>
        <w:tab/>
      </w:r>
      <w:r w:rsidRPr="004D2FE9">
        <w:rPr>
          <w:sz w:val="24"/>
        </w:rPr>
        <w:t>Information Assurance</w:t>
      </w:r>
    </w:p>
    <w:p w14:paraId="337A514E" w14:textId="77777777" w:rsidR="004D2FE9" w:rsidRPr="004D2FE9" w:rsidRDefault="004D2FE9" w:rsidP="004D2FE9">
      <w:pPr>
        <w:rPr>
          <w:sz w:val="24"/>
        </w:rPr>
      </w:pPr>
      <w:r w:rsidRPr="004D2FE9">
        <w:rPr>
          <w:sz w:val="24"/>
        </w:rPr>
        <w:t>AR 380-5</w:t>
      </w:r>
      <w:r w:rsidRPr="004D2FE9">
        <w:rPr>
          <w:sz w:val="24"/>
        </w:rPr>
        <w:tab/>
      </w:r>
      <w:r>
        <w:rPr>
          <w:sz w:val="24"/>
        </w:rPr>
        <w:tab/>
      </w:r>
      <w:r w:rsidRPr="004D2FE9">
        <w:rPr>
          <w:sz w:val="24"/>
        </w:rPr>
        <w:t>Department of the Army Information Security Program</w:t>
      </w:r>
    </w:p>
    <w:p w14:paraId="337A514F" w14:textId="77777777" w:rsidR="004D2FE9" w:rsidRPr="004D2FE9" w:rsidRDefault="004D2FE9" w:rsidP="004D2FE9">
      <w:pPr>
        <w:rPr>
          <w:sz w:val="24"/>
        </w:rPr>
      </w:pPr>
      <w:r w:rsidRPr="004D2FE9">
        <w:rPr>
          <w:sz w:val="24"/>
        </w:rPr>
        <w:t>AR 525-13</w:t>
      </w:r>
      <w:r w:rsidRPr="004D2FE9">
        <w:rPr>
          <w:sz w:val="24"/>
        </w:rPr>
        <w:tab/>
      </w:r>
      <w:r>
        <w:rPr>
          <w:sz w:val="24"/>
        </w:rPr>
        <w:tab/>
      </w:r>
      <w:r w:rsidRPr="004D2FE9">
        <w:rPr>
          <w:sz w:val="24"/>
        </w:rPr>
        <w:t xml:space="preserve">Antiterrorism (FOUO requires AKO access) </w:t>
      </w:r>
    </w:p>
    <w:p w14:paraId="337A5150" w14:textId="77777777" w:rsidR="004D2FE9" w:rsidRPr="004D2FE9" w:rsidRDefault="004D2FE9" w:rsidP="004D2FE9">
      <w:pPr>
        <w:rPr>
          <w:sz w:val="24"/>
        </w:rPr>
      </w:pPr>
      <w:r w:rsidRPr="004D2FE9">
        <w:rPr>
          <w:sz w:val="24"/>
        </w:rPr>
        <w:t>AR 530-1</w:t>
      </w:r>
      <w:r w:rsidRPr="004D2FE9">
        <w:rPr>
          <w:sz w:val="24"/>
        </w:rPr>
        <w:tab/>
      </w:r>
      <w:r>
        <w:rPr>
          <w:sz w:val="24"/>
        </w:rPr>
        <w:tab/>
      </w:r>
      <w:r w:rsidRPr="004D2FE9">
        <w:rPr>
          <w:sz w:val="24"/>
        </w:rPr>
        <w:t>Operations Security (OPSEC) (FOUO requires AKO access)</w:t>
      </w:r>
    </w:p>
    <w:p w14:paraId="337A5151" w14:textId="77777777" w:rsidR="004D2FE9" w:rsidRPr="004D2FE9" w:rsidRDefault="004D2FE9" w:rsidP="004D2FE9">
      <w:pPr>
        <w:rPr>
          <w:sz w:val="24"/>
        </w:rPr>
      </w:pPr>
      <w:r w:rsidRPr="004D2FE9">
        <w:rPr>
          <w:sz w:val="24"/>
        </w:rPr>
        <w:t>DoDM 5200.01-V4</w:t>
      </w:r>
      <w:r w:rsidRPr="004D2FE9">
        <w:rPr>
          <w:sz w:val="24"/>
        </w:rPr>
        <w:tab/>
        <w:t>DoD Information Security Program: Controlled Unclassified In</w:t>
      </w:r>
      <w:r>
        <w:rPr>
          <w:sz w:val="24"/>
        </w:rPr>
        <w:t>formation</w:t>
      </w:r>
    </w:p>
    <w:p w14:paraId="337A5152" w14:textId="77777777" w:rsidR="004D2FE9" w:rsidRPr="004D2FE9" w:rsidRDefault="004D2FE9" w:rsidP="004D2FE9">
      <w:pPr>
        <w:rPr>
          <w:sz w:val="24"/>
        </w:rPr>
      </w:pPr>
      <w:r w:rsidRPr="004D2FE9">
        <w:rPr>
          <w:sz w:val="24"/>
        </w:rPr>
        <w:t>DoDD 5205.02E</w:t>
      </w:r>
      <w:r w:rsidRPr="004D2FE9">
        <w:rPr>
          <w:sz w:val="24"/>
        </w:rPr>
        <w:tab/>
        <w:t>DoD Operations Security (OPSEC) Program</w:t>
      </w:r>
    </w:p>
    <w:p w14:paraId="337A5153" w14:textId="77777777" w:rsidR="004D2FE9" w:rsidRPr="004D2FE9" w:rsidRDefault="004D2FE9" w:rsidP="004D2FE9">
      <w:pPr>
        <w:rPr>
          <w:sz w:val="24"/>
        </w:rPr>
      </w:pPr>
      <w:r w:rsidRPr="004D2FE9">
        <w:rPr>
          <w:sz w:val="24"/>
        </w:rPr>
        <w:t xml:space="preserve">DoDD 5400.11 </w:t>
      </w:r>
      <w:r w:rsidRPr="004D2FE9">
        <w:rPr>
          <w:sz w:val="24"/>
        </w:rPr>
        <w:tab/>
        <w:t>DoD Privacy Program</w:t>
      </w:r>
    </w:p>
    <w:p w14:paraId="337A5154" w14:textId="77777777" w:rsidR="004D2FE9" w:rsidRPr="004D2FE9" w:rsidRDefault="004D2FE9" w:rsidP="004D2FE9">
      <w:pPr>
        <w:rPr>
          <w:sz w:val="24"/>
        </w:rPr>
      </w:pPr>
      <w:r w:rsidRPr="004D2FE9">
        <w:rPr>
          <w:sz w:val="24"/>
        </w:rPr>
        <w:t>DoD 8570.01-M</w:t>
      </w:r>
      <w:r w:rsidRPr="004D2FE9">
        <w:rPr>
          <w:sz w:val="24"/>
        </w:rPr>
        <w:tab/>
        <w:t>Information Assurance Workforce Improvement Program</w:t>
      </w:r>
    </w:p>
    <w:p w14:paraId="337A5155" w14:textId="77777777" w:rsidR="004D2FE9" w:rsidRPr="004D2FE9" w:rsidRDefault="004D2FE9" w:rsidP="004D2FE9">
      <w:pPr>
        <w:rPr>
          <w:sz w:val="24"/>
        </w:rPr>
      </w:pPr>
      <w:r w:rsidRPr="004D2FE9">
        <w:rPr>
          <w:sz w:val="24"/>
        </w:rPr>
        <w:t>DoDI 8500.01</w:t>
      </w:r>
      <w:r w:rsidRPr="004D2FE9">
        <w:rPr>
          <w:sz w:val="24"/>
        </w:rPr>
        <w:tab/>
      </w:r>
      <w:r>
        <w:rPr>
          <w:sz w:val="24"/>
        </w:rPr>
        <w:tab/>
      </w:r>
      <w:r w:rsidRPr="004D2FE9">
        <w:rPr>
          <w:sz w:val="24"/>
        </w:rPr>
        <w:t>Cybersecurity</w:t>
      </w:r>
    </w:p>
    <w:p w14:paraId="337A5156" w14:textId="77777777" w:rsidR="00705506" w:rsidRPr="004D2FE9" w:rsidRDefault="004D2FE9" w:rsidP="00705506">
      <w:pPr>
        <w:rPr>
          <w:sz w:val="24"/>
        </w:rPr>
      </w:pPr>
      <w:r w:rsidRPr="004D2FE9">
        <w:rPr>
          <w:sz w:val="24"/>
        </w:rPr>
        <w:t>DoDI  8510.01</w:t>
      </w:r>
      <w:r w:rsidRPr="004D2FE9">
        <w:rPr>
          <w:sz w:val="24"/>
        </w:rPr>
        <w:tab/>
      </w:r>
      <w:r>
        <w:rPr>
          <w:sz w:val="24"/>
        </w:rPr>
        <w:tab/>
      </w:r>
      <w:r w:rsidRPr="004D2FE9">
        <w:rPr>
          <w:sz w:val="24"/>
        </w:rPr>
        <w:t>Risk Management Framework (RMF) for DoD Information Technology (IT)</w:t>
      </w:r>
    </w:p>
    <w:sectPr w:rsidR="00705506" w:rsidRPr="004D2FE9" w:rsidSect="003D2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67E34" w14:textId="77777777" w:rsidR="00DB4B25" w:rsidRDefault="00DB4B25" w:rsidP="00E54B6D">
      <w:pPr>
        <w:spacing w:after="0" w:line="240" w:lineRule="auto"/>
      </w:pPr>
      <w:r>
        <w:separator/>
      </w:r>
    </w:p>
  </w:endnote>
  <w:endnote w:type="continuationSeparator" w:id="0">
    <w:p w14:paraId="33C88627" w14:textId="77777777" w:rsidR="00DB4B25" w:rsidRDefault="00DB4B25" w:rsidP="00E5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7AA6" w14:textId="77777777" w:rsidR="00DB4B25" w:rsidRDefault="00DB4B25" w:rsidP="00E54B6D">
      <w:pPr>
        <w:spacing w:after="0" w:line="240" w:lineRule="auto"/>
      </w:pPr>
      <w:r>
        <w:separator/>
      </w:r>
    </w:p>
  </w:footnote>
  <w:footnote w:type="continuationSeparator" w:id="0">
    <w:p w14:paraId="15EA8D7E" w14:textId="77777777" w:rsidR="00DB4B25" w:rsidRDefault="00DB4B25" w:rsidP="00E54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E1A"/>
    <w:multiLevelType w:val="multilevel"/>
    <w:tmpl w:val="916429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AB4A35"/>
    <w:multiLevelType w:val="hybridMultilevel"/>
    <w:tmpl w:val="21B4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B74E4"/>
    <w:multiLevelType w:val="hybridMultilevel"/>
    <w:tmpl w:val="538EF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D4588"/>
    <w:multiLevelType w:val="hybridMultilevel"/>
    <w:tmpl w:val="8DB875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82B19"/>
    <w:multiLevelType w:val="multilevel"/>
    <w:tmpl w:val="916429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B41513D"/>
    <w:multiLevelType w:val="multilevel"/>
    <w:tmpl w:val="916429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25715579">
    <w:abstractNumId w:val="1"/>
  </w:num>
  <w:num w:numId="2" w16cid:durableId="1152214109">
    <w:abstractNumId w:val="5"/>
  </w:num>
  <w:num w:numId="3" w16cid:durableId="943344446">
    <w:abstractNumId w:val="3"/>
  </w:num>
  <w:num w:numId="4" w16cid:durableId="277222859">
    <w:abstractNumId w:val="2"/>
  </w:num>
  <w:num w:numId="5" w16cid:durableId="1375501027">
    <w:abstractNumId w:val="0"/>
  </w:num>
  <w:num w:numId="6" w16cid:durableId="612791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506"/>
    <w:rsid w:val="00023FE8"/>
    <w:rsid w:val="0003639C"/>
    <w:rsid w:val="00051FAA"/>
    <w:rsid w:val="00093CF2"/>
    <w:rsid w:val="000974AA"/>
    <w:rsid w:val="000A22AD"/>
    <w:rsid w:val="000A762F"/>
    <w:rsid w:val="000E4911"/>
    <w:rsid w:val="001113ED"/>
    <w:rsid w:val="00165B04"/>
    <w:rsid w:val="001F3453"/>
    <w:rsid w:val="0025030E"/>
    <w:rsid w:val="00260F7C"/>
    <w:rsid w:val="002862E7"/>
    <w:rsid w:val="002B7BB9"/>
    <w:rsid w:val="002C1A56"/>
    <w:rsid w:val="002F60B5"/>
    <w:rsid w:val="003022C4"/>
    <w:rsid w:val="00327C36"/>
    <w:rsid w:val="00337512"/>
    <w:rsid w:val="003B4187"/>
    <w:rsid w:val="003D2D8B"/>
    <w:rsid w:val="0045033B"/>
    <w:rsid w:val="00485A62"/>
    <w:rsid w:val="00490852"/>
    <w:rsid w:val="004C2B60"/>
    <w:rsid w:val="004D2FE9"/>
    <w:rsid w:val="0052262C"/>
    <w:rsid w:val="00522BFD"/>
    <w:rsid w:val="00531B0D"/>
    <w:rsid w:val="00533938"/>
    <w:rsid w:val="00544CD1"/>
    <w:rsid w:val="00583F03"/>
    <w:rsid w:val="005A2460"/>
    <w:rsid w:val="005B2924"/>
    <w:rsid w:val="005B60A8"/>
    <w:rsid w:val="00640C8E"/>
    <w:rsid w:val="00685DF2"/>
    <w:rsid w:val="006A214F"/>
    <w:rsid w:val="006F17E9"/>
    <w:rsid w:val="00701809"/>
    <w:rsid w:val="00705506"/>
    <w:rsid w:val="007058FB"/>
    <w:rsid w:val="0073689D"/>
    <w:rsid w:val="007476CC"/>
    <w:rsid w:val="007B1661"/>
    <w:rsid w:val="007B179F"/>
    <w:rsid w:val="007C3C17"/>
    <w:rsid w:val="007D61BC"/>
    <w:rsid w:val="00892110"/>
    <w:rsid w:val="008A3C83"/>
    <w:rsid w:val="008B0755"/>
    <w:rsid w:val="008B6671"/>
    <w:rsid w:val="008D175E"/>
    <w:rsid w:val="00934FFE"/>
    <w:rsid w:val="009A3E30"/>
    <w:rsid w:val="009B6773"/>
    <w:rsid w:val="00A337D1"/>
    <w:rsid w:val="00A43D2E"/>
    <w:rsid w:val="00A77557"/>
    <w:rsid w:val="00AB431E"/>
    <w:rsid w:val="00AC6AA7"/>
    <w:rsid w:val="00AD7F4E"/>
    <w:rsid w:val="00B81AE0"/>
    <w:rsid w:val="00B825E1"/>
    <w:rsid w:val="00BE5399"/>
    <w:rsid w:val="00C57EF0"/>
    <w:rsid w:val="00C75436"/>
    <w:rsid w:val="00C86DA1"/>
    <w:rsid w:val="00C92EB7"/>
    <w:rsid w:val="00C93B90"/>
    <w:rsid w:val="00CF5D63"/>
    <w:rsid w:val="00D27D20"/>
    <w:rsid w:val="00D802E9"/>
    <w:rsid w:val="00DB4B25"/>
    <w:rsid w:val="00DE34E5"/>
    <w:rsid w:val="00DF1093"/>
    <w:rsid w:val="00E2404D"/>
    <w:rsid w:val="00E54B6D"/>
    <w:rsid w:val="00EC6F68"/>
    <w:rsid w:val="00EC73E6"/>
    <w:rsid w:val="00F02FE6"/>
    <w:rsid w:val="00F1223D"/>
    <w:rsid w:val="00F57769"/>
    <w:rsid w:val="00F671DF"/>
    <w:rsid w:val="00F97AF0"/>
    <w:rsid w:val="00FD4AA9"/>
    <w:rsid w:val="00FF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50EE"/>
  <w15:docId w15:val="{D2B68714-1C22-4F05-A6CC-15A88BF3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D8B"/>
  </w:style>
  <w:style w:type="paragraph" w:styleId="Heading2">
    <w:name w:val="heading 2"/>
    <w:basedOn w:val="Normal"/>
    <w:next w:val="Normal"/>
    <w:link w:val="Heading2Char"/>
    <w:uiPriority w:val="9"/>
    <w:unhideWhenUsed/>
    <w:qFormat/>
    <w:rsid w:val="00A337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55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5506"/>
    <w:rPr>
      <w:rFonts w:ascii="Consolas" w:hAnsi="Consolas"/>
      <w:sz w:val="21"/>
      <w:szCs w:val="21"/>
    </w:rPr>
  </w:style>
  <w:style w:type="paragraph" w:styleId="ListParagraph">
    <w:name w:val="List Paragraph"/>
    <w:basedOn w:val="Normal"/>
    <w:qFormat/>
    <w:rsid w:val="004D2FE9"/>
    <w:pPr>
      <w:ind w:left="720"/>
      <w:contextualSpacing/>
    </w:pPr>
  </w:style>
  <w:style w:type="character" w:customStyle="1" w:styleId="Heading2Char">
    <w:name w:val="Heading 2 Char"/>
    <w:basedOn w:val="DefaultParagraphFont"/>
    <w:link w:val="Heading2"/>
    <w:uiPriority w:val="9"/>
    <w:rsid w:val="00A337D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54B6D"/>
    <w:rPr>
      <w:rFonts w:ascii="Times New Roman" w:hAnsi="Times New Roman" w:cs="Times New Roman" w:hint="default"/>
      <w:color w:val="0000FF"/>
      <w:u w:val="single"/>
    </w:rPr>
  </w:style>
  <w:style w:type="paragraph" w:styleId="Header">
    <w:name w:val="header"/>
    <w:basedOn w:val="Normal"/>
    <w:link w:val="HeaderChar"/>
    <w:uiPriority w:val="99"/>
    <w:unhideWhenUsed/>
    <w:rsid w:val="00E54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B6D"/>
  </w:style>
  <w:style w:type="paragraph" w:styleId="Footer">
    <w:name w:val="footer"/>
    <w:basedOn w:val="Normal"/>
    <w:link w:val="FooterChar"/>
    <w:uiPriority w:val="99"/>
    <w:unhideWhenUsed/>
    <w:rsid w:val="00E54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B6D"/>
  </w:style>
  <w:style w:type="character" w:styleId="UnresolvedMention">
    <w:name w:val="Unresolved Mention"/>
    <w:basedOn w:val="DefaultParagraphFont"/>
    <w:uiPriority w:val="99"/>
    <w:semiHidden/>
    <w:unhideWhenUsed/>
    <w:rsid w:val="00B82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6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upport.mapbox.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4ed000-4b05-45b9-8673-b0d9b7fd1bfe" xsi:nil="true"/>
    <lcf76f155ced4ddcb4097134ff3c332f xmlns="a87903cd-e438-4fee-a472-85f26478213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EC71C42C1053418F50398D2AFBB372" ma:contentTypeVersion="15" ma:contentTypeDescription="Create a new document." ma:contentTypeScope="" ma:versionID="55163095b73f34bc10957ca2f6304bd7">
  <xsd:schema xmlns:xsd="http://www.w3.org/2001/XMLSchema" xmlns:xs="http://www.w3.org/2001/XMLSchema" xmlns:p="http://schemas.microsoft.com/office/2006/metadata/properties" xmlns:ns2="a87903cd-e438-4fee-a472-85f26478213c" xmlns:ns3="4f4ed000-4b05-45b9-8673-b0d9b7fd1bfe" targetNamespace="http://schemas.microsoft.com/office/2006/metadata/properties" ma:root="true" ma:fieldsID="8365bd8fc5a0e2516c2aaec202d2f09e" ns2:_="" ns3:_="">
    <xsd:import namespace="a87903cd-e438-4fee-a472-85f26478213c"/>
    <xsd:import namespace="4f4ed000-4b05-45b9-8673-b0d9b7fd1b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903cd-e438-4fee-a472-85f2647821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e6c1609-49e0-4fdc-8f5b-8b798a969131"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4ed000-4b05-45b9-8673-b0d9b7fd1b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12e3e1-f501-4970-bbd6-048082a7f37f}" ma:internalName="TaxCatchAll" ma:showField="CatchAllData" ma:web="4f4ed000-4b05-45b9-8673-b0d9b7fd1b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FE3F75-6577-4A15-929C-29DFB1BCE9D4}">
  <ds:schemaRefs>
    <ds:schemaRef ds:uri="http://purl.org/dc/elements/1.1/"/>
    <ds:schemaRef ds:uri="a87903cd-e438-4fee-a472-85f26478213c"/>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 ds:uri="4f4ed000-4b05-45b9-8673-b0d9b7fd1bf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4098E3C-B6D3-4B0D-AF70-191B75AB5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903cd-e438-4fee-a472-85f26478213c"/>
    <ds:schemaRef ds:uri="4f4ed000-4b05-45b9-8673-b0d9b7fd1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859600-CD43-40F1-98C2-C45C704BD6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USACE</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jds</dc:creator>
  <cp:lastModifiedBy>Pummell, Justin D CIV USARMY CEIWR (USA)</cp:lastModifiedBy>
  <cp:revision>24</cp:revision>
  <dcterms:created xsi:type="dcterms:W3CDTF">2017-03-09T21:44:00Z</dcterms:created>
  <dcterms:modified xsi:type="dcterms:W3CDTF">2025-02-03T23:23:00Z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0x010100F4EC71C42C1053418F50398D2AFBB372</vt:lpwstr>
  </property>
  <property fmtid="{D5CDD505-2E9C-101B-9397-08002B2CF9AE}" pid="3" name="MediaServiceImageTags">
    <vt:lpwstr/>
  </property>
</Properties>
</file>