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5039" w14:textId="77777777" w:rsidR="00561214" w:rsidRPr="00447266" w:rsidRDefault="00561214" w:rsidP="00561214">
      <w:pPr>
        <w:jc w:val="center"/>
        <w:rPr>
          <w:rFonts w:ascii="Times New Roman" w:hAnsi="Times New Roman" w:cs="Times New Roman"/>
          <w:b/>
          <w:bCs/>
          <w:kern w:val="0"/>
          <w:sz w:val="19"/>
          <w:szCs w:val="19"/>
        </w:rPr>
      </w:pPr>
      <w:r w:rsidRPr="00447266">
        <w:rPr>
          <w:rFonts w:ascii="Times New Roman" w:hAnsi="Times New Roman" w:cs="Times New Roman"/>
          <w:b/>
          <w:bCs/>
          <w:kern w:val="0"/>
          <w:sz w:val="19"/>
          <w:szCs w:val="19"/>
        </w:rPr>
        <w:t>Section C - Description/Specifications/Statement of Work</w:t>
      </w:r>
    </w:p>
    <w:p w14:paraId="596C8B53" w14:textId="77777777" w:rsidR="00561214" w:rsidRPr="00447266" w:rsidRDefault="00561214" w:rsidP="00561214">
      <w:pPr>
        <w:jc w:val="center"/>
        <w:rPr>
          <w:rFonts w:ascii="Times New Roman" w:hAnsi="Times New Roman" w:cs="Times New Roman"/>
          <w:b/>
          <w:bCs/>
          <w:kern w:val="0"/>
          <w:sz w:val="19"/>
          <w:szCs w:val="19"/>
        </w:rPr>
      </w:pPr>
      <w:r w:rsidRPr="00447266">
        <w:rPr>
          <w:rFonts w:ascii="Times New Roman" w:hAnsi="Times New Roman" w:cs="Times New Roman"/>
          <w:b/>
          <w:bCs/>
          <w:kern w:val="0"/>
          <w:sz w:val="19"/>
          <w:szCs w:val="19"/>
        </w:rPr>
        <w:t>Navy Conference Management and Oversight Support of</w:t>
      </w:r>
    </w:p>
    <w:p w14:paraId="3429C938" w14:textId="77777777" w:rsidR="00561214" w:rsidRPr="00447266" w:rsidRDefault="00561214" w:rsidP="00561214">
      <w:pPr>
        <w:jc w:val="center"/>
        <w:rPr>
          <w:rFonts w:ascii="Times New Roman" w:hAnsi="Times New Roman" w:cs="Times New Roman"/>
          <w:b/>
          <w:bCs/>
          <w:kern w:val="0"/>
          <w:sz w:val="19"/>
          <w:szCs w:val="19"/>
        </w:rPr>
      </w:pPr>
      <w:r w:rsidRPr="00447266">
        <w:rPr>
          <w:rFonts w:ascii="Times New Roman" w:hAnsi="Times New Roman" w:cs="Times New Roman"/>
          <w:b/>
          <w:bCs/>
          <w:kern w:val="0"/>
          <w:sz w:val="19"/>
          <w:szCs w:val="19"/>
        </w:rPr>
        <w:t xml:space="preserve">FY26 </w:t>
      </w:r>
      <w:r w:rsidRPr="003B42B2">
        <w:rPr>
          <w:rFonts w:ascii="Times New Roman" w:hAnsi="Times New Roman" w:cs="Times New Roman"/>
          <w:b/>
          <w:bCs/>
          <w:kern w:val="0"/>
          <w:sz w:val="19"/>
          <w:szCs w:val="19"/>
        </w:rPr>
        <w:t>OPNAV N80</w:t>
      </w:r>
      <w:r w:rsidRPr="00447266">
        <w:rPr>
          <w:rFonts w:ascii="Times New Roman" w:hAnsi="Times New Roman" w:cs="Times New Roman"/>
          <w:b/>
          <w:bCs/>
          <w:kern w:val="0"/>
          <w:sz w:val="19"/>
          <w:szCs w:val="19"/>
        </w:rPr>
        <w:t xml:space="preserve"> </w:t>
      </w:r>
      <w:r>
        <w:rPr>
          <w:rFonts w:ascii="Times New Roman" w:hAnsi="Times New Roman" w:cs="Times New Roman"/>
          <w:b/>
          <w:bCs/>
          <w:kern w:val="0"/>
          <w:sz w:val="19"/>
          <w:szCs w:val="19"/>
        </w:rPr>
        <w:t>Industry Engagement Session</w:t>
      </w:r>
    </w:p>
    <w:p w14:paraId="4219298F" w14:textId="77777777" w:rsidR="00561214" w:rsidRPr="00447266" w:rsidRDefault="00561214" w:rsidP="00561214">
      <w:pPr>
        <w:jc w:val="center"/>
        <w:rPr>
          <w:rFonts w:ascii="Times New Roman" w:hAnsi="Times New Roman" w:cs="Times New Roman"/>
          <w:b/>
          <w:bCs/>
          <w:kern w:val="0"/>
          <w:sz w:val="19"/>
          <w:szCs w:val="19"/>
        </w:rPr>
      </w:pPr>
      <w:r w:rsidRPr="00447266">
        <w:rPr>
          <w:rFonts w:ascii="Times New Roman" w:hAnsi="Times New Roman" w:cs="Times New Roman"/>
          <w:b/>
          <w:bCs/>
          <w:kern w:val="0"/>
          <w:sz w:val="19"/>
          <w:szCs w:val="19"/>
        </w:rPr>
        <w:t>Performance Work Statement</w:t>
      </w:r>
    </w:p>
    <w:p w14:paraId="5A5C1FF9" w14:textId="77777777" w:rsidR="00561214" w:rsidRPr="00EB5110" w:rsidRDefault="00561214" w:rsidP="00561214">
      <w:pPr>
        <w:rPr>
          <w:rFonts w:ascii="Times New Roman" w:hAnsi="Times New Roman" w:cs="Times New Roman"/>
          <w:b/>
          <w:bCs/>
          <w:kern w:val="0"/>
          <w:sz w:val="19"/>
          <w:szCs w:val="19"/>
        </w:rPr>
      </w:pPr>
      <w:r w:rsidRPr="00EB5110">
        <w:rPr>
          <w:rFonts w:ascii="Times New Roman" w:hAnsi="Times New Roman" w:cs="Times New Roman"/>
          <w:b/>
          <w:bCs/>
          <w:kern w:val="0"/>
          <w:sz w:val="19"/>
          <w:szCs w:val="19"/>
        </w:rPr>
        <w:t>1.0 Background and Purpose</w:t>
      </w:r>
    </w:p>
    <w:p w14:paraId="1B43892C" w14:textId="77777777" w:rsidR="00561214" w:rsidRPr="00EB5110" w:rsidRDefault="00561214" w:rsidP="00561214">
      <w:pPr>
        <w:rPr>
          <w:rFonts w:ascii="Times New Roman" w:hAnsi="Times New Roman" w:cs="Times New Roman"/>
          <w:kern w:val="0"/>
          <w:sz w:val="19"/>
          <w:szCs w:val="19"/>
        </w:rPr>
      </w:pPr>
      <w:r w:rsidRPr="00EB5110">
        <w:rPr>
          <w:rFonts w:ascii="Times New Roman" w:hAnsi="Times New Roman" w:cs="Times New Roman"/>
          <w:kern w:val="0"/>
          <w:sz w:val="19"/>
          <w:szCs w:val="19"/>
        </w:rPr>
        <w:t xml:space="preserve">The </w:t>
      </w:r>
      <w:r>
        <w:rPr>
          <w:rFonts w:ascii="Times New Roman" w:hAnsi="Times New Roman" w:cs="Times New Roman"/>
          <w:kern w:val="0"/>
          <w:sz w:val="19"/>
          <w:szCs w:val="19"/>
        </w:rPr>
        <w:t>Industry Engagement Session</w:t>
      </w:r>
      <w:r w:rsidRPr="00EB5110">
        <w:rPr>
          <w:rFonts w:ascii="Times New Roman" w:hAnsi="Times New Roman" w:cs="Times New Roman"/>
          <w:kern w:val="0"/>
          <w:sz w:val="19"/>
          <w:szCs w:val="19"/>
        </w:rPr>
        <w:t xml:space="preserve"> is a formal event designed to reaffirm the strategic vision of the Navy Programming Division (OPNAV N80). The s</w:t>
      </w:r>
      <w:r>
        <w:rPr>
          <w:rFonts w:ascii="Times New Roman" w:hAnsi="Times New Roman" w:cs="Times New Roman"/>
          <w:kern w:val="0"/>
          <w:sz w:val="19"/>
          <w:szCs w:val="19"/>
        </w:rPr>
        <w:t>ession</w:t>
      </w:r>
      <w:r w:rsidRPr="00EB5110">
        <w:rPr>
          <w:rFonts w:ascii="Times New Roman" w:hAnsi="Times New Roman" w:cs="Times New Roman"/>
          <w:kern w:val="0"/>
          <w:sz w:val="19"/>
          <w:szCs w:val="19"/>
        </w:rPr>
        <w:t xml:space="preserve"> focuses on </w:t>
      </w:r>
      <w:r>
        <w:rPr>
          <w:rFonts w:ascii="Times New Roman" w:hAnsi="Times New Roman" w:cs="Times New Roman"/>
          <w:kern w:val="0"/>
          <w:sz w:val="19"/>
          <w:szCs w:val="19"/>
        </w:rPr>
        <w:t>engagement of industry to meet N80 mission critical needs</w:t>
      </w:r>
      <w:r w:rsidRPr="00EB5110">
        <w:rPr>
          <w:rFonts w:ascii="Times New Roman" w:hAnsi="Times New Roman" w:cs="Times New Roman"/>
          <w:kern w:val="0"/>
          <w:sz w:val="19"/>
          <w:szCs w:val="19"/>
        </w:rPr>
        <w:t xml:space="preserve"> that strengthen the OPNAV N80 community and facilitate planning for the execution of the Chief of Naval Operations' (CNO) directives. The </w:t>
      </w:r>
      <w:r>
        <w:rPr>
          <w:rFonts w:ascii="Times New Roman" w:hAnsi="Times New Roman" w:cs="Times New Roman"/>
          <w:kern w:val="0"/>
          <w:sz w:val="19"/>
          <w:szCs w:val="19"/>
        </w:rPr>
        <w:t xml:space="preserve">industry engagement session </w:t>
      </w:r>
      <w:r w:rsidRPr="00EB5110">
        <w:rPr>
          <w:rFonts w:ascii="Times New Roman" w:hAnsi="Times New Roman" w:cs="Times New Roman"/>
          <w:kern w:val="0"/>
          <w:sz w:val="19"/>
          <w:szCs w:val="19"/>
        </w:rPr>
        <w:t xml:space="preserve">directly supports the overarching priorities of the Secretary of the Navy and the CNO through the implementation of the Department of the Navy's Strategic Plan for </w:t>
      </w:r>
      <w:r>
        <w:rPr>
          <w:rFonts w:ascii="Times New Roman" w:hAnsi="Times New Roman" w:cs="Times New Roman"/>
          <w:kern w:val="0"/>
          <w:sz w:val="19"/>
          <w:szCs w:val="19"/>
        </w:rPr>
        <w:t>2026</w:t>
      </w:r>
    </w:p>
    <w:p w14:paraId="08F21E2D" w14:textId="77777777" w:rsidR="00561214" w:rsidRPr="00EB5110" w:rsidRDefault="00561214" w:rsidP="00561214">
      <w:pPr>
        <w:rPr>
          <w:rFonts w:ascii="Times New Roman" w:hAnsi="Times New Roman" w:cs="Times New Roman"/>
          <w:b/>
          <w:bCs/>
          <w:kern w:val="0"/>
          <w:sz w:val="19"/>
          <w:szCs w:val="19"/>
        </w:rPr>
      </w:pPr>
      <w:r w:rsidRPr="00EB5110">
        <w:rPr>
          <w:rFonts w:ascii="Times New Roman" w:hAnsi="Times New Roman" w:cs="Times New Roman"/>
          <w:b/>
          <w:bCs/>
          <w:kern w:val="0"/>
          <w:sz w:val="19"/>
          <w:szCs w:val="19"/>
        </w:rPr>
        <w:t>2.0 Organizational Context</w:t>
      </w:r>
    </w:p>
    <w:p w14:paraId="4B7C58DF" w14:textId="77777777" w:rsidR="00561214" w:rsidRPr="00EB5110" w:rsidRDefault="00561214" w:rsidP="00561214">
      <w:pPr>
        <w:rPr>
          <w:rFonts w:ascii="Times New Roman" w:hAnsi="Times New Roman" w:cs="Times New Roman"/>
          <w:kern w:val="0"/>
          <w:sz w:val="19"/>
          <w:szCs w:val="19"/>
        </w:rPr>
      </w:pPr>
      <w:r w:rsidRPr="00EB5110">
        <w:rPr>
          <w:rFonts w:ascii="Times New Roman" w:hAnsi="Times New Roman" w:cs="Times New Roman"/>
          <w:kern w:val="0"/>
          <w:sz w:val="19"/>
          <w:szCs w:val="19"/>
        </w:rPr>
        <w:t>Within the Office of the Deputy Chief of Naval Operations for Integration of Capabilities and Resources (OPNAV N8), the Navy Programming Division (OPNAV N80) directs the Programming Phase of the Planning, Programming, Budgeting, and Execution (PPBE) process. OPNAV N80 serves as the critical liaison between the Planning and Budget divisions and other Navy organizations with PPBE responsibilities.</w:t>
      </w:r>
    </w:p>
    <w:p w14:paraId="7C6A4983" w14:textId="77777777" w:rsidR="00561214" w:rsidRPr="00EB5110" w:rsidRDefault="00561214" w:rsidP="00561214">
      <w:pPr>
        <w:rPr>
          <w:rFonts w:ascii="Times New Roman" w:hAnsi="Times New Roman" w:cs="Times New Roman"/>
          <w:kern w:val="0"/>
          <w:sz w:val="19"/>
          <w:szCs w:val="19"/>
        </w:rPr>
      </w:pPr>
      <w:r w:rsidRPr="00EB5110">
        <w:rPr>
          <w:rFonts w:ascii="Times New Roman" w:hAnsi="Times New Roman" w:cs="Times New Roman"/>
          <w:kern w:val="0"/>
          <w:sz w:val="19"/>
          <w:szCs w:val="19"/>
        </w:rPr>
        <w:t>OPNAV N80 is responsible for the final development and balancing of the Navy's portion of the Department of the Navy (</w:t>
      </w:r>
      <w:proofErr w:type="spellStart"/>
      <w:r w:rsidRPr="00EB5110">
        <w:rPr>
          <w:rFonts w:ascii="Times New Roman" w:hAnsi="Times New Roman" w:cs="Times New Roman"/>
          <w:kern w:val="0"/>
          <w:sz w:val="19"/>
          <w:szCs w:val="19"/>
        </w:rPr>
        <w:t>DoN</w:t>
      </w:r>
      <w:proofErr w:type="spellEnd"/>
      <w:r w:rsidRPr="00EB5110">
        <w:rPr>
          <w:rFonts w:ascii="Times New Roman" w:hAnsi="Times New Roman" w:cs="Times New Roman"/>
          <w:kern w:val="0"/>
          <w:sz w:val="19"/>
          <w:szCs w:val="19"/>
        </w:rPr>
        <w:t>) Program Objectives Memorandum (POM). The division defends the POM through the annual Department of Defense (DoD) program review process, which culminates in the final DoD budget presented annually to Congress.</w:t>
      </w:r>
    </w:p>
    <w:p w14:paraId="14931304" w14:textId="77777777" w:rsidR="00561214" w:rsidRPr="005C2928" w:rsidRDefault="00561214" w:rsidP="00561214">
      <w:pPr>
        <w:rPr>
          <w:rFonts w:ascii="Times New Roman" w:hAnsi="Times New Roman" w:cs="Times New Roman"/>
          <w:kern w:val="0"/>
          <w:sz w:val="19"/>
          <w:szCs w:val="19"/>
        </w:rPr>
      </w:pPr>
      <w:r w:rsidRPr="00EB5110">
        <w:rPr>
          <w:rFonts w:ascii="Times New Roman" w:hAnsi="Times New Roman" w:cs="Times New Roman"/>
          <w:kern w:val="0"/>
          <w:sz w:val="19"/>
          <w:szCs w:val="19"/>
        </w:rPr>
        <w:t xml:space="preserve">To execute this mission, the OPNAV N80 staff develops and implements procedures to collect, evaluate, and devise funding strategies that meet the programmatic priorities of the DoD, the Secretary of the Navy, the CNO, and Fleet and Fleet Combatant Commanders. Additionally, OPNAV N80 serves the broader OPNAV staff by conducting the Resources &amp; Requirements Review Board (R3B) to review and approve major program requirements and resolve cross-sponsor issues. The division also provides vital support to N8 Congressional liaison operations and strategic communications </w:t>
      </w:r>
      <w:r w:rsidRPr="005C2928">
        <w:rPr>
          <w:rFonts w:ascii="Times New Roman" w:hAnsi="Times New Roman" w:cs="Times New Roman"/>
          <w:kern w:val="0"/>
          <w:sz w:val="19"/>
          <w:szCs w:val="19"/>
        </w:rPr>
        <w:t>efforts related to the Navy’s fiscal strategy.</w:t>
      </w:r>
    </w:p>
    <w:p w14:paraId="694D2DA2"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Event: FY26 OPNAV N80 Industry Engagement Session</w:t>
      </w:r>
    </w:p>
    <w:p w14:paraId="50DC8DFF"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Dates: Two Day Event, June 2026-July 2026</w:t>
      </w:r>
    </w:p>
    <w:p w14:paraId="384049ED"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Location: 15 Miles from Pentagon Building</w:t>
      </w:r>
    </w:p>
    <w:p w14:paraId="1560DE38"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Suggested Hotel: TBD</w:t>
      </w:r>
    </w:p>
    <w:p w14:paraId="4039CB02"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Alternate Hotels: 1) TBD</w:t>
      </w:r>
    </w:p>
    <w:p w14:paraId="042DDC34"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Suggested AV Provider: TBD</w:t>
      </w:r>
    </w:p>
    <w:p w14:paraId="6E656D83" w14:textId="77777777" w:rsidR="00561214" w:rsidRPr="009533F2" w:rsidRDefault="00561214" w:rsidP="00561214">
      <w:pPr>
        <w:rPr>
          <w:rFonts w:ascii="Times New Roman" w:hAnsi="Times New Roman" w:cs="Times New Roman"/>
          <w:kern w:val="0"/>
          <w:sz w:val="19"/>
          <w:szCs w:val="19"/>
        </w:rPr>
      </w:pPr>
      <w:r w:rsidRPr="009533F2">
        <w:rPr>
          <w:rFonts w:ascii="Times New Roman" w:hAnsi="Times New Roman" w:cs="Times New Roman"/>
          <w:kern w:val="0"/>
          <w:sz w:val="19"/>
          <w:szCs w:val="19"/>
        </w:rPr>
        <w:t>Attendees: Approximately 200</w:t>
      </w:r>
    </w:p>
    <w:p w14:paraId="44272463" w14:textId="77777777" w:rsidR="00561214" w:rsidRPr="00447266" w:rsidRDefault="00561214" w:rsidP="00561214">
      <w:pPr>
        <w:rPr>
          <w:rFonts w:ascii="Times New Roman" w:hAnsi="Times New Roman" w:cs="Times New Roman"/>
          <w:kern w:val="0"/>
          <w:sz w:val="19"/>
          <w:szCs w:val="19"/>
        </w:rPr>
      </w:pPr>
    </w:p>
    <w:p w14:paraId="2CABD616" w14:textId="77777777" w:rsidR="00561214" w:rsidRPr="00447266" w:rsidRDefault="00561214" w:rsidP="00561214">
      <w:pPr>
        <w:rPr>
          <w:rFonts w:ascii="Times New Roman" w:hAnsi="Times New Roman" w:cs="Times New Roman"/>
          <w:b/>
          <w:bCs/>
          <w:kern w:val="0"/>
          <w:sz w:val="19"/>
          <w:szCs w:val="19"/>
        </w:rPr>
      </w:pPr>
      <w:r w:rsidRPr="00447266">
        <w:rPr>
          <w:rFonts w:ascii="Times New Roman" w:hAnsi="Times New Roman" w:cs="Times New Roman"/>
          <w:b/>
          <w:bCs/>
          <w:kern w:val="0"/>
          <w:sz w:val="19"/>
          <w:szCs w:val="19"/>
        </w:rPr>
        <w:t>3. Scope</w:t>
      </w:r>
    </w:p>
    <w:p w14:paraId="5740E7F3"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The contractor shall provide all personnel, equipment, supplies, transportation, tools, materials, supervision, and other items and non-personal</w:t>
      </w:r>
      <w:r>
        <w:rPr>
          <w:rFonts w:ascii="Times New Roman" w:hAnsi="Times New Roman" w:cs="Times New Roman"/>
          <w:kern w:val="0"/>
          <w:sz w:val="19"/>
          <w:szCs w:val="19"/>
        </w:rPr>
        <w:t xml:space="preserve"> </w:t>
      </w:r>
      <w:r w:rsidRPr="00447266">
        <w:rPr>
          <w:rFonts w:ascii="Times New Roman" w:hAnsi="Times New Roman" w:cs="Times New Roman"/>
          <w:kern w:val="0"/>
          <w:sz w:val="19"/>
          <w:szCs w:val="19"/>
        </w:rPr>
        <w:t xml:space="preserve">services necessary to perform comprehensive event management, online registration, and audio-visual services for the </w:t>
      </w:r>
      <w:r w:rsidRPr="00C14932">
        <w:rPr>
          <w:rFonts w:ascii="Times New Roman" w:hAnsi="Times New Roman" w:cs="Times New Roman"/>
          <w:kern w:val="0"/>
          <w:sz w:val="19"/>
          <w:szCs w:val="19"/>
        </w:rPr>
        <w:t xml:space="preserve">FY26 OPNAV N80 </w:t>
      </w:r>
      <w:r>
        <w:rPr>
          <w:rFonts w:ascii="Times New Roman" w:hAnsi="Times New Roman" w:cs="Times New Roman"/>
          <w:kern w:val="0"/>
          <w:sz w:val="19"/>
          <w:szCs w:val="19"/>
        </w:rPr>
        <w:t>industry engagement session.</w:t>
      </w:r>
    </w:p>
    <w:p w14:paraId="700F4CEF" w14:textId="77777777" w:rsidR="00561214" w:rsidRPr="00447266" w:rsidRDefault="00561214" w:rsidP="00561214">
      <w:pPr>
        <w:rPr>
          <w:rFonts w:ascii="Times New Roman" w:hAnsi="Times New Roman" w:cs="Times New Roman"/>
          <w:b/>
          <w:bCs/>
          <w:kern w:val="0"/>
          <w:sz w:val="19"/>
          <w:szCs w:val="19"/>
        </w:rPr>
      </w:pPr>
      <w:r w:rsidRPr="00447266">
        <w:rPr>
          <w:rFonts w:ascii="Times New Roman" w:hAnsi="Times New Roman" w:cs="Times New Roman"/>
          <w:b/>
          <w:bCs/>
          <w:kern w:val="0"/>
          <w:sz w:val="19"/>
          <w:szCs w:val="19"/>
        </w:rPr>
        <w:t>4. Tasks</w:t>
      </w:r>
    </w:p>
    <w:p w14:paraId="1607701A"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The contractor shall:</w:t>
      </w:r>
    </w:p>
    <w:p w14:paraId="366451EA"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lastRenderedPageBreak/>
        <w:t>a. Provide vendor management and master account representation with host hotel, to include post event reconciliation and reporting</w:t>
      </w:r>
    </w:p>
    <w:p w14:paraId="41A747E3"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b. Serve as bill payer for hotel master account and provide merchant services and comprehensive financial tracking for all event-related income</w:t>
      </w:r>
      <w:r>
        <w:rPr>
          <w:rFonts w:ascii="Times New Roman" w:hAnsi="Times New Roman" w:cs="Times New Roman"/>
          <w:kern w:val="0"/>
          <w:sz w:val="19"/>
          <w:szCs w:val="19"/>
        </w:rPr>
        <w:t xml:space="preserve"> </w:t>
      </w:r>
      <w:r w:rsidRPr="00447266">
        <w:rPr>
          <w:rFonts w:ascii="Times New Roman" w:hAnsi="Times New Roman" w:cs="Times New Roman"/>
          <w:kern w:val="0"/>
          <w:sz w:val="19"/>
          <w:szCs w:val="19"/>
        </w:rPr>
        <w:t>and expenses</w:t>
      </w:r>
    </w:p>
    <w:p w14:paraId="497DAD0D"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c. Negotiate and secure conference meeting space, hotel room allocation, food and beverage purchase options plan/execution, and audio/visual</w:t>
      </w:r>
    </w:p>
    <w:p w14:paraId="7564A08A"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support with host hotel for approx. </w:t>
      </w:r>
      <w:r>
        <w:rPr>
          <w:rFonts w:ascii="Times New Roman" w:hAnsi="Times New Roman" w:cs="Times New Roman"/>
          <w:kern w:val="0"/>
          <w:sz w:val="19"/>
          <w:szCs w:val="19"/>
        </w:rPr>
        <w:t>200</w:t>
      </w:r>
      <w:r w:rsidRPr="00447266">
        <w:rPr>
          <w:rFonts w:ascii="Times New Roman" w:hAnsi="Times New Roman" w:cs="Times New Roman"/>
          <w:kern w:val="0"/>
          <w:sz w:val="19"/>
          <w:szCs w:val="19"/>
        </w:rPr>
        <w:t xml:space="preserve"> participants</w:t>
      </w:r>
    </w:p>
    <w:p w14:paraId="306FBFA7"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d. Plan and support two major social functions for all participants (Monday evening welcome reception with heavy hors d'oeuvres, and Wednesday</w:t>
      </w:r>
      <w:r>
        <w:rPr>
          <w:rFonts w:ascii="Times New Roman" w:hAnsi="Times New Roman" w:cs="Times New Roman"/>
          <w:kern w:val="0"/>
          <w:sz w:val="19"/>
          <w:szCs w:val="19"/>
        </w:rPr>
        <w:t xml:space="preserve"> </w:t>
      </w:r>
      <w:r w:rsidRPr="00447266">
        <w:rPr>
          <w:rFonts w:ascii="Times New Roman" w:hAnsi="Times New Roman" w:cs="Times New Roman"/>
          <w:kern w:val="0"/>
          <w:sz w:val="19"/>
          <w:szCs w:val="19"/>
        </w:rPr>
        <w:t>evening appreciation dinner)</w:t>
      </w:r>
    </w:p>
    <w:p w14:paraId="4A182456"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e. Provide in person, on-site support for duration of </w:t>
      </w:r>
      <w:r>
        <w:rPr>
          <w:rFonts w:ascii="Times New Roman" w:hAnsi="Times New Roman" w:cs="Times New Roman"/>
          <w:kern w:val="0"/>
          <w:sz w:val="19"/>
          <w:szCs w:val="19"/>
        </w:rPr>
        <w:t xml:space="preserve">the event </w:t>
      </w:r>
      <w:r w:rsidRPr="00447266">
        <w:rPr>
          <w:rFonts w:ascii="Times New Roman" w:hAnsi="Times New Roman" w:cs="Times New Roman"/>
          <w:kern w:val="0"/>
          <w:sz w:val="19"/>
          <w:szCs w:val="19"/>
        </w:rPr>
        <w:t xml:space="preserve">in </w:t>
      </w:r>
      <w:r>
        <w:rPr>
          <w:rFonts w:ascii="Times New Roman" w:hAnsi="Times New Roman" w:cs="Times New Roman"/>
          <w:kern w:val="0"/>
          <w:sz w:val="19"/>
          <w:szCs w:val="19"/>
        </w:rPr>
        <w:t>Washington, DC</w:t>
      </w:r>
    </w:p>
    <w:p w14:paraId="1B36D9B3"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f. Create and manage comprehensive event / registration website with </w:t>
      </w:r>
      <w:r>
        <w:rPr>
          <w:rFonts w:ascii="Times New Roman" w:hAnsi="Times New Roman" w:cs="Times New Roman"/>
          <w:kern w:val="0"/>
          <w:sz w:val="19"/>
          <w:szCs w:val="19"/>
        </w:rPr>
        <w:t xml:space="preserve">OPNAV </w:t>
      </w:r>
      <w:r w:rsidRPr="00447266">
        <w:rPr>
          <w:rFonts w:ascii="Times New Roman" w:hAnsi="Times New Roman" w:cs="Times New Roman"/>
          <w:kern w:val="0"/>
          <w:sz w:val="19"/>
          <w:szCs w:val="19"/>
        </w:rPr>
        <w:t>branding</w:t>
      </w:r>
    </w:p>
    <w:p w14:paraId="224A756E"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g. Provide database with collected registration data including any business rules and/or custom fields required</w:t>
      </w:r>
    </w:p>
    <w:p w14:paraId="1D87C8CA"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h. Create password-protected reporting site with 24/7 access to real-time reports</w:t>
      </w:r>
    </w:p>
    <w:p w14:paraId="7D2EC053" w14:textId="77777777" w:rsidR="00561214" w:rsidRPr="00447266" w:rsidRDefault="00561214" w:rsidP="00561214">
      <w:pPr>
        <w:rPr>
          <w:rFonts w:ascii="Times New Roman" w:hAnsi="Times New Roman" w:cs="Times New Roman"/>
          <w:kern w:val="0"/>
          <w:sz w:val="19"/>
          <w:szCs w:val="19"/>
        </w:rPr>
      </w:pPr>
      <w:proofErr w:type="spellStart"/>
      <w:r w:rsidRPr="00447266">
        <w:rPr>
          <w:rFonts w:ascii="Times New Roman" w:hAnsi="Times New Roman" w:cs="Times New Roman"/>
          <w:kern w:val="0"/>
          <w:sz w:val="19"/>
          <w:szCs w:val="19"/>
        </w:rPr>
        <w:t>i</w:t>
      </w:r>
      <w:proofErr w:type="spellEnd"/>
      <w:r w:rsidRPr="00447266">
        <w:rPr>
          <w:rFonts w:ascii="Times New Roman" w:hAnsi="Times New Roman" w:cs="Times New Roman"/>
          <w:kern w:val="0"/>
          <w:sz w:val="19"/>
          <w:szCs w:val="19"/>
        </w:rPr>
        <w:t>. Configure payment options/processes, accounting and receipt management as required for split pay options to include personal and GOVCC</w:t>
      </w:r>
      <w:r>
        <w:rPr>
          <w:rFonts w:ascii="Times New Roman" w:hAnsi="Times New Roman" w:cs="Times New Roman"/>
          <w:kern w:val="0"/>
          <w:sz w:val="19"/>
          <w:szCs w:val="19"/>
        </w:rPr>
        <w:t xml:space="preserve"> </w:t>
      </w:r>
      <w:r w:rsidRPr="00447266">
        <w:rPr>
          <w:rFonts w:ascii="Times New Roman" w:hAnsi="Times New Roman" w:cs="Times New Roman"/>
          <w:kern w:val="0"/>
          <w:sz w:val="19"/>
          <w:szCs w:val="19"/>
        </w:rPr>
        <w:t>charges</w:t>
      </w:r>
    </w:p>
    <w:p w14:paraId="05953348"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j. Implement registration marketing strategy</w:t>
      </w:r>
    </w:p>
    <w:p w14:paraId="47DCFFD6"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k. Provide technical assistance, report generation, planning for website launch, onsite, and other tasks</w:t>
      </w:r>
    </w:p>
    <w:p w14:paraId="044F94CE"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l. Manage on-site registration </w:t>
      </w:r>
      <w:proofErr w:type="gramStart"/>
      <w:r w:rsidRPr="00447266">
        <w:rPr>
          <w:rFonts w:ascii="Times New Roman" w:hAnsi="Times New Roman" w:cs="Times New Roman"/>
          <w:kern w:val="0"/>
          <w:sz w:val="19"/>
          <w:szCs w:val="19"/>
        </w:rPr>
        <w:t>process</w:t>
      </w:r>
      <w:proofErr w:type="gramEnd"/>
      <w:r w:rsidRPr="00447266">
        <w:rPr>
          <w:rFonts w:ascii="Times New Roman" w:hAnsi="Times New Roman" w:cs="Times New Roman"/>
          <w:kern w:val="0"/>
          <w:sz w:val="19"/>
          <w:szCs w:val="19"/>
        </w:rPr>
        <w:t xml:space="preserve"> to include real-time payment processing, onsite reporting and badge distribution</w:t>
      </w:r>
    </w:p>
    <w:p w14:paraId="7C0C5110"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m. Assist event participants with customer service needs and escalate challenges to event coordinators</w:t>
      </w:r>
    </w:p>
    <w:p w14:paraId="7F8ED5C9"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n. Coordination of all onsite material and equipment needs such as badge and ticket design and production, computer, and printers</w:t>
      </w:r>
    </w:p>
    <w:p w14:paraId="25AC6D58" w14:textId="77777777" w:rsidR="00561214" w:rsidRPr="00447266" w:rsidRDefault="00561214" w:rsidP="00561214">
      <w:pPr>
        <w:rPr>
          <w:rFonts w:ascii="Times New Roman" w:hAnsi="Times New Roman" w:cs="Times New Roman"/>
          <w:b/>
          <w:bCs/>
          <w:kern w:val="0"/>
          <w:sz w:val="19"/>
          <w:szCs w:val="19"/>
        </w:rPr>
      </w:pPr>
      <w:r w:rsidRPr="00447266">
        <w:rPr>
          <w:rFonts w:ascii="Times New Roman" w:hAnsi="Times New Roman" w:cs="Times New Roman"/>
          <w:b/>
          <w:bCs/>
          <w:kern w:val="0"/>
          <w:sz w:val="19"/>
          <w:szCs w:val="19"/>
        </w:rPr>
        <w:t>5. Other Pertinent Information</w:t>
      </w:r>
    </w:p>
    <w:p w14:paraId="62EB7D0B"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5.1. Base Period of Performance--The base period of performance for this requirement is </w:t>
      </w:r>
      <w:r>
        <w:rPr>
          <w:rFonts w:ascii="Times New Roman" w:hAnsi="Times New Roman" w:cs="Times New Roman"/>
          <w:kern w:val="0"/>
          <w:sz w:val="19"/>
          <w:szCs w:val="19"/>
        </w:rPr>
        <w:t>June</w:t>
      </w:r>
      <w:r w:rsidRPr="00447266">
        <w:rPr>
          <w:rFonts w:ascii="Times New Roman" w:hAnsi="Times New Roman" w:cs="Times New Roman"/>
          <w:kern w:val="0"/>
          <w:sz w:val="19"/>
          <w:szCs w:val="19"/>
        </w:rPr>
        <w:t xml:space="preserve"> 2026. Registration and on-site</w:t>
      </w:r>
      <w:r>
        <w:rPr>
          <w:rFonts w:ascii="Times New Roman" w:hAnsi="Times New Roman" w:cs="Times New Roman"/>
          <w:kern w:val="0"/>
          <w:sz w:val="19"/>
          <w:szCs w:val="19"/>
        </w:rPr>
        <w:t xml:space="preserve"> </w:t>
      </w:r>
      <w:r w:rsidRPr="00447266">
        <w:rPr>
          <w:rFonts w:ascii="Times New Roman" w:hAnsi="Times New Roman" w:cs="Times New Roman"/>
          <w:kern w:val="0"/>
          <w:sz w:val="19"/>
          <w:szCs w:val="19"/>
        </w:rPr>
        <w:t>support services will be conducted between</w:t>
      </w:r>
      <w:r>
        <w:rPr>
          <w:rFonts w:ascii="Times New Roman" w:hAnsi="Times New Roman" w:cs="Times New Roman"/>
          <w:kern w:val="0"/>
          <w:sz w:val="19"/>
          <w:szCs w:val="19"/>
        </w:rPr>
        <w:t xml:space="preserve"> June-July 2026 based on hotel availability</w:t>
      </w:r>
      <w:r w:rsidRPr="00447266">
        <w:rPr>
          <w:rFonts w:ascii="Times New Roman" w:hAnsi="Times New Roman" w:cs="Times New Roman"/>
          <w:kern w:val="0"/>
          <w:sz w:val="19"/>
          <w:szCs w:val="19"/>
        </w:rPr>
        <w:t>.</w:t>
      </w:r>
    </w:p>
    <w:p w14:paraId="7F28F20C" w14:textId="77777777" w:rsidR="00561214" w:rsidRPr="00447266" w:rsidRDefault="00561214" w:rsidP="00561214">
      <w:pPr>
        <w:rPr>
          <w:rFonts w:ascii="Times New Roman" w:hAnsi="Times New Roman" w:cs="Times New Roman"/>
          <w:kern w:val="0"/>
          <w:sz w:val="19"/>
          <w:szCs w:val="19"/>
        </w:rPr>
      </w:pPr>
      <w:r>
        <w:rPr>
          <w:rFonts w:ascii="Times New Roman" w:hAnsi="Times New Roman" w:cs="Times New Roman"/>
          <w:kern w:val="0"/>
          <w:sz w:val="19"/>
          <w:szCs w:val="19"/>
        </w:rPr>
        <w:t>Base</w:t>
      </w:r>
      <w:r w:rsidRPr="00447266">
        <w:rPr>
          <w:rFonts w:ascii="Times New Roman" w:hAnsi="Times New Roman" w:cs="Times New Roman"/>
          <w:kern w:val="0"/>
          <w:sz w:val="19"/>
          <w:szCs w:val="19"/>
        </w:rPr>
        <w:t xml:space="preserve"> - June to </w:t>
      </w:r>
      <w:r>
        <w:rPr>
          <w:rFonts w:ascii="Times New Roman" w:hAnsi="Times New Roman" w:cs="Times New Roman"/>
          <w:kern w:val="0"/>
          <w:sz w:val="19"/>
          <w:szCs w:val="19"/>
        </w:rPr>
        <w:t xml:space="preserve">July </w:t>
      </w:r>
      <w:r w:rsidRPr="00447266">
        <w:rPr>
          <w:rFonts w:ascii="Times New Roman" w:hAnsi="Times New Roman" w:cs="Times New Roman"/>
          <w:kern w:val="0"/>
          <w:sz w:val="19"/>
          <w:szCs w:val="19"/>
        </w:rPr>
        <w:t>202</w:t>
      </w:r>
      <w:r>
        <w:rPr>
          <w:rFonts w:ascii="Times New Roman" w:hAnsi="Times New Roman" w:cs="Times New Roman"/>
          <w:kern w:val="0"/>
          <w:sz w:val="19"/>
          <w:szCs w:val="19"/>
        </w:rPr>
        <w:t>6</w:t>
      </w:r>
      <w:r w:rsidRPr="00447266">
        <w:rPr>
          <w:rFonts w:ascii="Times New Roman" w:hAnsi="Times New Roman" w:cs="Times New Roman"/>
          <w:kern w:val="0"/>
          <w:sz w:val="19"/>
          <w:szCs w:val="19"/>
        </w:rPr>
        <w:t xml:space="preserve"> (exact dates to be determined based on general hotel availability)</w:t>
      </w:r>
    </w:p>
    <w:p w14:paraId="60DABB81"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b/>
          <w:bCs/>
          <w:kern w:val="0"/>
          <w:sz w:val="19"/>
          <w:szCs w:val="19"/>
        </w:rPr>
        <w:t>5.2. Place of Performance</w:t>
      </w:r>
      <w:r w:rsidRPr="00447266">
        <w:rPr>
          <w:rFonts w:ascii="Times New Roman" w:hAnsi="Times New Roman" w:cs="Times New Roman"/>
          <w:kern w:val="0"/>
          <w:sz w:val="19"/>
          <w:szCs w:val="19"/>
        </w:rPr>
        <w:t xml:space="preserve">-- Provide web-based registration services and on-site support for the </w:t>
      </w:r>
      <w:r w:rsidRPr="00604C0D">
        <w:rPr>
          <w:rFonts w:ascii="Times New Roman" w:hAnsi="Times New Roman" w:cs="Times New Roman"/>
          <w:kern w:val="0"/>
          <w:sz w:val="19"/>
          <w:szCs w:val="19"/>
        </w:rPr>
        <w:t xml:space="preserve">FY26 OPNAV N80 </w:t>
      </w:r>
      <w:r>
        <w:rPr>
          <w:rFonts w:ascii="Times New Roman" w:hAnsi="Times New Roman" w:cs="Times New Roman"/>
          <w:kern w:val="0"/>
          <w:sz w:val="19"/>
          <w:szCs w:val="19"/>
        </w:rPr>
        <w:t>Industry Engagement Session</w:t>
      </w:r>
      <w:r w:rsidRPr="00447266">
        <w:rPr>
          <w:rFonts w:ascii="Times New Roman" w:hAnsi="Times New Roman" w:cs="Times New Roman"/>
          <w:kern w:val="0"/>
          <w:sz w:val="19"/>
          <w:szCs w:val="19"/>
        </w:rPr>
        <w:t xml:space="preserve"> </w:t>
      </w:r>
      <w:r>
        <w:rPr>
          <w:rFonts w:ascii="Times New Roman" w:hAnsi="Times New Roman" w:cs="Times New Roman"/>
          <w:kern w:val="0"/>
          <w:sz w:val="19"/>
          <w:szCs w:val="19"/>
        </w:rPr>
        <w:t>three weeks prior to the event</w:t>
      </w:r>
      <w:r w:rsidRPr="00447266">
        <w:rPr>
          <w:rFonts w:ascii="Times New Roman" w:hAnsi="Times New Roman" w:cs="Times New Roman"/>
          <w:kern w:val="0"/>
          <w:sz w:val="19"/>
          <w:szCs w:val="19"/>
        </w:rPr>
        <w:t>.</w:t>
      </w:r>
    </w:p>
    <w:p w14:paraId="42583B86"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5.3. Minimum Qualifications--</w:t>
      </w:r>
    </w:p>
    <w:p w14:paraId="4DF06097"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a. Vendor and account management</w:t>
      </w:r>
    </w:p>
    <w:p w14:paraId="19B663B0"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b. Food and beverage management</w:t>
      </w:r>
    </w:p>
    <w:p w14:paraId="051B20D2"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c. On-Site support</w:t>
      </w:r>
    </w:p>
    <w:p w14:paraId="7CC6CF82"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d. Online registration and website management</w:t>
      </w:r>
    </w:p>
    <w:p w14:paraId="7213A968"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e. Master account and financial management</w:t>
      </w:r>
    </w:p>
    <w:p w14:paraId="7756EC4B"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f. Event coordination</w:t>
      </w:r>
    </w:p>
    <w:p w14:paraId="5CB400A4"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lastRenderedPageBreak/>
        <w:t>g. Meeting space management</w:t>
      </w:r>
    </w:p>
    <w:p w14:paraId="0089761D"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5.4. Government Furnished Equipment/Property/Information--NIPR Laptop and workstation</w:t>
      </w:r>
    </w:p>
    <w:p w14:paraId="3484E48B"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5.5. Security Requirements--The highest level of security required for this requirement is UNCLASSIFIED.</w:t>
      </w:r>
    </w:p>
    <w:p w14:paraId="69407034"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5.6. </w:t>
      </w:r>
      <w:proofErr w:type="gramStart"/>
      <w:r w:rsidRPr="00447266">
        <w:rPr>
          <w:rFonts w:ascii="Times New Roman" w:hAnsi="Times New Roman" w:cs="Times New Roman"/>
          <w:kern w:val="0"/>
          <w:sz w:val="19"/>
          <w:szCs w:val="19"/>
        </w:rPr>
        <w:t>Travel--One</w:t>
      </w:r>
      <w:proofErr w:type="gramEnd"/>
      <w:r w:rsidRPr="00447266">
        <w:rPr>
          <w:rFonts w:ascii="Times New Roman" w:hAnsi="Times New Roman" w:cs="Times New Roman"/>
          <w:kern w:val="0"/>
          <w:sz w:val="19"/>
          <w:szCs w:val="19"/>
        </w:rPr>
        <w:t xml:space="preserve"> (1) On-site registration manager will be required to travel and be on-site for the duration of the</w:t>
      </w:r>
      <w:r>
        <w:rPr>
          <w:rFonts w:ascii="Times New Roman" w:hAnsi="Times New Roman" w:cs="Times New Roman"/>
          <w:kern w:val="0"/>
          <w:sz w:val="19"/>
          <w:szCs w:val="19"/>
        </w:rPr>
        <w:t xml:space="preserve"> </w:t>
      </w:r>
      <w:proofErr w:type="gramStart"/>
      <w:r>
        <w:rPr>
          <w:rFonts w:ascii="Times New Roman" w:hAnsi="Times New Roman" w:cs="Times New Roman"/>
          <w:kern w:val="0"/>
          <w:sz w:val="19"/>
          <w:szCs w:val="19"/>
        </w:rPr>
        <w:t>two day</w:t>
      </w:r>
      <w:proofErr w:type="gramEnd"/>
      <w:r>
        <w:rPr>
          <w:rFonts w:ascii="Times New Roman" w:hAnsi="Times New Roman" w:cs="Times New Roman"/>
          <w:kern w:val="0"/>
          <w:sz w:val="19"/>
          <w:szCs w:val="19"/>
        </w:rPr>
        <w:t xml:space="preserve"> industry engagement session</w:t>
      </w:r>
      <w:r w:rsidRPr="00447266">
        <w:rPr>
          <w:rFonts w:ascii="Times New Roman" w:hAnsi="Times New Roman" w:cs="Times New Roman"/>
          <w:kern w:val="0"/>
          <w:sz w:val="19"/>
          <w:szCs w:val="19"/>
        </w:rPr>
        <w:t>.</w:t>
      </w:r>
    </w:p>
    <w:p w14:paraId="681D59B6"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5.7. Other Direct Costs (ODCs)--No ODCs required.</w:t>
      </w:r>
    </w:p>
    <w:p w14:paraId="490782F8"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5.8. Audio/Visual Minimum Requirement</w:t>
      </w:r>
    </w:p>
    <w:p w14:paraId="4038347E"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a. Visual Display - can be either projected or LED/HD TV comparable to</w:t>
      </w:r>
    </w:p>
    <w:p w14:paraId="47429BCA" w14:textId="77777777" w:rsidR="00561214" w:rsidRPr="00447266" w:rsidRDefault="00561214" w:rsidP="00561214">
      <w:pPr>
        <w:rPr>
          <w:rFonts w:ascii="Times New Roman" w:hAnsi="Times New Roman" w:cs="Times New Roman"/>
          <w:kern w:val="0"/>
          <w:sz w:val="19"/>
          <w:szCs w:val="19"/>
        </w:rPr>
      </w:pPr>
      <w:proofErr w:type="spellStart"/>
      <w:r w:rsidRPr="00447266">
        <w:rPr>
          <w:rFonts w:ascii="Times New Roman" w:hAnsi="Times New Roman" w:cs="Times New Roman"/>
          <w:kern w:val="0"/>
          <w:sz w:val="19"/>
          <w:szCs w:val="19"/>
        </w:rPr>
        <w:t>i</w:t>
      </w:r>
      <w:proofErr w:type="spellEnd"/>
      <w:r w:rsidRPr="00447266">
        <w:rPr>
          <w:rFonts w:ascii="Times New Roman" w:hAnsi="Times New Roman" w:cs="Times New Roman"/>
          <w:kern w:val="0"/>
          <w:sz w:val="19"/>
          <w:szCs w:val="19"/>
        </w:rPr>
        <w:t>. Two (2) 8' Tripod Screens</w:t>
      </w:r>
    </w:p>
    <w:p w14:paraId="615F824D"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ii. Two (2) 34" Rolling Carts</w:t>
      </w:r>
    </w:p>
    <w:p w14:paraId="2816AFB9"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iii. Two (2) 3200 Lumen Video Projectors</w:t>
      </w:r>
    </w:p>
    <w:p w14:paraId="09600754"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iv. Video Cables</w:t>
      </w:r>
    </w:p>
    <w:p w14:paraId="4405E10E"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v. TEAMS Conference Call Compatible</w:t>
      </w:r>
    </w:p>
    <w:p w14:paraId="3097B120"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b. Amplification</w:t>
      </w:r>
    </w:p>
    <w:p w14:paraId="4672E6B3" w14:textId="77777777" w:rsidR="00561214" w:rsidRPr="00447266" w:rsidRDefault="00561214" w:rsidP="00561214">
      <w:pPr>
        <w:rPr>
          <w:rFonts w:ascii="Times New Roman" w:hAnsi="Times New Roman" w:cs="Times New Roman"/>
          <w:kern w:val="0"/>
          <w:sz w:val="19"/>
          <w:szCs w:val="19"/>
        </w:rPr>
      </w:pPr>
      <w:proofErr w:type="spellStart"/>
      <w:r w:rsidRPr="00447266">
        <w:rPr>
          <w:rFonts w:ascii="Times New Roman" w:hAnsi="Times New Roman" w:cs="Times New Roman"/>
          <w:kern w:val="0"/>
          <w:sz w:val="19"/>
          <w:szCs w:val="19"/>
        </w:rPr>
        <w:t>i</w:t>
      </w:r>
      <w:proofErr w:type="spellEnd"/>
      <w:r w:rsidRPr="00447266">
        <w:rPr>
          <w:rFonts w:ascii="Times New Roman" w:hAnsi="Times New Roman" w:cs="Times New Roman"/>
          <w:kern w:val="0"/>
          <w:sz w:val="19"/>
          <w:szCs w:val="19"/>
        </w:rPr>
        <w:t>. Podium Gooseneck Microphone</w:t>
      </w:r>
    </w:p>
    <w:p w14:paraId="41094535"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ii. Lavalier Microphone with Receiver</w:t>
      </w:r>
    </w:p>
    <w:p w14:paraId="1BB0D67A"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iii. Two (2) Wireless Handheld Microphones with Receiver</w:t>
      </w:r>
    </w:p>
    <w:p w14:paraId="6A20C016"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iv. Computer Sound Patch</w:t>
      </w:r>
    </w:p>
    <w:p w14:paraId="05760DEC"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v. Two (2) 8" 2-Way Self-Powered Speakers</w:t>
      </w:r>
    </w:p>
    <w:p w14:paraId="1D00C8DD"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vi. 10 Channel Mixer</w:t>
      </w:r>
    </w:p>
    <w:p w14:paraId="42268D9E"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vii. Audio Cable</w:t>
      </w:r>
    </w:p>
    <w:p w14:paraId="5C13BD3D"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c. Set Up</w:t>
      </w:r>
    </w:p>
    <w:p w14:paraId="7C4FBB00" w14:textId="77777777" w:rsidR="00561214" w:rsidRPr="00447266" w:rsidRDefault="00561214" w:rsidP="00561214">
      <w:pPr>
        <w:rPr>
          <w:rFonts w:ascii="Times New Roman" w:hAnsi="Times New Roman" w:cs="Times New Roman"/>
          <w:b/>
          <w:bCs/>
          <w:kern w:val="0"/>
          <w:sz w:val="19"/>
          <w:szCs w:val="19"/>
        </w:rPr>
      </w:pPr>
      <w:r w:rsidRPr="00447266">
        <w:rPr>
          <w:rFonts w:ascii="Times New Roman" w:hAnsi="Times New Roman" w:cs="Times New Roman"/>
          <w:b/>
          <w:bCs/>
          <w:kern w:val="0"/>
          <w:sz w:val="19"/>
          <w:szCs w:val="19"/>
        </w:rPr>
        <w:t>5.9. Conference Space Requirement</w:t>
      </w:r>
    </w:p>
    <w:p w14:paraId="19C5FA25"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a. 5700 sq ft space</w:t>
      </w:r>
    </w:p>
    <w:p w14:paraId="5B1A1CC1"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b. 4000 sq ft space with Round Tables </w:t>
      </w:r>
    </w:p>
    <w:p w14:paraId="13CE049D"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c. 6000 sq ft space for plenary sessions with Round Tables </w:t>
      </w:r>
    </w:p>
    <w:p w14:paraId="6193AF1C"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 xml:space="preserve">d. Eight (8) 500 sq ft breakout rooms with Chairs </w:t>
      </w:r>
    </w:p>
    <w:p w14:paraId="79B1A839" w14:textId="77777777" w:rsidR="00561214" w:rsidRPr="00447266" w:rsidRDefault="00561214" w:rsidP="00561214">
      <w:pPr>
        <w:rPr>
          <w:rFonts w:ascii="Times New Roman" w:hAnsi="Times New Roman" w:cs="Times New Roman"/>
          <w:kern w:val="0"/>
          <w:sz w:val="19"/>
          <w:szCs w:val="19"/>
        </w:rPr>
      </w:pPr>
      <w:r w:rsidRPr="00447266">
        <w:rPr>
          <w:rFonts w:ascii="Times New Roman" w:hAnsi="Times New Roman" w:cs="Times New Roman"/>
          <w:kern w:val="0"/>
          <w:sz w:val="19"/>
          <w:szCs w:val="19"/>
        </w:rPr>
        <w:t>7. Performance Standards</w:t>
      </w:r>
    </w:p>
    <w:p w14:paraId="2F8F97DB" w14:textId="77777777" w:rsidR="00561214" w:rsidRPr="006716CE" w:rsidRDefault="00561214" w:rsidP="00561214">
      <w:pPr>
        <w:rPr>
          <w:rFonts w:ascii="Times New Roman" w:hAnsi="Times New Roman" w:cs="Times New Roman"/>
          <w:b/>
          <w:bCs/>
          <w:kern w:val="0"/>
          <w:sz w:val="19"/>
          <w:szCs w:val="19"/>
        </w:rPr>
      </w:pPr>
      <w:r w:rsidRPr="006716CE">
        <w:rPr>
          <w:rFonts w:ascii="Times New Roman" w:hAnsi="Times New Roman" w:cs="Times New Roman"/>
          <w:b/>
          <w:bCs/>
          <w:kern w:val="0"/>
          <w:sz w:val="19"/>
          <w:szCs w:val="19"/>
        </w:rPr>
        <w:t>Performance Requirements Summary (PRS)</w:t>
      </w:r>
    </w:p>
    <w:tbl>
      <w:tblPr>
        <w:tblW w:w="10620" w:type="dxa"/>
        <w:tblInd w:w="-623" w:type="dxa"/>
        <w:tblCellMar>
          <w:top w:w="15" w:type="dxa"/>
          <w:left w:w="15" w:type="dxa"/>
          <w:bottom w:w="15" w:type="dxa"/>
          <w:right w:w="15" w:type="dxa"/>
        </w:tblCellMar>
        <w:tblLook w:val="04A0" w:firstRow="1" w:lastRow="0" w:firstColumn="1" w:lastColumn="0" w:noHBand="0" w:noVBand="1"/>
      </w:tblPr>
      <w:tblGrid>
        <w:gridCol w:w="4861"/>
        <w:gridCol w:w="1649"/>
        <w:gridCol w:w="1824"/>
        <w:gridCol w:w="2286"/>
      </w:tblGrid>
      <w:tr w:rsidR="00561214" w:rsidRPr="006716CE" w14:paraId="098629E9" w14:textId="77777777" w:rsidTr="00396DF7">
        <w:tc>
          <w:tcPr>
            <w:tcW w:w="0" w:type="auto"/>
            <w:tcBorders>
              <w:bottom w:val="single" w:sz="6" w:space="0" w:color="E1E3E1"/>
            </w:tcBorders>
            <w:tcMar>
              <w:top w:w="120" w:type="dxa"/>
              <w:left w:w="120" w:type="dxa"/>
              <w:bottom w:w="120" w:type="dxa"/>
              <w:right w:w="120" w:type="dxa"/>
            </w:tcMar>
            <w:hideMark/>
          </w:tcPr>
          <w:p w14:paraId="32C17DDB"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Performance Element</w:t>
            </w:r>
          </w:p>
        </w:tc>
        <w:tc>
          <w:tcPr>
            <w:tcW w:w="0" w:type="auto"/>
            <w:tcBorders>
              <w:bottom w:val="single" w:sz="6" w:space="0" w:color="E1E3E1"/>
            </w:tcBorders>
            <w:tcMar>
              <w:top w:w="120" w:type="dxa"/>
              <w:left w:w="120" w:type="dxa"/>
              <w:bottom w:w="120" w:type="dxa"/>
              <w:right w:w="120" w:type="dxa"/>
            </w:tcMar>
            <w:hideMark/>
          </w:tcPr>
          <w:p w14:paraId="44061778"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Surveillance Method</w:t>
            </w:r>
          </w:p>
        </w:tc>
        <w:tc>
          <w:tcPr>
            <w:tcW w:w="0" w:type="auto"/>
            <w:tcBorders>
              <w:bottom w:val="single" w:sz="6" w:space="0" w:color="E1E3E1"/>
            </w:tcBorders>
            <w:tcMar>
              <w:top w:w="120" w:type="dxa"/>
              <w:left w:w="120" w:type="dxa"/>
              <w:bottom w:w="120" w:type="dxa"/>
              <w:right w:w="120" w:type="dxa"/>
            </w:tcMar>
            <w:hideMark/>
          </w:tcPr>
          <w:p w14:paraId="38BF396D"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Frequency</w:t>
            </w:r>
          </w:p>
        </w:tc>
        <w:tc>
          <w:tcPr>
            <w:tcW w:w="0" w:type="auto"/>
            <w:tcBorders>
              <w:bottom w:val="single" w:sz="6" w:space="0" w:color="E1E3E1"/>
            </w:tcBorders>
            <w:tcMar>
              <w:top w:w="120" w:type="dxa"/>
              <w:left w:w="120" w:type="dxa"/>
              <w:bottom w:w="120" w:type="dxa"/>
              <w:right w:w="120" w:type="dxa"/>
            </w:tcMar>
            <w:hideMark/>
          </w:tcPr>
          <w:p w14:paraId="1B0AD47B"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Acceptable Quality Level</w:t>
            </w:r>
          </w:p>
        </w:tc>
      </w:tr>
      <w:tr w:rsidR="00561214" w:rsidRPr="006716CE" w14:paraId="1DB0E02D" w14:textId="77777777" w:rsidTr="00396DF7">
        <w:tc>
          <w:tcPr>
            <w:tcW w:w="0" w:type="auto"/>
            <w:tcBorders>
              <w:bottom w:val="single" w:sz="6" w:space="0" w:color="E1E3E1"/>
            </w:tcBorders>
            <w:tcMar>
              <w:top w:w="120" w:type="dxa"/>
              <w:left w:w="120" w:type="dxa"/>
              <w:bottom w:w="120" w:type="dxa"/>
              <w:right w:w="120" w:type="dxa"/>
            </w:tcMar>
            <w:hideMark/>
          </w:tcPr>
          <w:p w14:paraId="7B027E19"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lastRenderedPageBreak/>
              <w:t>Contract Deliverables: Furnished as prescribed in the PWS, attachments, CDRLs, Task Orders, etc., as applicable.</w:t>
            </w:r>
          </w:p>
        </w:tc>
        <w:tc>
          <w:tcPr>
            <w:tcW w:w="0" w:type="auto"/>
            <w:tcBorders>
              <w:bottom w:val="single" w:sz="6" w:space="0" w:color="E1E3E1"/>
            </w:tcBorders>
            <w:tcMar>
              <w:top w:w="120" w:type="dxa"/>
              <w:left w:w="120" w:type="dxa"/>
              <w:bottom w:w="120" w:type="dxa"/>
              <w:right w:w="120" w:type="dxa"/>
            </w:tcMar>
            <w:hideMark/>
          </w:tcPr>
          <w:p w14:paraId="29AC769A"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Inspection by the COR</w:t>
            </w:r>
          </w:p>
        </w:tc>
        <w:tc>
          <w:tcPr>
            <w:tcW w:w="0" w:type="auto"/>
            <w:tcBorders>
              <w:bottom w:val="single" w:sz="6" w:space="0" w:color="E1E3E1"/>
            </w:tcBorders>
            <w:tcMar>
              <w:top w:w="120" w:type="dxa"/>
              <w:left w:w="120" w:type="dxa"/>
              <w:bottom w:w="120" w:type="dxa"/>
              <w:right w:w="120" w:type="dxa"/>
            </w:tcMar>
            <w:hideMark/>
          </w:tcPr>
          <w:p w14:paraId="584EAC9D"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100% inspection of all contract deliverables.</w:t>
            </w:r>
          </w:p>
        </w:tc>
        <w:tc>
          <w:tcPr>
            <w:tcW w:w="0" w:type="auto"/>
            <w:tcBorders>
              <w:bottom w:val="single" w:sz="6" w:space="0" w:color="E1E3E1"/>
            </w:tcBorders>
            <w:tcMar>
              <w:top w:w="120" w:type="dxa"/>
              <w:left w:w="120" w:type="dxa"/>
              <w:bottom w:w="120" w:type="dxa"/>
              <w:right w:w="120" w:type="dxa"/>
            </w:tcMar>
            <w:hideMark/>
          </w:tcPr>
          <w:p w14:paraId="5D40E57D"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&gt;95% of deliverables submitted timely and without rework required.</w:t>
            </w:r>
          </w:p>
        </w:tc>
      </w:tr>
      <w:tr w:rsidR="00561214" w:rsidRPr="006716CE" w14:paraId="0550EBE3" w14:textId="77777777" w:rsidTr="00396DF7">
        <w:tc>
          <w:tcPr>
            <w:tcW w:w="0" w:type="auto"/>
            <w:tcBorders>
              <w:bottom w:val="single" w:sz="6" w:space="0" w:color="E1E3E1"/>
            </w:tcBorders>
            <w:tcMar>
              <w:top w:w="120" w:type="dxa"/>
              <w:left w:w="120" w:type="dxa"/>
              <w:bottom w:w="120" w:type="dxa"/>
              <w:right w:w="120" w:type="dxa"/>
            </w:tcMar>
            <w:hideMark/>
          </w:tcPr>
          <w:p w14:paraId="2594EA2D"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Overall Contract Performance: Performance of sufficient quality to earn a Satisfactory (or higher) rating in the COR's annual report on Contractor Performance.</w:t>
            </w:r>
          </w:p>
        </w:tc>
        <w:tc>
          <w:tcPr>
            <w:tcW w:w="0" w:type="auto"/>
            <w:tcBorders>
              <w:bottom w:val="single" w:sz="6" w:space="0" w:color="E1E3E1"/>
            </w:tcBorders>
            <w:tcMar>
              <w:top w:w="120" w:type="dxa"/>
              <w:left w:w="120" w:type="dxa"/>
              <w:bottom w:w="120" w:type="dxa"/>
              <w:right w:w="120" w:type="dxa"/>
            </w:tcMar>
            <w:hideMark/>
          </w:tcPr>
          <w:p w14:paraId="5CE8934B"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Assessment by the COR</w:t>
            </w:r>
          </w:p>
        </w:tc>
        <w:tc>
          <w:tcPr>
            <w:tcW w:w="0" w:type="auto"/>
            <w:tcBorders>
              <w:bottom w:val="single" w:sz="6" w:space="0" w:color="E1E3E1"/>
            </w:tcBorders>
            <w:tcMar>
              <w:top w:w="120" w:type="dxa"/>
              <w:left w:w="120" w:type="dxa"/>
              <w:bottom w:w="120" w:type="dxa"/>
              <w:right w:w="120" w:type="dxa"/>
            </w:tcMar>
            <w:hideMark/>
          </w:tcPr>
          <w:p w14:paraId="61678101"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Annual</w:t>
            </w:r>
          </w:p>
        </w:tc>
        <w:tc>
          <w:tcPr>
            <w:tcW w:w="0" w:type="auto"/>
            <w:tcBorders>
              <w:bottom w:val="single" w:sz="6" w:space="0" w:color="E1E3E1"/>
            </w:tcBorders>
            <w:tcMar>
              <w:top w:w="120" w:type="dxa"/>
              <w:left w:w="120" w:type="dxa"/>
              <w:bottom w:w="120" w:type="dxa"/>
              <w:right w:w="120" w:type="dxa"/>
            </w:tcMar>
            <w:hideMark/>
          </w:tcPr>
          <w:p w14:paraId="5ACCFE9E"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All performance elements rated Satisfactory (or higher).</w:t>
            </w:r>
          </w:p>
        </w:tc>
      </w:tr>
      <w:tr w:rsidR="00561214" w:rsidRPr="006716CE" w14:paraId="47B9A736" w14:textId="77777777" w:rsidTr="00396DF7">
        <w:tc>
          <w:tcPr>
            <w:tcW w:w="0" w:type="auto"/>
            <w:tcBorders>
              <w:bottom w:val="nil"/>
            </w:tcBorders>
            <w:tcMar>
              <w:top w:w="120" w:type="dxa"/>
              <w:left w:w="120" w:type="dxa"/>
              <w:bottom w:w="120" w:type="dxa"/>
              <w:right w:w="120" w:type="dxa"/>
            </w:tcMar>
            <w:hideMark/>
          </w:tcPr>
          <w:p w14:paraId="0C7619F1"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Invoicing: Monthly invoices per contract procedures are timely and accurate.</w:t>
            </w:r>
          </w:p>
        </w:tc>
        <w:tc>
          <w:tcPr>
            <w:tcW w:w="0" w:type="auto"/>
            <w:tcBorders>
              <w:bottom w:val="nil"/>
            </w:tcBorders>
            <w:tcMar>
              <w:top w:w="120" w:type="dxa"/>
              <w:left w:w="120" w:type="dxa"/>
              <w:bottom w:w="120" w:type="dxa"/>
              <w:right w:w="120" w:type="dxa"/>
            </w:tcMar>
            <w:hideMark/>
          </w:tcPr>
          <w:p w14:paraId="29CDE80D"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Review &amp; acceptance of the invoice</w:t>
            </w:r>
          </w:p>
        </w:tc>
        <w:tc>
          <w:tcPr>
            <w:tcW w:w="0" w:type="auto"/>
            <w:tcBorders>
              <w:bottom w:val="nil"/>
            </w:tcBorders>
            <w:tcMar>
              <w:top w:w="120" w:type="dxa"/>
              <w:left w:w="120" w:type="dxa"/>
              <w:bottom w:w="120" w:type="dxa"/>
              <w:right w:w="120" w:type="dxa"/>
            </w:tcMar>
            <w:hideMark/>
          </w:tcPr>
          <w:p w14:paraId="5B4C08B9"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Monthly</w:t>
            </w:r>
          </w:p>
        </w:tc>
        <w:tc>
          <w:tcPr>
            <w:tcW w:w="0" w:type="auto"/>
            <w:tcBorders>
              <w:bottom w:val="nil"/>
            </w:tcBorders>
            <w:tcMar>
              <w:top w:w="120" w:type="dxa"/>
              <w:left w:w="120" w:type="dxa"/>
              <w:bottom w:w="120" w:type="dxa"/>
              <w:right w:w="120" w:type="dxa"/>
            </w:tcMar>
            <w:hideMark/>
          </w:tcPr>
          <w:p w14:paraId="0EF77E6C" w14:textId="77777777" w:rsidR="00561214" w:rsidRPr="006716CE" w:rsidRDefault="00561214" w:rsidP="00396DF7">
            <w:pPr>
              <w:rPr>
                <w:rFonts w:ascii="Times New Roman" w:hAnsi="Times New Roman" w:cs="Times New Roman"/>
                <w:kern w:val="0"/>
                <w:sz w:val="19"/>
                <w:szCs w:val="19"/>
              </w:rPr>
            </w:pPr>
            <w:r w:rsidRPr="006716CE">
              <w:rPr>
                <w:rFonts w:ascii="Times New Roman" w:hAnsi="Times New Roman" w:cs="Times New Roman"/>
                <w:kern w:val="0"/>
                <w:sz w:val="19"/>
                <w:szCs w:val="19"/>
              </w:rPr>
              <w:t xml:space="preserve">100% </w:t>
            </w:r>
            <w:proofErr w:type="gramStart"/>
            <w:r w:rsidRPr="006716CE">
              <w:rPr>
                <w:rFonts w:ascii="Times New Roman" w:hAnsi="Times New Roman" w:cs="Times New Roman"/>
                <w:kern w:val="0"/>
                <w:sz w:val="19"/>
                <w:szCs w:val="19"/>
              </w:rPr>
              <w:t>accuracy</w:t>
            </w:r>
            <w:proofErr w:type="gramEnd"/>
            <w:r w:rsidRPr="006716CE">
              <w:rPr>
                <w:rFonts w:ascii="Times New Roman" w:hAnsi="Times New Roman" w:cs="Times New Roman"/>
                <w:kern w:val="0"/>
                <w:sz w:val="19"/>
                <w:szCs w:val="19"/>
              </w:rPr>
              <w:t>.</w:t>
            </w:r>
          </w:p>
        </w:tc>
      </w:tr>
    </w:tbl>
    <w:p w14:paraId="3850A260" w14:textId="77777777" w:rsidR="00561214" w:rsidRPr="006716CE" w:rsidRDefault="00561214" w:rsidP="00561214">
      <w:pPr>
        <w:rPr>
          <w:rFonts w:ascii="Times New Roman" w:hAnsi="Times New Roman" w:cs="Times New Roman"/>
          <w:kern w:val="0"/>
          <w:sz w:val="19"/>
          <w:szCs w:val="19"/>
        </w:rPr>
      </w:pPr>
      <w:r w:rsidRPr="006716CE">
        <w:rPr>
          <w:rFonts w:ascii="Times New Roman" w:hAnsi="Times New Roman" w:cs="Times New Roman"/>
          <w:kern w:val="0"/>
          <w:sz w:val="19"/>
          <w:szCs w:val="19"/>
        </w:rPr>
        <w:t> </w:t>
      </w:r>
    </w:p>
    <w:p w14:paraId="08721BF6" w14:textId="77777777" w:rsidR="00561214" w:rsidRPr="006716CE" w:rsidRDefault="00561214" w:rsidP="00561214">
      <w:pPr>
        <w:rPr>
          <w:rFonts w:ascii="Times New Roman" w:hAnsi="Times New Roman" w:cs="Times New Roman"/>
          <w:kern w:val="0"/>
          <w:sz w:val="19"/>
          <w:szCs w:val="19"/>
        </w:rPr>
      </w:pPr>
      <w:r>
        <w:rPr>
          <w:rFonts w:ascii="Times New Roman" w:hAnsi="Times New Roman" w:cs="Times New Roman"/>
          <w:kern w:val="0"/>
          <w:sz w:val="19"/>
          <w:szCs w:val="19"/>
        </w:rPr>
        <w:pict w14:anchorId="6D348586">
          <v:rect id="_x0000_i1025" style="width:0;height:1.5pt" o:hralign="center" o:hrstd="t" o:hr="t" fillcolor="#a0a0a0" stroked="f"/>
        </w:pict>
      </w:r>
    </w:p>
    <w:p w14:paraId="1CA7731A" w14:textId="77777777" w:rsidR="00561214" w:rsidRPr="006716CE" w:rsidRDefault="00561214" w:rsidP="00561214">
      <w:pPr>
        <w:rPr>
          <w:rFonts w:ascii="Times New Roman" w:hAnsi="Times New Roman" w:cs="Times New Roman"/>
          <w:b/>
          <w:bCs/>
          <w:kern w:val="0"/>
          <w:sz w:val="19"/>
          <w:szCs w:val="19"/>
        </w:rPr>
      </w:pPr>
      <w:r w:rsidRPr="006716CE">
        <w:rPr>
          <w:rFonts w:ascii="Times New Roman" w:hAnsi="Times New Roman" w:cs="Times New Roman"/>
          <w:b/>
          <w:bCs/>
          <w:kern w:val="0"/>
          <w:sz w:val="19"/>
          <w:szCs w:val="19"/>
        </w:rPr>
        <w:t>8. Points of Contact</w:t>
      </w:r>
    </w:p>
    <w:p w14:paraId="5EF771E7" w14:textId="77777777" w:rsidR="00561214" w:rsidRPr="006716CE" w:rsidRDefault="00561214" w:rsidP="00561214">
      <w:pPr>
        <w:rPr>
          <w:rFonts w:ascii="Times New Roman" w:hAnsi="Times New Roman" w:cs="Times New Roman"/>
          <w:kern w:val="0"/>
          <w:sz w:val="19"/>
          <w:szCs w:val="19"/>
        </w:rPr>
      </w:pPr>
      <w:r w:rsidRPr="006716CE">
        <w:rPr>
          <w:rFonts w:ascii="Times New Roman" w:hAnsi="Times New Roman" w:cs="Times New Roman"/>
          <w:kern w:val="0"/>
          <w:sz w:val="19"/>
          <w:szCs w:val="19"/>
        </w:rPr>
        <w:t>Contracting Officer Representative (COR)</w:t>
      </w:r>
      <w:r w:rsidRPr="006716CE">
        <w:rPr>
          <w:rFonts w:ascii="Times New Roman" w:hAnsi="Times New Roman" w:cs="Times New Roman"/>
          <w:kern w:val="0"/>
          <w:sz w:val="19"/>
          <w:szCs w:val="19"/>
        </w:rPr>
        <w:br/>
      </w:r>
      <w:r>
        <w:rPr>
          <w:rFonts w:ascii="Times New Roman" w:hAnsi="Times New Roman" w:cs="Times New Roman"/>
          <w:kern w:val="0"/>
          <w:sz w:val="19"/>
          <w:szCs w:val="19"/>
        </w:rPr>
        <w:t>Maryam Atkins</w:t>
      </w:r>
      <w:r w:rsidRPr="006716CE">
        <w:rPr>
          <w:rFonts w:ascii="Times New Roman" w:hAnsi="Times New Roman" w:cs="Times New Roman"/>
          <w:kern w:val="0"/>
          <w:sz w:val="19"/>
          <w:szCs w:val="19"/>
        </w:rPr>
        <w:br/>
        <w:t>Contracting Officer Representative</w:t>
      </w:r>
      <w:r w:rsidRPr="006716CE">
        <w:rPr>
          <w:rFonts w:ascii="Times New Roman" w:hAnsi="Times New Roman" w:cs="Times New Roman"/>
          <w:kern w:val="0"/>
          <w:sz w:val="19"/>
          <w:szCs w:val="19"/>
        </w:rPr>
        <w:br/>
        <w:t xml:space="preserve">OPNAV </w:t>
      </w:r>
      <w:r>
        <w:rPr>
          <w:rFonts w:ascii="Times New Roman" w:hAnsi="Times New Roman" w:cs="Times New Roman"/>
          <w:kern w:val="0"/>
          <w:sz w:val="19"/>
          <w:szCs w:val="19"/>
        </w:rPr>
        <w:t>N80</w:t>
      </w:r>
      <w:r w:rsidRPr="006716CE">
        <w:rPr>
          <w:rFonts w:ascii="Times New Roman" w:hAnsi="Times New Roman" w:cs="Times New Roman"/>
          <w:kern w:val="0"/>
          <w:sz w:val="19"/>
          <w:szCs w:val="19"/>
        </w:rPr>
        <w:br/>
        <w:t>2000 Navy Pentagon</w:t>
      </w:r>
      <w:r w:rsidRPr="006716CE">
        <w:rPr>
          <w:rFonts w:ascii="Times New Roman" w:hAnsi="Times New Roman" w:cs="Times New Roman"/>
          <w:kern w:val="0"/>
          <w:sz w:val="19"/>
          <w:szCs w:val="19"/>
        </w:rPr>
        <w:br/>
        <w:t>Washington, DC 20350-2000</w:t>
      </w:r>
      <w:r w:rsidRPr="006716CE">
        <w:rPr>
          <w:rFonts w:ascii="Times New Roman" w:hAnsi="Times New Roman" w:cs="Times New Roman"/>
          <w:kern w:val="0"/>
          <w:sz w:val="19"/>
          <w:szCs w:val="19"/>
        </w:rPr>
        <w:br/>
        <w:t>(</w:t>
      </w:r>
      <w:r>
        <w:rPr>
          <w:rFonts w:ascii="Times New Roman" w:hAnsi="Times New Roman" w:cs="Times New Roman"/>
          <w:kern w:val="0"/>
          <w:sz w:val="19"/>
          <w:szCs w:val="19"/>
        </w:rPr>
        <w:t>571</w:t>
      </w:r>
      <w:r w:rsidRPr="006716CE">
        <w:rPr>
          <w:rFonts w:ascii="Times New Roman" w:hAnsi="Times New Roman" w:cs="Times New Roman"/>
          <w:kern w:val="0"/>
          <w:sz w:val="19"/>
          <w:szCs w:val="19"/>
        </w:rPr>
        <w:t xml:space="preserve">) </w:t>
      </w:r>
      <w:r>
        <w:rPr>
          <w:rFonts w:ascii="Times New Roman" w:hAnsi="Times New Roman" w:cs="Times New Roman"/>
          <w:kern w:val="0"/>
          <w:sz w:val="19"/>
          <w:szCs w:val="19"/>
        </w:rPr>
        <w:t>306</w:t>
      </w:r>
      <w:r w:rsidRPr="006716CE">
        <w:rPr>
          <w:rFonts w:ascii="Times New Roman" w:hAnsi="Times New Roman" w:cs="Times New Roman"/>
          <w:kern w:val="0"/>
          <w:sz w:val="19"/>
          <w:szCs w:val="19"/>
        </w:rPr>
        <w:t>-</w:t>
      </w:r>
      <w:r>
        <w:rPr>
          <w:rFonts w:ascii="Times New Roman" w:hAnsi="Times New Roman" w:cs="Times New Roman"/>
          <w:kern w:val="0"/>
          <w:sz w:val="19"/>
          <w:szCs w:val="19"/>
        </w:rPr>
        <w:t>9640</w:t>
      </w:r>
    </w:p>
    <w:p w14:paraId="55D9935E" w14:textId="77777777" w:rsidR="00561214" w:rsidRPr="006716CE" w:rsidRDefault="00561214" w:rsidP="00561214">
      <w:pPr>
        <w:rPr>
          <w:rFonts w:ascii="Times New Roman" w:hAnsi="Times New Roman" w:cs="Times New Roman"/>
          <w:kern w:val="0"/>
          <w:sz w:val="19"/>
          <w:szCs w:val="19"/>
        </w:rPr>
      </w:pPr>
      <w:r w:rsidRPr="006716CE">
        <w:rPr>
          <w:rFonts w:ascii="Times New Roman" w:hAnsi="Times New Roman" w:cs="Times New Roman"/>
          <w:kern w:val="0"/>
          <w:sz w:val="19"/>
          <w:szCs w:val="19"/>
        </w:rPr>
        <w:t>Technical Point of Contact (TPOC)</w:t>
      </w:r>
      <w:r w:rsidRPr="006716CE">
        <w:rPr>
          <w:rFonts w:ascii="Times New Roman" w:hAnsi="Times New Roman" w:cs="Times New Roman"/>
          <w:kern w:val="0"/>
          <w:sz w:val="19"/>
          <w:szCs w:val="19"/>
        </w:rPr>
        <w:br/>
      </w:r>
      <w:r>
        <w:rPr>
          <w:rFonts w:ascii="Times New Roman" w:hAnsi="Times New Roman" w:cs="Times New Roman"/>
          <w:kern w:val="0"/>
          <w:sz w:val="19"/>
          <w:szCs w:val="19"/>
        </w:rPr>
        <w:t>Angela L. Tennyson</w:t>
      </w:r>
      <w:r w:rsidRPr="006716CE">
        <w:rPr>
          <w:rFonts w:ascii="Times New Roman" w:hAnsi="Times New Roman" w:cs="Times New Roman"/>
          <w:kern w:val="0"/>
          <w:sz w:val="19"/>
          <w:szCs w:val="19"/>
        </w:rPr>
        <w:br/>
      </w:r>
      <w:r>
        <w:rPr>
          <w:rFonts w:ascii="Times New Roman" w:hAnsi="Times New Roman" w:cs="Times New Roman"/>
          <w:kern w:val="0"/>
          <w:sz w:val="19"/>
          <w:szCs w:val="19"/>
        </w:rPr>
        <w:t>Contracts and Finance Branch Head</w:t>
      </w:r>
      <w:r w:rsidRPr="006716CE">
        <w:rPr>
          <w:rFonts w:ascii="Times New Roman" w:hAnsi="Times New Roman" w:cs="Times New Roman"/>
          <w:kern w:val="0"/>
          <w:sz w:val="19"/>
          <w:szCs w:val="19"/>
        </w:rPr>
        <w:br/>
        <w:t>OPNAV N80 (Navy Programming Division)</w:t>
      </w:r>
      <w:r w:rsidRPr="006716CE">
        <w:rPr>
          <w:rFonts w:ascii="Times New Roman" w:hAnsi="Times New Roman" w:cs="Times New Roman"/>
          <w:kern w:val="0"/>
          <w:sz w:val="19"/>
          <w:szCs w:val="19"/>
        </w:rPr>
        <w:br/>
        <w:t>2000 Navy Pentagon [Room/</w:t>
      </w:r>
      <w:proofErr w:type="spellStart"/>
      <w:r w:rsidRPr="006716CE">
        <w:rPr>
          <w:rFonts w:ascii="Times New Roman" w:hAnsi="Times New Roman" w:cs="Times New Roman"/>
          <w:kern w:val="0"/>
          <w:sz w:val="19"/>
          <w:szCs w:val="19"/>
        </w:rPr>
        <w:t>Mailcode</w:t>
      </w:r>
      <w:proofErr w:type="spellEnd"/>
      <w:r w:rsidRPr="006716CE">
        <w:rPr>
          <w:rFonts w:ascii="Times New Roman" w:hAnsi="Times New Roman" w:cs="Times New Roman"/>
          <w:kern w:val="0"/>
          <w:sz w:val="19"/>
          <w:szCs w:val="19"/>
        </w:rPr>
        <w:t>]</w:t>
      </w:r>
      <w:r w:rsidRPr="006716CE">
        <w:rPr>
          <w:rFonts w:ascii="Times New Roman" w:hAnsi="Times New Roman" w:cs="Times New Roman"/>
          <w:kern w:val="0"/>
          <w:sz w:val="19"/>
          <w:szCs w:val="19"/>
        </w:rPr>
        <w:br/>
        <w:t>Washington, DC 20350-2000</w:t>
      </w:r>
      <w:r w:rsidRPr="006716CE">
        <w:rPr>
          <w:rFonts w:ascii="Times New Roman" w:hAnsi="Times New Roman" w:cs="Times New Roman"/>
          <w:kern w:val="0"/>
          <w:sz w:val="19"/>
          <w:szCs w:val="19"/>
        </w:rPr>
        <w:br/>
        <w:t xml:space="preserve">(o) </w:t>
      </w:r>
      <w:r>
        <w:rPr>
          <w:rFonts w:ascii="Times New Roman" w:hAnsi="Times New Roman" w:cs="Times New Roman"/>
          <w:kern w:val="0"/>
          <w:sz w:val="19"/>
          <w:szCs w:val="19"/>
        </w:rPr>
        <w:t>3013420099</w:t>
      </w:r>
      <w:r w:rsidRPr="006716CE">
        <w:rPr>
          <w:rFonts w:ascii="Times New Roman" w:hAnsi="Times New Roman" w:cs="Times New Roman"/>
          <w:kern w:val="0"/>
          <w:sz w:val="19"/>
          <w:szCs w:val="19"/>
        </w:rPr>
        <w:br/>
        <w:t xml:space="preserve">(c) </w:t>
      </w:r>
      <w:r>
        <w:rPr>
          <w:rFonts w:ascii="Times New Roman" w:hAnsi="Times New Roman" w:cs="Times New Roman"/>
          <w:kern w:val="0"/>
          <w:sz w:val="19"/>
          <w:szCs w:val="19"/>
        </w:rPr>
        <w:t>2409254245</w:t>
      </w:r>
    </w:p>
    <w:p w14:paraId="16F75EEF" w14:textId="77777777" w:rsidR="00561214" w:rsidRPr="006716CE" w:rsidRDefault="00561214" w:rsidP="00561214">
      <w:pPr>
        <w:rPr>
          <w:rFonts w:ascii="Times New Roman" w:hAnsi="Times New Roman" w:cs="Times New Roman"/>
          <w:kern w:val="0"/>
          <w:sz w:val="19"/>
          <w:szCs w:val="19"/>
        </w:rPr>
      </w:pPr>
      <w:r w:rsidRPr="006716CE">
        <w:rPr>
          <w:rFonts w:ascii="Times New Roman" w:hAnsi="Times New Roman" w:cs="Times New Roman"/>
          <w:kern w:val="0"/>
          <w:sz w:val="19"/>
          <w:szCs w:val="19"/>
        </w:rPr>
        <w:t>Contracting Office</w:t>
      </w:r>
      <w:r w:rsidRPr="006716CE">
        <w:rPr>
          <w:rFonts w:ascii="Times New Roman" w:hAnsi="Times New Roman" w:cs="Times New Roman"/>
          <w:kern w:val="0"/>
          <w:sz w:val="19"/>
          <w:szCs w:val="19"/>
        </w:rPr>
        <w:br/>
        <w:t>Contract Specialist: Cory Georgeson | </w:t>
      </w:r>
      <w:hyperlink r:id="rId4" w:tgtFrame="_blank" w:tooltip="mailto:cory.j.georgeson.civ@us.navy.mil" w:history="1">
        <w:r w:rsidRPr="006716CE">
          <w:rPr>
            <w:rStyle w:val="Hyperlink"/>
            <w:rFonts w:ascii="Times New Roman" w:hAnsi="Times New Roman" w:cs="Times New Roman"/>
            <w:kern w:val="0"/>
            <w:sz w:val="19"/>
            <w:szCs w:val="19"/>
          </w:rPr>
          <w:t>cory.j.georgeson.civ@us.navy.mil</w:t>
        </w:r>
      </w:hyperlink>
      <w:r w:rsidRPr="006716CE">
        <w:rPr>
          <w:rFonts w:ascii="Times New Roman" w:hAnsi="Times New Roman" w:cs="Times New Roman"/>
          <w:kern w:val="0"/>
          <w:sz w:val="19"/>
          <w:szCs w:val="19"/>
        </w:rPr>
        <w:br/>
        <w:t>Contracting Officer: Mark Damanskis | </w:t>
      </w:r>
      <w:hyperlink r:id="rId5" w:tgtFrame="_blank" w:tooltip="mailto:Mark.d.damanskis.civ@us.navy.mil" w:history="1">
        <w:r w:rsidRPr="006716CE">
          <w:rPr>
            <w:rStyle w:val="Hyperlink"/>
            <w:rFonts w:ascii="Times New Roman" w:hAnsi="Times New Roman" w:cs="Times New Roman"/>
            <w:kern w:val="0"/>
            <w:sz w:val="19"/>
            <w:szCs w:val="19"/>
          </w:rPr>
          <w:t>Mark.d.damanskis.civ@us.navy.mil</w:t>
        </w:r>
      </w:hyperlink>
    </w:p>
    <w:p w14:paraId="6628E879" w14:textId="6D5F1534" w:rsidR="003E6339" w:rsidRPr="00561214" w:rsidRDefault="00561214">
      <w:pPr>
        <w:rPr>
          <w:rFonts w:ascii="Times New Roman" w:hAnsi="Times New Roman" w:cs="Times New Roman"/>
          <w:kern w:val="0"/>
          <w:sz w:val="19"/>
          <w:szCs w:val="19"/>
        </w:rPr>
      </w:pPr>
      <w:r>
        <w:rPr>
          <w:rFonts w:ascii="Times New Roman" w:hAnsi="Times New Roman" w:cs="Times New Roman"/>
          <w:kern w:val="0"/>
          <w:sz w:val="19"/>
          <w:szCs w:val="19"/>
        </w:rPr>
        <w:pict w14:anchorId="12F35BB2">
          <v:rect id="_x0000_i1026" style="width:0;height:1.5pt" o:hralign="center" o:hrstd="t" o:hr="t" fillcolor="#a0a0a0" stroked="f"/>
        </w:pict>
      </w:r>
    </w:p>
    <w:sectPr w:rsidR="003E6339" w:rsidRPr="00561214" w:rsidSect="00561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14"/>
    <w:rsid w:val="00035BBE"/>
    <w:rsid w:val="000E77BD"/>
    <w:rsid w:val="003E6339"/>
    <w:rsid w:val="00561214"/>
    <w:rsid w:val="0077686A"/>
    <w:rsid w:val="00BE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2129"/>
  <w15:chartTrackingRefBased/>
  <w15:docId w15:val="{9C591407-8AF8-45D6-86B6-A9A09089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214"/>
    <w:pPr>
      <w:spacing w:after="160" w:line="278" w:lineRule="auto"/>
    </w:pPr>
  </w:style>
  <w:style w:type="paragraph" w:styleId="Heading1">
    <w:name w:val="heading 1"/>
    <w:basedOn w:val="Normal"/>
    <w:next w:val="Normal"/>
    <w:link w:val="Heading1Char"/>
    <w:uiPriority w:val="9"/>
    <w:qFormat/>
    <w:rsid w:val="00561214"/>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214"/>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214"/>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214"/>
    <w:pPr>
      <w:keepNext/>
      <w:keepLines/>
      <w:spacing w:before="80" w:after="40" w:line="240"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214"/>
    <w:pPr>
      <w:keepNext/>
      <w:keepLines/>
      <w:spacing w:before="80" w:after="40" w:line="240"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214"/>
    <w:pPr>
      <w:keepNext/>
      <w:keepLines/>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14"/>
    <w:pPr>
      <w:keepNext/>
      <w:keepLines/>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14"/>
    <w:pPr>
      <w:keepNext/>
      <w:keepLines/>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14"/>
    <w:pPr>
      <w:keepNext/>
      <w:keepLines/>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14"/>
    <w:rPr>
      <w:rFonts w:eastAsiaTheme="majorEastAsia" w:cstheme="majorBidi"/>
      <w:color w:val="272727" w:themeColor="text1" w:themeTint="D8"/>
    </w:rPr>
  </w:style>
  <w:style w:type="paragraph" w:styleId="Title">
    <w:name w:val="Title"/>
    <w:basedOn w:val="Normal"/>
    <w:next w:val="Normal"/>
    <w:link w:val="TitleChar"/>
    <w:uiPriority w:val="10"/>
    <w:qFormat/>
    <w:rsid w:val="00561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14"/>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14"/>
    <w:pPr>
      <w:spacing w:before="160" w:line="240" w:lineRule="auto"/>
      <w:jc w:val="center"/>
    </w:pPr>
    <w:rPr>
      <w:i/>
      <w:iCs/>
      <w:color w:val="404040" w:themeColor="text1" w:themeTint="BF"/>
    </w:rPr>
  </w:style>
  <w:style w:type="character" w:customStyle="1" w:styleId="QuoteChar">
    <w:name w:val="Quote Char"/>
    <w:basedOn w:val="DefaultParagraphFont"/>
    <w:link w:val="Quote"/>
    <w:uiPriority w:val="29"/>
    <w:rsid w:val="00561214"/>
    <w:rPr>
      <w:i/>
      <w:iCs/>
      <w:color w:val="404040" w:themeColor="text1" w:themeTint="BF"/>
    </w:rPr>
  </w:style>
  <w:style w:type="paragraph" w:styleId="ListParagraph">
    <w:name w:val="List Paragraph"/>
    <w:basedOn w:val="Normal"/>
    <w:uiPriority w:val="34"/>
    <w:qFormat/>
    <w:rsid w:val="00561214"/>
    <w:pPr>
      <w:spacing w:after="0" w:line="240" w:lineRule="auto"/>
      <w:ind w:left="720"/>
      <w:contextualSpacing/>
    </w:pPr>
  </w:style>
  <w:style w:type="character" w:styleId="IntenseEmphasis">
    <w:name w:val="Intense Emphasis"/>
    <w:basedOn w:val="DefaultParagraphFont"/>
    <w:uiPriority w:val="21"/>
    <w:qFormat/>
    <w:rsid w:val="00561214"/>
    <w:rPr>
      <w:i/>
      <w:iCs/>
      <w:color w:val="0F4761" w:themeColor="accent1" w:themeShade="BF"/>
    </w:rPr>
  </w:style>
  <w:style w:type="paragraph" w:styleId="IntenseQuote">
    <w:name w:val="Intense Quote"/>
    <w:basedOn w:val="Normal"/>
    <w:next w:val="Normal"/>
    <w:link w:val="IntenseQuoteChar"/>
    <w:uiPriority w:val="30"/>
    <w:qFormat/>
    <w:rsid w:val="00561214"/>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214"/>
    <w:rPr>
      <w:i/>
      <w:iCs/>
      <w:color w:val="0F4761" w:themeColor="accent1" w:themeShade="BF"/>
    </w:rPr>
  </w:style>
  <w:style w:type="character" w:styleId="IntenseReference">
    <w:name w:val="Intense Reference"/>
    <w:basedOn w:val="DefaultParagraphFont"/>
    <w:uiPriority w:val="32"/>
    <w:qFormat/>
    <w:rsid w:val="00561214"/>
    <w:rPr>
      <w:b/>
      <w:bCs/>
      <w:smallCaps/>
      <w:color w:val="0F4761" w:themeColor="accent1" w:themeShade="BF"/>
      <w:spacing w:val="5"/>
    </w:rPr>
  </w:style>
  <w:style w:type="character" w:styleId="Hyperlink">
    <w:name w:val="Hyperlink"/>
    <w:basedOn w:val="DefaultParagraphFont"/>
    <w:uiPriority w:val="99"/>
    <w:unhideWhenUsed/>
    <w:rsid w:val="005612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url?q=mailto%3AMark.d.damanskis.civ%40us.navy.mil" TargetMode="External"/><Relationship Id="rId4" Type="http://schemas.openxmlformats.org/officeDocument/2006/relationships/hyperlink" Target="https://www.google.com/url?q=mailto%3Acory.j.georgeson.civ%40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Georgeson, Cory J CIV USN NAVSUP FLCN (USA)</dc:creator>
  <cp:keywords/>
  <dc:description/>
  <cp:lastModifiedBy>Georgeson, Cory J CIV USN NAVSUP FLCN (USA)</cp:lastModifiedBy>
  <cp:revision>1</cp:revision>
  <dcterms:created xsi:type="dcterms:W3CDTF">2026-05-05T15:52:00Z</dcterms:created>
  <dcterms:modified xsi:type="dcterms:W3CDTF">2026-05-05T15:53:00Z</dcterms:modified>
</cp:coreProperties>
</file>