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VA-26-00007819 Life Insurance Policy Administration System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(LIPAS) Phase III (Base)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36C10B26Q0037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Christine Keen-Deputy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Christine.Keen-Deputy@va.gov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VA118-16-D-1003 36C10B26N10030038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GOVCIO,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D84JK2RNL7V4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4000 LEGATO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FAIRFAX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22033-4055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031D8" w:rsidP="00587ED3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notice </w:t>
      </w:r>
      <w:r w:rsidR="00C67372">
        <w:rPr>
          <w:rFonts w:ascii="Arial" w:hAnsi="Arial" w:cs="Arial"/>
        </w:rPr>
        <w:t>is to inform all interested parties that acquisition strategy for this requirement was finalized as a sole source</w:t>
      </w:r>
      <w:r w:rsidR="00587ED3">
        <w:rPr>
          <w:rFonts w:ascii="Arial" w:hAnsi="Arial" w:cs="Arial"/>
        </w:rPr>
        <w:t xml:space="preserve"> </w:t>
      </w:r>
      <w:r w:rsidRPr="00587ED3" w:rsidR="00587ED3">
        <w:rPr>
          <w:rFonts w:ascii="Arial" w:hAnsi="Arial" w:cs="Arial"/>
        </w:rPr>
        <w:t>requirement</w:t>
      </w:r>
      <w:r w:rsidR="00587ED3">
        <w:rPr>
          <w:rFonts w:ascii="Arial" w:hAnsi="Arial" w:cs="Arial"/>
        </w:rPr>
        <w:t xml:space="preserve"> which was</w:t>
      </w:r>
      <w:r w:rsidRPr="00587ED3" w:rsidR="00587ED3">
        <w:rPr>
          <w:rFonts w:ascii="Arial" w:hAnsi="Arial" w:cs="Arial"/>
        </w:rPr>
        <w:t xml:space="preserve"> justified and</w:t>
      </w:r>
      <w:r w:rsidR="00587ED3">
        <w:rPr>
          <w:rFonts w:ascii="Arial" w:hAnsi="Arial" w:cs="Arial"/>
        </w:rPr>
        <w:t xml:space="preserve"> </w:t>
      </w:r>
      <w:r w:rsidRPr="00587ED3" w:rsidR="00587ED3">
        <w:rPr>
          <w:rFonts w:ascii="Arial" w:hAnsi="Arial" w:cs="Arial"/>
        </w:rPr>
        <w:t>approved as an exception to fair opportunity under the statutory authority of Section 41</w:t>
      </w:r>
      <w:r w:rsidR="00587ED3">
        <w:rPr>
          <w:rFonts w:ascii="Arial" w:hAnsi="Arial" w:cs="Arial"/>
        </w:rPr>
        <w:t xml:space="preserve"> </w:t>
      </w:r>
      <w:r w:rsidRPr="00587ED3" w:rsidR="00587ED3">
        <w:rPr>
          <w:rFonts w:ascii="Arial" w:hAnsi="Arial" w:cs="Arial"/>
        </w:rPr>
        <w:t>U.S.C. 4106(c)(2) as implemented by the Federal Acquisition Regulation Overhaul Deviation 16.507-6(b)(2), entitled “Only one awardee is capable of</w:t>
      </w:r>
      <w:r w:rsidR="00587ED3">
        <w:rPr>
          <w:rFonts w:ascii="Arial" w:hAnsi="Arial" w:cs="Arial"/>
        </w:rPr>
        <w:t xml:space="preserve"> </w:t>
      </w:r>
      <w:r w:rsidRPr="00587ED3" w:rsidR="00587ED3">
        <w:rPr>
          <w:rFonts w:ascii="Arial" w:hAnsi="Arial" w:cs="Arial"/>
        </w:rPr>
        <w:t>providing the supplies or services required at the level of quality required because the</w:t>
      </w:r>
      <w:r w:rsidR="00587ED3">
        <w:rPr>
          <w:rFonts w:ascii="Arial" w:hAnsi="Arial" w:cs="Arial"/>
        </w:rPr>
        <w:t xml:space="preserve"> </w:t>
      </w:r>
      <w:r w:rsidRPr="00587ED3" w:rsidR="00587ED3">
        <w:rPr>
          <w:rFonts w:ascii="Arial" w:hAnsi="Arial" w:cs="Arial"/>
        </w:rPr>
        <w:t>supplies or services ordered are unique or highly specialized.”</w:t>
      </w:r>
      <w:r w:rsidR="00587ED3">
        <w:rPr>
          <w:rFonts w:ascii="Arial" w:hAnsi="Arial" w:cs="Arial"/>
        </w:rPr>
        <w:t xml:space="preserve"> This document is included as an attachment to this Notice.</w:t>
      </w:r>
    </w:p>
    <w:p w:rsidR="00587ED3" w:rsidRPr="00F4278A" w:rsidP="00587ED3">
      <w:pPr>
        <w:rPr>
          <w:rFonts w:ascii="Arial" w:hAnsi="Arial" w:cs="Arial"/>
        </w:rPr>
      </w:pPr>
    </w:p>
    <w:p>
      <w:pPr>
        <w:ind w:left="360"/>
      </w:pPr>
      <w:r>
        <w:t>See attached document: JA LIPAS III_Redacted.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D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0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D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D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D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2026-04-08T17:07:14Z</dcterms:created>
  <dcterms:modified xsi:type="dcterms:W3CDTF">2026-04-08T17:07:14Z</dcterms:modified>
</cp:coreProperties>
</file>