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8903F" w14:textId="2CFA063A" w:rsidR="00D4420F" w:rsidRDefault="00A30DFE" w:rsidP="00A30DFE">
      <w:pPr>
        <w:shd w:val="clear" w:color="auto" w:fill="FFFFFF"/>
        <w:spacing w:after="0" w:line="240" w:lineRule="auto"/>
        <w:jc w:val="center"/>
        <w:textAlignment w:val="baseline"/>
        <w:rPr>
          <w:rFonts w:ascii="Aptos" w:eastAsia="Times New Roman" w:hAnsi="Aptos" w:cs="Times New Roman"/>
          <w:b/>
          <w:bCs/>
          <w:sz w:val="24"/>
          <w:szCs w:val="24"/>
        </w:rPr>
      </w:pPr>
      <w:r w:rsidRPr="00A30DFE">
        <w:rPr>
          <w:rFonts w:ascii="Aptos" w:eastAsia="Times New Roman" w:hAnsi="Aptos" w:cs="Times New Roman"/>
          <w:b/>
          <w:bCs/>
          <w:sz w:val="24"/>
          <w:szCs w:val="24"/>
        </w:rPr>
        <w:t>RFQ-26-PHX-021</w:t>
      </w:r>
    </w:p>
    <w:p w14:paraId="0ECDA342" w14:textId="738C558D" w:rsidR="00A30DFE" w:rsidRDefault="00A30DFE" w:rsidP="00A30DFE">
      <w:pPr>
        <w:shd w:val="clear" w:color="auto" w:fill="FFFFFF"/>
        <w:spacing w:after="0" w:line="240" w:lineRule="auto"/>
        <w:jc w:val="center"/>
        <w:textAlignment w:val="baseline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b/>
          <w:bCs/>
          <w:sz w:val="24"/>
          <w:szCs w:val="24"/>
        </w:rPr>
        <w:t>Q&amp;A</w:t>
      </w:r>
    </w:p>
    <w:p w14:paraId="288605C2" w14:textId="3897A9FC" w:rsidR="00D4420F" w:rsidRDefault="00D4420F" w:rsidP="00D4420F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4"/>
          <w:szCs w:val="24"/>
        </w:rPr>
      </w:pPr>
    </w:p>
    <w:p w14:paraId="2D60FF77" w14:textId="77777777" w:rsidR="00D4420F" w:rsidRPr="00D4420F" w:rsidRDefault="00D4420F" w:rsidP="00D4420F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4"/>
          <w:szCs w:val="24"/>
        </w:rPr>
      </w:pPr>
    </w:p>
    <w:p w14:paraId="60D56DF3" w14:textId="4DBB6934" w:rsidR="00D4420F" w:rsidRDefault="00D4420F" w:rsidP="00D4420F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420F" w14:paraId="1DCDF612" w14:textId="77777777" w:rsidTr="00D4420F">
        <w:tc>
          <w:tcPr>
            <w:tcW w:w="4675" w:type="dxa"/>
          </w:tcPr>
          <w:p w14:paraId="4DFF1B02" w14:textId="05D4AD93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Per Review, Inpatient coding 600, please provide the average length of stay for your organization.</w:t>
            </w:r>
          </w:p>
        </w:tc>
        <w:tc>
          <w:tcPr>
            <w:tcW w:w="4675" w:type="dxa"/>
          </w:tcPr>
          <w:p w14:paraId="4EBC030D" w14:textId="30620C7F" w:rsidR="00D4420F" w:rsidRPr="00780E83" w:rsidRDefault="0054705E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Average length of stay varies by facility and service type; detailed metrics will not be provided.</w:t>
            </w:r>
          </w:p>
        </w:tc>
      </w:tr>
      <w:tr w:rsidR="00D4420F" w14:paraId="00BDF0E2" w14:textId="77777777" w:rsidTr="00D4420F">
        <w:tc>
          <w:tcPr>
            <w:tcW w:w="4675" w:type="dxa"/>
          </w:tcPr>
          <w:p w14:paraId="6B29DEDD" w14:textId="4B138B43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Are inpatient presented to coding prior to chart completion?</w:t>
            </w:r>
          </w:p>
        </w:tc>
        <w:tc>
          <w:tcPr>
            <w:tcW w:w="4675" w:type="dxa"/>
          </w:tcPr>
          <w:p w14:paraId="4057BB6C" w14:textId="26C4EDEB" w:rsidR="00D4420F" w:rsidRPr="00780E83" w:rsidRDefault="0054705E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Encounters may be assigned at varying stages of documentation completion.</w:t>
            </w:r>
          </w:p>
        </w:tc>
      </w:tr>
      <w:tr w:rsidR="00D4420F" w14:paraId="79258573" w14:textId="77777777" w:rsidTr="00D4420F">
        <w:tc>
          <w:tcPr>
            <w:tcW w:w="4675" w:type="dxa"/>
          </w:tcPr>
          <w:p w14:paraId="0383F3E7" w14:textId="47D25F48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Do your providers respond to queries promptly?</w:t>
            </w:r>
          </w:p>
        </w:tc>
        <w:tc>
          <w:tcPr>
            <w:tcW w:w="4675" w:type="dxa"/>
          </w:tcPr>
          <w:p w14:paraId="783089DB" w14:textId="6FA08E66" w:rsidR="00D4420F" w:rsidRPr="00780E83" w:rsidRDefault="0054705E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Response times may vary by facility and workload.</w:t>
            </w:r>
          </w:p>
        </w:tc>
      </w:tr>
      <w:tr w:rsidR="00D4420F" w14:paraId="15C358A2" w14:textId="77777777" w:rsidTr="00D4420F">
        <w:tc>
          <w:tcPr>
            <w:tcW w:w="4675" w:type="dxa"/>
          </w:tcPr>
          <w:p w14:paraId="1CB0ECB4" w14:textId="6C9E341B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Per review Outpatient coding 165,000, Please provide the service type. I.e. Emergency Department, Observation, Same Day Surgery, Endo??</w:t>
            </w: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</w:r>
          </w:p>
        </w:tc>
        <w:tc>
          <w:tcPr>
            <w:tcW w:w="4675" w:type="dxa"/>
          </w:tcPr>
          <w:p w14:paraId="4A756C2A" w14:textId="6D542367" w:rsidR="00D4420F" w:rsidRPr="00780E83" w:rsidRDefault="00D44570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D44570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Service types vary by Service Unit. Several facilities include hospital-based services with Emergency Departments, as well as outpatient and specialty services.</w:t>
            </w:r>
          </w:p>
        </w:tc>
      </w:tr>
      <w:tr w:rsidR="00D4420F" w14:paraId="25C5422E" w14:textId="77777777" w:rsidTr="00D4420F">
        <w:tc>
          <w:tcPr>
            <w:tcW w:w="4675" w:type="dxa"/>
          </w:tcPr>
          <w:p w14:paraId="022BFC5F" w14:textId="0C41DFAE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Per review Inpatient auditing 80, Should the audit include Clinical Documentation for providers, regulatory compliance issues for accrediting agency, third party denials</w:t>
            </w: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</w:r>
          </w:p>
        </w:tc>
        <w:tc>
          <w:tcPr>
            <w:tcW w:w="4675" w:type="dxa"/>
          </w:tcPr>
          <w:p w14:paraId="6C7D80DB" w14:textId="49EB4EF8" w:rsidR="00D4420F" w:rsidRPr="00780E83" w:rsidRDefault="0022120B" w:rsidP="00D4420F">
            <w:pPr>
              <w:textAlignment w:val="baseline"/>
              <w:rPr>
                <w:rFonts w:ascii="Aptos" w:eastAsia="Times New Roman" w:hAnsi="Aptos" w:cs="Times New Roman"/>
                <w:color w:val="EE0000"/>
                <w:sz w:val="24"/>
                <w:szCs w:val="24"/>
              </w:rPr>
            </w:pPr>
            <w:r w:rsidRPr="00780E83">
              <w:rPr>
                <w:rFonts w:ascii="Aptos" w:eastAsia="Times New Roman" w:hAnsi="Aptos"/>
                <w:color w:val="EE0000"/>
                <w:sz w:val="24"/>
                <w:szCs w:val="24"/>
              </w:rPr>
              <w:t xml:space="preserve">When requested, coding quality audits will be specified in the BPA call. </w:t>
            </w:r>
            <w:r w:rsidR="00D44570">
              <w:rPr>
                <w:rFonts w:ascii="Aptos" w:eastAsia="Times New Roman" w:hAnsi="Aptos"/>
                <w:color w:val="EE0000"/>
                <w:sz w:val="24"/>
                <w:szCs w:val="24"/>
              </w:rPr>
              <w:t>Additional scope will be defined at the BPA Call level.</w:t>
            </w:r>
          </w:p>
        </w:tc>
      </w:tr>
      <w:tr w:rsidR="00D4420F" w14:paraId="353160F5" w14:textId="77777777" w:rsidTr="00D4420F">
        <w:tc>
          <w:tcPr>
            <w:tcW w:w="4675" w:type="dxa"/>
          </w:tcPr>
          <w:p w14:paraId="1DE867C7" w14:textId="562ED107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Per review Outpatient auditing 4520, Should the audit include Clinical Documentation for providers regulatory compliance issues for accrediting agency, third party denials.</w:t>
            </w: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</w:r>
          </w:p>
        </w:tc>
        <w:tc>
          <w:tcPr>
            <w:tcW w:w="4675" w:type="dxa"/>
          </w:tcPr>
          <w:p w14:paraId="77E206F2" w14:textId="642A7E5A" w:rsidR="00D4420F" w:rsidRPr="00780E83" w:rsidRDefault="00D44570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D44570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Audit scope and methodology will be defined at the BPA call level.</w:t>
            </w:r>
          </w:p>
        </w:tc>
      </w:tr>
      <w:tr w:rsidR="00D4420F" w14:paraId="614EFB88" w14:textId="77777777" w:rsidTr="00D4420F">
        <w:tc>
          <w:tcPr>
            <w:tcW w:w="4675" w:type="dxa"/>
          </w:tcPr>
          <w:p w14:paraId="42617856" w14:textId="5D15E9EF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Are the audits for the site or just limited to the vendors coders? </w:t>
            </w: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</w:r>
          </w:p>
        </w:tc>
        <w:tc>
          <w:tcPr>
            <w:tcW w:w="4675" w:type="dxa"/>
          </w:tcPr>
          <w:p w14:paraId="30525336" w14:textId="64795D93" w:rsidR="00D4420F" w:rsidRPr="00780E83" w:rsidRDefault="00D44570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D44570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Audits may include both Government and contractor coding activities, as specified in the BPA call.</w:t>
            </w:r>
          </w:p>
        </w:tc>
      </w:tr>
      <w:tr w:rsidR="00D4420F" w14:paraId="33322F9E" w14:textId="77777777" w:rsidTr="00D4420F">
        <w:tc>
          <w:tcPr>
            <w:tcW w:w="4675" w:type="dxa"/>
          </w:tcPr>
          <w:p w14:paraId="2E148419" w14:textId="2CBC6159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What encoder software will the vendor have access to?</w:t>
            </w: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</w:r>
          </w:p>
        </w:tc>
        <w:tc>
          <w:tcPr>
            <w:tcW w:w="4675" w:type="dxa"/>
          </w:tcPr>
          <w:p w14:paraId="641C77F0" w14:textId="2A94D42A" w:rsidR="00D4420F" w:rsidRPr="00780E83" w:rsidRDefault="00D44570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D44570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The Government does not currently provide encoder software. Contractors shall provide their own tools as necessary</w:t>
            </w:r>
          </w:p>
        </w:tc>
      </w:tr>
      <w:tr w:rsidR="00D4420F" w14:paraId="4BEAC00D" w14:textId="77777777" w:rsidTr="00D4420F">
        <w:tc>
          <w:tcPr>
            <w:tcW w:w="4675" w:type="dxa"/>
          </w:tcPr>
          <w:p w14:paraId="27599CC9" w14:textId="51EF5FE8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Are there any unique coding policies and procedure per site?</w:t>
            </w: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</w:r>
          </w:p>
        </w:tc>
        <w:tc>
          <w:tcPr>
            <w:tcW w:w="4675" w:type="dxa"/>
          </w:tcPr>
          <w:p w14:paraId="33E0A370" w14:textId="1979F849" w:rsidR="00D4420F" w:rsidRPr="00780E83" w:rsidRDefault="00A30DFE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Yes</w:t>
            </w:r>
          </w:p>
        </w:tc>
      </w:tr>
      <w:tr w:rsidR="00D4420F" w14:paraId="089F6E4D" w14:textId="77777777" w:rsidTr="00D4420F">
        <w:tc>
          <w:tcPr>
            <w:tcW w:w="4675" w:type="dxa"/>
          </w:tcPr>
          <w:p w14:paraId="07D68DB0" w14:textId="673F398B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What is the internal process for handling queries, documentation missing, </w:t>
            </w:r>
            <w:proofErr w:type="spellStart"/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etc</w:t>
            </w:r>
            <w:proofErr w:type="spellEnd"/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?</w:t>
            </w: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</w:r>
          </w:p>
        </w:tc>
        <w:tc>
          <w:tcPr>
            <w:tcW w:w="4675" w:type="dxa"/>
          </w:tcPr>
          <w:p w14:paraId="1E7344E0" w14:textId="77777777" w:rsidR="0054705E" w:rsidRPr="00780E83" w:rsidRDefault="0054705E" w:rsidP="0054705E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 xml:space="preserve">The Government utilizes established clinical documentation query processes consistent with standard coding and compliance practices. When documentation is incomplete or clarification is required, </w:t>
            </w: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lastRenderedPageBreak/>
              <w:t>queries are routed to the appropriate provider or clinical staff for response.</w:t>
            </w:r>
          </w:p>
          <w:p w14:paraId="472617F2" w14:textId="77777777" w:rsidR="0054705E" w:rsidRPr="00780E83" w:rsidRDefault="0054705E" w:rsidP="0054705E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The Contractor may be required to identify documentation deficiencies and initiate or track queries in accordance with Service Unit procedures.</w:t>
            </w:r>
          </w:p>
          <w:p w14:paraId="1B717F33" w14:textId="32435662" w:rsidR="0054705E" w:rsidRPr="00780E83" w:rsidRDefault="0054705E" w:rsidP="0054705E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 xml:space="preserve">Response timelines and processes may vary by Service Unit and workload conditions. </w:t>
            </w:r>
            <w:r w:rsidR="00D44570" w:rsidRPr="00D44570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Specific processes will be defined at the BPA call level</w:t>
            </w:r>
          </w:p>
          <w:p w14:paraId="4D06600B" w14:textId="77777777" w:rsidR="00D4420F" w:rsidRPr="00780E83" w:rsidRDefault="00D4420F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</w:p>
        </w:tc>
      </w:tr>
      <w:tr w:rsidR="00D4420F" w14:paraId="0613C1EB" w14:textId="77777777" w:rsidTr="00D4420F">
        <w:tc>
          <w:tcPr>
            <w:tcW w:w="4675" w:type="dxa"/>
          </w:tcPr>
          <w:p w14:paraId="67572D74" w14:textId="7F8F89C5" w:rsidR="00D4420F" w:rsidRDefault="00D4420F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F52826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lastRenderedPageBreak/>
              <w:t>Based upon the volumes mentioned, it is correct to assume this will be a minimum volume expectation?  If so, we could project staffing.  </w:t>
            </w:r>
          </w:p>
        </w:tc>
        <w:tc>
          <w:tcPr>
            <w:tcW w:w="4675" w:type="dxa"/>
          </w:tcPr>
          <w:p w14:paraId="16779ECC" w14:textId="0C55AFE3" w:rsidR="00D4420F" w:rsidRPr="00780E83" w:rsidRDefault="00D4420F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No minimum quantity is guaranteed. Quantities are estimates only.</w:t>
            </w:r>
          </w:p>
        </w:tc>
      </w:tr>
      <w:tr w:rsidR="00D4420F" w14:paraId="184007DD" w14:textId="77777777" w:rsidTr="00D4420F">
        <w:tc>
          <w:tcPr>
            <w:tcW w:w="4675" w:type="dxa"/>
          </w:tcPr>
          <w:p w14:paraId="261A5464" w14:textId="3B692EEE" w:rsidR="00D4420F" w:rsidRPr="00F52826" w:rsidRDefault="00D4420F" w:rsidP="00D4420F">
            <w:pPr>
              <w:textAlignment w:val="baseline"/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 w:rsidRPr="00A44ACD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Please describe process for handling payor edits and denials?</w:t>
            </w:r>
            <w:r w:rsidRPr="00A44ACD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</w:r>
          </w:p>
        </w:tc>
        <w:tc>
          <w:tcPr>
            <w:tcW w:w="4675" w:type="dxa"/>
          </w:tcPr>
          <w:p w14:paraId="5B243CDE" w14:textId="2F0B05B4" w:rsidR="00D4420F" w:rsidRPr="00780E83" w:rsidRDefault="00D44570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D44570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Third-party billing and accounts receivable functions are managed separately</w:t>
            </w:r>
          </w:p>
        </w:tc>
      </w:tr>
      <w:tr w:rsidR="00D4420F" w14:paraId="6C804799" w14:textId="77777777" w:rsidTr="00D4420F">
        <w:tc>
          <w:tcPr>
            <w:tcW w:w="4675" w:type="dxa"/>
          </w:tcPr>
          <w:p w14:paraId="6B7A5C62" w14:textId="4D3A4277" w:rsidR="00D4420F" w:rsidRPr="00F52826" w:rsidRDefault="00D4420F" w:rsidP="00D4420F">
            <w:pPr>
              <w:textAlignment w:val="baseline"/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 w:rsidRPr="00A44ACD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Is there a backlog currently?  If so, what are the backlog numbers.  </w:t>
            </w:r>
            <w:r w:rsidRPr="00A44ACD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</w:r>
          </w:p>
        </w:tc>
        <w:tc>
          <w:tcPr>
            <w:tcW w:w="4675" w:type="dxa"/>
          </w:tcPr>
          <w:p w14:paraId="50371728" w14:textId="5250B385" w:rsidR="00D4420F" w:rsidRPr="00780E83" w:rsidRDefault="00D4420F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Backlog conditions may exist and may be addressed through BPA calls. Specific volumes will be defined at the call level.</w:t>
            </w:r>
          </w:p>
        </w:tc>
      </w:tr>
      <w:tr w:rsidR="00D4420F" w14:paraId="629A0B33" w14:textId="77777777" w:rsidTr="00D4420F">
        <w:tc>
          <w:tcPr>
            <w:tcW w:w="4675" w:type="dxa"/>
          </w:tcPr>
          <w:p w14:paraId="1047B245" w14:textId="4F14BF8C" w:rsidR="00D4420F" w:rsidRPr="00F52826" w:rsidRDefault="00D4420F" w:rsidP="00D4420F">
            <w:pPr>
              <w:textAlignment w:val="baseline"/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  <w:r w:rsidRPr="00A44ACD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Of the sites mentioned, please provide which sites will need help immediately?</w:t>
            </w:r>
          </w:p>
        </w:tc>
        <w:tc>
          <w:tcPr>
            <w:tcW w:w="4675" w:type="dxa"/>
          </w:tcPr>
          <w:p w14:paraId="298EB3F2" w14:textId="6A7F85A2" w:rsidR="00D4420F" w:rsidRPr="00780E83" w:rsidRDefault="00D4420F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Priorities will be determined at the BPA call level based.</w:t>
            </w:r>
          </w:p>
        </w:tc>
      </w:tr>
      <w:tr w:rsidR="0054705E" w14:paraId="405DBAA4" w14:textId="77777777" w:rsidTr="008C1DAB">
        <w:tc>
          <w:tcPr>
            <w:tcW w:w="9350" w:type="dxa"/>
            <w:gridSpan w:val="2"/>
          </w:tcPr>
          <w:p w14:paraId="638D575F" w14:textId="77777777" w:rsidR="0054705E" w:rsidRPr="00780E83" w:rsidRDefault="0054705E" w:rsidP="00D4420F">
            <w:pPr>
              <w:textAlignment w:val="baseline"/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</w:pPr>
          </w:p>
        </w:tc>
      </w:tr>
      <w:tr w:rsidR="0054705E" w14:paraId="2252E63A" w14:textId="77777777" w:rsidTr="008C1DAB">
        <w:tc>
          <w:tcPr>
            <w:tcW w:w="9350" w:type="dxa"/>
            <w:gridSpan w:val="2"/>
          </w:tcPr>
          <w:p w14:paraId="5B31D8B1" w14:textId="662C8450" w:rsidR="0054705E" w:rsidRPr="00780E83" w:rsidRDefault="0054705E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780E83">
              <w:rPr>
                <w:rFonts w:ascii="Aptos" w:eastAsia="Times New Roman" w:hAnsi="Aptos" w:cs="Times New Roman"/>
                <w:color w:val="FF0000"/>
                <w:sz w:val="24"/>
                <w:szCs w:val="24"/>
              </w:rPr>
              <w:t>Workload distribution, complexity, and prioritization may vary by Service Unit and over time. Specific requirements will be defined at the BPA call level.</w:t>
            </w:r>
          </w:p>
        </w:tc>
      </w:tr>
      <w:tr w:rsidR="0054705E" w14:paraId="678CDC6B" w14:textId="77777777" w:rsidTr="00B45D54">
        <w:trPr>
          <w:trHeight w:val="876"/>
        </w:trPr>
        <w:tc>
          <w:tcPr>
            <w:tcW w:w="9350" w:type="dxa"/>
            <w:gridSpan w:val="2"/>
          </w:tcPr>
          <w:p w14:paraId="0D82A1FB" w14:textId="77777777" w:rsidR="0054705E" w:rsidRPr="00780E83" w:rsidRDefault="0054705E" w:rsidP="00D4420F">
            <w:pPr>
              <w:textAlignment w:val="baseline"/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</w:tr>
    </w:tbl>
    <w:p w14:paraId="29BFBDBE" w14:textId="77777777" w:rsidR="00D4420F" w:rsidRPr="00D4420F" w:rsidRDefault="00D4420F" w:rsidP="00D4420F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4"/>
          <w:szCs w:val="24"/>
        </w:rPr>
      </w:pPr>
    </w:p>
    <w:p w14:paraId="78AD5BDA" w14:textId="77777777" w:rsidR="00D423DC" w:rsidRDefault="00D423DC"/>
    <w:sectPr w:rsidR="00D42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3"/>
    <w:multiLevelType w:val="multilevel"/>
    <w:tmpl w:val="FFFFFFFF"/>
    <w:lvl w:ilvl="0">
      <w:start w:val="1"/>
      <w:numFmt w:val="upperLetter"/>
      <w:lvlText w:val="%1."/>
      <w:lvlJc w:val="left"/>
      <w:pPr>
        <w:ind w:left="360" w:hanging="243"/>
      </w:pPr>
      <w:rPr>
        <w:rFonts w:ascii="Times New Roman" w:hAnsi="Times New Roman" w:cs="Times New Roman"/>
        <w:b w:val="0"/>
        <w:bCs w:val="0"/>
        <w:i w:val="0"/>
        <w:iCs w:val="0"/>
        <w:spacing w:val="-3"/>
        <w:w w:val="99"/>
        <w:sz w:val="20"/>
        <w:szCs w:val="20"/>
      </w:rPr>
    </w:lvl>
    <w:lvl w:ilvl="1">
      <w:start w:val="1"/>
      <w:numFmt w:val="lowerLetter"/>
      <w:lvlText w:val="%2."/>
      <w:lvlJc w:val="left"/>
      <w:pPr>
        <w:ind w:left="900" w:hanging="19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920" w:hanging="190"/>
      </w:pPr>
    </w:lvl>
    <w:lvl w:ilvl="3">
      <w:numFmt w:val="bullet"/>
      <w:lvlText w:val="•"/>
      <w:lvlJc w:val="left"/>
      <w:pPr>
        <w:ind w:left="2940" w:hanging="190"/>
      </w:pPr>
    </w:lvl>
    <w:lvl w:ilvl="4">
      <w:numFmt w:val="bullet"/>
      <w:lvlText w:val="•"/>
      <w:lvlJc w:val="left"/>
      <w:pPr>
        <w:ind w:left="3960" w:hanging="190"/>
      </w:pPr>
    </w:lvl>
    <w:lvl w:ilvl="5">
      <w:numFmt w:val="bullet"/>
      <w:lvlText w:val="•"/>
      <w:lvlJc w:val="left"/>
      <w:pPr>
        <w:ind w:left="4980" w:hanging="190"/>
      </w:pPr>
    </w:lvl>
    <w:lvl w:ilvl="6">
      <w:numFmt w:val="bullet"/>
      <w:lvlText w:val="•"/>
      <w:lvlJc w:val="left"/>
      <w:pPr>
        <w:ind w:left="6000" w:hanging="190"/>
      </w:pPr>
    </w:lvl>
    <w:lvl w:ilvl="7">
      <w:numFmt w:val="bullet"/>
      <w:lvlText w:val="•"/>
      <w:lvlJc w:val="left"/>
      <w:pPr>
        <w:ind w:left="7020" w:hanging="190"/>
      </w:pPr>
    </w:lvl>
    <w:lvl w:ilvl="8">
      <w:numFmt w:val="bullet"/>
      <w:lvlText w:val="•"/>
      <w:lvlJc w:val="left"/>
      <w:pPr>
        <w:ind w:left="8040" w:hanging="190"/>
      </w:pPr>
    </w:lvl>
  </w:abstractNum>
  <w:abstractNum w:abstractNumId="1" w15:restartNumberingAfterBreak="0">
    <w:nsid w:val="566F2E96"/>
    <w:multiLevelType w:val="hybridMultilevel"/>
    <w:tmpl w:val="EDD48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0F"/>
    <w:rsid w:val="001865D1"/>
    <w:rsid w:val="0022120B"/>
    <w:rsid w:val="004B71FC"/>
    <w:rsid w:val="0054705E"/>
    <w:rsid w:val="00571FDD"/>
    <w:rsid w:val="006420C3"/>
    <w:rsid w:val="00706549"/>
    <w:rsid w:val="00780E83"/>
    <w:rsid w:val="00A30DFE"/>
    <w:rsid w:val="00B61473"/>
    <w:rsid w:val="00C31045"/>
    <w:rsid w:val="00D423DC"/>
    <w:rsid w:val="00D4420F"/>
    <w:rsid w:val="00D4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03D2"/>
  <w15:chartTrackingRefBased/>
  <w15:docId w15:val="{F2021A2B-9511-4402-9C7E-FCB9F993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4420F"/>
    <w:pPr>
      <w:ind w:left="720"/>
      <w:contextualSpacing/>
    </w:pPr>
  </w:style>
  <w:style w:type="table" w:styleId="TableGrid">
    <w:name w:val="Table Grid"/>
    <w:basedOn w:val="TableNormal"/>
    <w:uiPriority w:val="39"/>
    <w:rsid w:val="00D44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1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IHS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Cook, Dekovan (IHS/PHX)</dc:creator>
  <cp:keywords/>
  <dc:description/>
  <cp:lastModifiedBy>Cook, Dekovan (IHS/PHX)</cp:lastModifiedBy>
  <cp:revision>2</cp:revision>
  <dcterms:created xsi:type="dcterms:W3CDTF">2026-04-08T16:59:00Z</dcterms:created>
  <dcterms:modified xsi:type="dcterms:W3CDTF">2026-04-08T16:59:00Z</dcterms:modified>
</cp:coreProperties>
</file>