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AAE2" w14:textId="77777777" w:rsidR="00DF634B" w:rsidRPr="00DC6E64" w:rsidRDefault="00DF634B" w:rsidP="00DF634B">
      <w:pPr>
        <w:shd w:val="clear" w:color="auto" w:fill="FFFFFF"/>
        <w:spacing w:before="120" w:after="120" w:line="240" w:lineRule="auto"/>
        <w:jc w:val="center"/>
        <w:textAlignment w:val="baseline"/>
        <w:rPr>
          <w:rFonts w:ascii="open_sansregular" w:eastAsia="Times New Roman" w:hAnsi="open_sansregular" w:cs="Times New Roman"/>
          <w:smallCaps/>
          <w:color w:val="000000"/>
          <w:kern w:val="0"/>
          <w:sz w:val="24"/>
          <w:szCs w:val="24"/>
          <w14:ligatures w14:val="none"/>
        </w:rPr>
      </w:pPr>
      <w:r w:rsidRPr="00DC6E64">
        <w:rPr>
          <w:rFonts w:ascii="open_sansregular" w:eastAsia="Times New Roman" w:hAnsi="open_sansregular" w:cs="Times New Roman"/>
          <w:smallCaps/>
          <w:color w:val="000000"/>
          <w:kern w:val="0"/>
          <w:sz w:val="24"/>
          <w:szCs w:val="24"/>
          <w14:ligatures w14:val="none"/>
        </w:rPr>
        <w:t>Buy American Certificate (Oct 2022)</w:t>
      </w:r>
    </w:p>
    <w:p w14:paraId="44348554"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(a)</w:t>
      </w:r>
      <w:r w:rsidRPr="00DC6E64">
        <w:rPr>
          <w:rFonts w:ascii="open_sansregular" w:eastAsia="Times New Roman" w:hAnsi="open_sansregular" w:cs="Times New Roman"/>
          <w:color w:val="000000"/>
          <w:kern w:val="0"/>
          <w:sz w:val="24"/>
          <w:szCs w:val="24"/>
          <w14:ligatures w14:val="none"/>
        </w:rPr>
        <w:t> </w:t>
      </w:r>
      <w:r w:rsidRPr="00DC6E64">
        <w:rPr>
          <w:rFonts w:ascii="open_sansregular" w:eastAsia="Times New Roman" w:hAnsi="open_sansregular" w:cs="Times New Roman"/>
          <w:color w:val="000000"/>
          <w:kern w:val="0"/>
          <w:sz w:val="24"/>
          <w:szCs w:val="24"/>
          <w:bdr w:val="none" w:sz="0" w:space="0" w:color="auto" w:frame="1"/>
          <w14:ligatures w14:val="none"/>
        </w:rPr>
        <w:t>(1)</w:t>
      </w:r>
      <w:r w:rsidRPr="00DC6E64">
        <w:rPr>
          <w:rFonts w:ascii="open_sansregular" w:eastAsia="Times New Roman" w:hAnsi="open_sansregular" w:cs="Times New Roman"/>
          <w:color w:val="000000"/>
          <w:kern w:val="0"/>
          <w:sz w:val="24"/>
          <w:szCs w:val="24"/>
          <w14:ligatures w14:val="none"/>
        </w:rPr>
        <w:t xml:space="preserve"> The Offeror certifies that each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xml:space="preserve">, except those listed in paragraph (b) of this provision, is a domestic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xml:space="preserve"> and that each domestic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xml:space="preserve"> listed in paragraph (c) of this provision contains a critical component.</w:t>
      </w:r>
    </w:p>
    <w:p w14:paraId="2DEBD091" w14:textId="77777777" w:rsidR="00DF634B" w:rsidRPr="00DC6E64" w:rsidRDefault="00DF634B" w:rsidP="00DF634B">
      <w:pPr>
        <w:shd w:val="clear" w:color="auto" w:fill="FFFFFF"/>
        <w:spacing w:before="120" w:after="120" w:line="240" w:lineRule="auto"/>
        <w:ind w:firstLine="72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(2)</w:t>
      </w:r>
      <w:r w:rsidRPr="00DC6E64">
        <w:rPr>
          <w:rFonts w:ascii="open_sansregular" w:eastAsia="Times New Roman" w:hAnsi="open_sansregular" w:cs="Times New Roman"/>
          <w:color w:val="000000"/>
          <w:kern w:val="0"/>
          <w:sz w:val="24"/>
          <w:szCs w:val="24"/>
          <w14:ligatures w14:val="none"/>
        </w:rPr>
        <w:t>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AAD177A" w14:textId="74E10D0B" w:rsidR="00DF634B" w:rsidRPr="00DC6E64" w:rsidRDefault="00DF634B" w:rsidP="00DF634B">
      <w:pPr>
        <w:shd w:val="clear" w:color="auto" w:fill="FFFFFF"/>
        <w:spacing w:before="120" w:after="120" w:line="240" w:lineRule="auto"/>
        <w:ind w:firstLine="72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(3)</w:t>
      </w:r>
      <w:r w:rsidRPr="00DC6E64">
        <w:rPr>
          <w:rFonts w:ascii="open_sansregular" w:eastAsia="Times New Roman" w:hAnsi="open_sansregular" w:cs="Times New Roman"/>
          <w:color w:val="000000"/>
          <w:kern w:val="0"/>
          <w:sz w:val="24"/>
          <w:szCs w:val="24"/>
          <w14:ligatures w14:val="none"/>
        </w:rPr>
        <w:t> The Offeror shall separately list the line item numbers of domestic end products that contain a critical component (see R</w:t>
      </w:r>
      <w:r w:rsidR="006045C1">
        <w:rPr>
          <w:rFonts w:ascii="open_sansregular" w:eastAsia="Times New Roman" w:hAnsi="open_sansregular" w:cs="Times New Roman"/>
          <w:color w:val="000000"/>
          <w:kern w:val="0"/>
          <w:sz w:val="24"/>
          <w:szCs w:val="24"/>
          <w14:ligatures w14:val="none"/>
        </w:rPr>
        <w:t>FO</w:t>
      </w:r>
      <w:r w:rsidRPr="00DC6E64">
        <w:rPr>
          <w:rFonts w:ascii="open_sansregular" w:eastAsia="Times New Roman" w:hAnsi="open_sansregular" w:cs="Times New Roman"/>
          <w:color w:val="000000"/>
          <w:kern w:val="0"/>
          <w:sz w:val="24"/>
          <w:szCs w:val="24"/>
          <w14:ligatures w14:val="none"/>
        </w:rPr>
        <w:t> </w:t>
      </w:r>
      <w:hyperlink r:id="rId4" w:anchor="FAR_25_105" w:tooltip="25.105" w:history="1">
        <w:r w:rsidRPr="00DC6E64">
          <w:rPr>
            <w:rFonts w:ascii="inherit" w:eastAsia="Times New Roman" w:hAnsi="inherit" w:cs="Times New Roman"/>
            <w:color w:val="0000FF"/>
            <w:kern w:val="0"/>
            <w:sz w:val="24"/>
            <w:szCs w:val="24"/>
            <w:u w:val="single"/>
            <w:bdr w:val="none" w:sz="0" w:space="0" w:color="auto" w:frame="1"/>
            <w14:ligatures w14:val="none"/>
          </w:rPr>
          <w:t>25.105</w:t>
        </w:r>
      </w:hyperlink>
      <w:r w:rsidRPr="00DC6E64">
        <w:rPr>
          <w:rFonts w:ascii="open_sansregular" w:eastAsia="Times New Roman" w:hAnsi="open_sansregular" w:cs="Times New Roman"/>
          <w:color w:val="000000"/>
          <w:kern w:val="0"/>
          <w:sz w:val="24"/>
          <w:szCs w:val="24"/>
          <w14:ligatures w14:val="none"/>
        </w:rPr>
        <w:t>).</w:t>
      </w:r>
    </w:p>
    <w:p w14:paraId="6D6A8420" w14:textId="77777777" w:rsidR="00DF634B" w:rsidRPr="00DC6E64" w:rsidRDefault="00DF634B" w:rsidP="00DF634B">
      <w:pPr>
        <w:shd w:val="clear" w:color="auto" w:fill="FFFFFF"/>
        <w:spacing w:before="120" w:after="120" w:line="240" w:lineRule="auto"/>
        <w:ind w:firstLine="72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(4)</w:t>
      </w:r>
      <w:r w:rsidRPr="00DC6E64">
        <w:rPr>
          <w:rFonts w:ascii="open_sansregular" w:eastAsia="Times New Roman" w:hAnsi="open_sansregular" w:cs="Times New Roman"/>
          <w:color w:val="000000"/>
          <w:kern w:val="0"/>
          <w:sz w:val="24"/>
          <w:szCs w:val="24"/>
          <w14:ligatures w14:val="none"/>
        </w:rPr>
        <w:t xml:space="preserve"> The terms “commercially available off-the-shelf (COTS) item,” “critical component,” "domestic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and "foreign end product" are defined in the clause of this solicitation entitled "Buy American-Supplies."</w:t>
      </w:r>
    </w:p>
    <w:p w14:paraId="2A5BB38A"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(b)</w:t>
      </w:r>
      <w:r w:rsidRPr="00DC6E64">
        <w:rPr>
          <w:rFonts w:ascii="open_sansregular" w:eastAsia="Times New Roman" w:hAnsi="open_sansregular" w:cs="Times New Roman"/>
          <w:color w:val="000000"/>
          <w:kern w:val="0"/>
          <w:sz w:val="24"/>
          <w:szCs w:val="24"/>
          <w14:ligatures w14:val="none"/>
        </w:rPr>
        <w:t>Foreign End Products:</w:t>
      </w:r>
    </w:p>
    <w:tbl>
      <w:tblPr>
        <w:tblW w:w="9270" w:type="dxa"/>
        <w:tblCellMar>
          <w:top w:w="15" w:type="dxa"/>
          <w:left w:w="15" w:type="dxa"/>
          <w:bottom w:w="15" w:type="dxa"/>
          <w:right w:w="15" w:type="dxa"/>
        </w:tblCellMar>
        <w:tblLook w:val="04A0" w:firstRow="1" w:lastRow="0" w:firstColumn="1" w:lastColumn="0" w:noHBand="0" w:noVBand="1"/>
      </w:tblPr>
      <w:tblGrid>
        <w:gridCol w:w="2340"/>
        <w:gridCol w:w="1993"/>
        <w:gridCol w:w="4937"/>
      </w:tblGrid>
      <w:tr w:rsidR="00DF634B" w:rsidRPr="00DC6E64" w14:paraId="282C8E8A" w14:textId="77777777" w:rsidTr="00670BB2">
        <w:tc>
          <w:tcPr>
            <w:tcW w:w="2340" w:type="dxa"/>
            <w:tcBorders>
              <w:top w:val="nil"/>
              <w:left w:val="nil"/>
              <w:bottom w:val="nil"/>
              <w:right w:val="nil"/>
            </w:tcBorders>
            <w:tcMar>
              <w:top w:w="240" w:type="dxa"/>
              <w:left w:w="240" w:type="dxa"/>
              <w:bottom w:w="240" w:type="dxa"/>
              <w:right w:w="240" w:type="dxa"/>
            </w:tcMar>
            <w:vAlign w:val="bottom"/>
            <w:hideMark/>
          </w:tcPr>
          <w:p w14:paraId="1B038EF9" w14:textId="77777777" w:rsidR="00DF634B" w:rsidRPr="00DC6E64" w:rsidRDefault="00DF634B" w:rsidP="00670BB2">
            <w:pPr>
              <w:spacing w:before="120" w:after="120" w:line="240" w:lineRule="auto"/>
              <w:jc w:val="center"/>
              <w:rPr>
                <w:rFonts w:ascii="open_sansregular" w:eastAsia="Times New Roman" w:hAnsi="open_sansregular" w:cs="Times New Roman"/>
                <w:kern w:val="0"/>
                <w:sz w:val="24"/>
                <w:szCs w:val="24"/>
                <w14:ligatures w14:val="none"/>
              </w:rPr>
            </w:pPr>
            <w:proofErr w:type="gramStart"/>
            <w:r w:rsidRPr="00DC6E64">
              <w:rPr>
                <w:rFonts w:ascii="open_sansregular" w:eastAsia="Times New Roman" w:hAnsi="open_sansregular" w:cs="Times New Roman"/>
                <w:kern w:val="0"/>
                <w:sz w:val="24"/>
                <w:szCs w:val="24"/>
                <w14:ligatures w14:val="none"/>
              </w:rPr>
              <w:t>Line Item</w:t>
            </w:r>
            <w:proofErr w:type="gramEnd"/>
            <w:r w:rsidRPr="00DC6E64">
              <w:rPr>
                <w:rFonts w:ascii="open_sansregular" w:eastAsia="Times New Roman" w:hAnsi="open_sansregular" w:cs="Times New Roman"/>
                <w:kern w:val="0"/>
                <w:sz w:val="24"/>
                <w:szCs w:val="24"/>
                <w14:ligatures w14:val="none"/>
              </w:rPr>
              <w:t xml:space="preserve"> No.</w:t>
            </w:r>
          </w:p>
        </w:tc>
        <w:tc>
          <w:tcPr>
            <w:tcW w:w="1993" w:type="dxa"/>
            <w:tcBorders>
              <w:top w:val="nil"/>
              <w:left w:val="nil"/>
              <w:bottom w:val="nil"/>
              <w:right w:val="nil"/>
            </w:tcBorders>
            <w:tcMar>
              <w:top w:w="240" w:type="dxa"/>
              <w:left w:w="240" w:type="dxa"/>
              <w:bottom w:w="240" w:type="dxa"/>
              <w:right w:w="240" w:type="dxa"/>
            </w:tcMar>
            <w:vAlign w:val="bottom"/>
            <w:hideMark/>
          </w:tcPr>
          <w:p w14:paraId="7290B820" w14:textId="77777777" w:rsidR="00DF634B" w:rsidRPr="00DC6E64" w:rsidRDefault="00DF634B" w:rsidP="00670BB2">
            <w:pPr>
              <w:spacing w:before="120" w:after="120" w:line="240" w:lineRule="auto"/>
              <w:jc w:val="center"/>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kern w:val="0"/>
                <w:sz w:val="24"/>
                <w:szCs w:val="24"/>
                <w14:ligatures w14:val="none"/>
              </w:rPr>
              <w:t>Country of Origin</w:t>
            </w:r>
          </w:p>
        </w:tc>
        <w:tc>
          <w:tcPr>
            <w:tcW w:w="4937" w:type="dxa"/>
            <w:tcBorders>
              <w:top w:val="nil"/>
              <w:left w:val="nil"/>
              <w:bottom w:val="nil"/>
              <w:right w:val="nil"/>
            </w:tcBorders>
            <w:tcMar>
              <w:top w:w="240" w:type="dxa"/>
              <w:left w:w="240" w:type="dxa"/>
              <w:bottom w:w="240" w:type="dxa"/>
              <w:right w:w="240" w:type="dxa"/>
            </w:tcMar>
            <w:vAlign w:val="bottom"/>
            <w:hideMark/>
          </w:tcPr>
          <w:p w14:paraId="34F4A361" w14:textId="77777777" w:rsidR="00DF634B" w:rsidRPr="00DC6E64" w:rsidRDefault="00DF634B" w:rsidP="00670BB2">
            <w:pPr>
              <w:spacing w:before="120" w:after="120" w:line="240" w:lineRule="auto"/>
              <w:jc w:val="center"/>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kern w:val="0"/>
                <w:sz w:val="24"/>
                <w:szCs w:val="24"/>
                <w14:ligatures w14:val="none"/>
              </w:rPr>
              <w:t>Exceeds 55% domestic content (yes/no)</w:t>
            </w:r>
          </w:p>
        </w:tc>
      </w:tr>
      <w:tr w:rsidR="00DF634B" w:rsidRPr="00DC6E64" w14:paraId="0E7A9634" w14:textId="77777777" w:rsidTr="00670BB2">
        <w:tc>
          <w:tcPr>
            <w:tcW w:w="2340" w:type="dxa"/>
            <w:tcBorders>
              <w:top w:val="nil"/>
              <w:left w:val="nil"/>
              <w:bottom w:val="nil"/>
              <w:right w:val="nil"/>
            </w:tcBorders>
            <w:tcMar>
              <w:top w:w="240" w:type="dxa"/>
              <w:left w:w="240" w:type="dxa"/>
              <w:bottom w:w="240" w:type="dxa"/>
              <w:right w:w="240" w:type="dxa"/>
            </w:tcMar>
            <w:vAlign w:val="bottom"/>
            <w:hideMark/>
          </w:tcPr>
          <w:p w14:paraId="506516DA" w14:textId="72AAFA05"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w:t>
            </w:r>
          </w:p>
        </w:tc>
        <w:tc>
          <w:tcPr>
            <w:tcW w:w="1993" w:type="dxa"/>
            <w:tcBorders>
              <w:top w:val="nil"/>
              <w:left w:val="nil"/>
              <w:bottom w:val="nil"/>
              <w:right w:val="nil"/>
            </w:tcBorders>
            <w:tcMar>
              <w:top w:w="240" w:type="dxa"/>
              <w:left w:w="240" w:type="dxa"/>
              <w:bottom w:w="240" w:type="dxa"/>
              <w:right w:w="240" w:type="dxa"/>
            </w:tcMar>
            <w:vAlign w:val="bottom"/>
            <w:hideMark/>
          </w:tcPr>
          <w:p w14:paraId="512A976A" w14:textId="07BDB420"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 ______________</w:t>
            </w:r>
          </w:p>
        </w:tc>
        <w:tc>
          <w:tcPr>
            <w:tcW w:w="4937" w:type="dxa"/>
            <w:tcBorders>
              <w:top w:val="nil"/>
              <w:left w:val="nil"/>
              <w:bottom w:val="nil"/>
              <w:right w:val="nil"/>
            </w:tcBorders>
            <w:tcMar>
              <w:top w:w="240" w:type="dxa"/>
              <w:left w:w="240" w:type="dxa"/>
              <w:bottom w:w="240" w:type="dxa"/>
              <w:right w:w="240" w:type="dxa"/>
            </w:tcMar>
            <w:vAlign w:val="bottom"/>
            <w:hideMark/>
          </w:tcPr>
          <w:p w14:paraId="69FF9EC3" w14:textId="3DFE92E4"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r>
      <w:tr w:rsidR="00DF634B" w:rsidRPr="00DC6E64" w14:paraId="292A4E23" w14:textId="77777777" w:rsidTr="00670BB2">
        <w:tc>
          <w:tcPr>
            <w:tcW w:w="2340" w:type="dxa"/>
            <w:tcBorders>
              <w:top w:val="nil"/>
              <w:left w:val="nil"/>
              <w:bottom w:val="nil"/>
              <w:right w:val="nil"/>
            </w:tcBorders>
            <w:tcMar>
              <w:top w:w="240" w:type="dxa"/>
              <w:left w:w="240" w:type="dxa"/>
              <w:bottom w:w="240" w:type="dxa"/>
              <w:right w:w="240" w:type="dxa"/>
            </w:tcMar>
            <w:vAlign w:val="bottom"/>
            <w:hideMark/>
          </w:tcPr>
          <w:p w14:paraId="0FE109EF"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w:t>
            </w:r>
          </w:p>
        </w:tc>
        <w:tc>
          <w:tcPr>
            <w:tcW w:w="1993" w:type="dxa"/>
            <w:tcBorders>
              <w:top w:val="nil"/>
              <w:left w:val="nil"/>
              <w:bottom w:val="nil"/>
              <w:right w:val="nil"/>
            </w:tcBorders>
            <w:tcMar>
              <w:top w:w="240" w:type="dxa"/>
              <w:left w:w="240" w:type="dxa"/>
              <w:bottom w:w="240" w:type="dxa"/>
              <w:right w:w="240" w:type="dxa"/>
            </w:tcMar>
            <w:vAlign w:val="bottom"/>
            <w:hideMark/>
          </w:tcPr>
          <w:p w14:paraId="4746BC6A"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c>
          <w:tcPr>
            <w:tcW w:w="4937" w:type="dxa"/>
            <w:tcBorders>
              <w:top w:val="nil"/>
              <w:left w:val="nil"/>
              <w:bottom w:val="nil"/>
              <w:right w:val="nil"/>
            </w:tcBorders>
            <w:tcMar>
              <w:top w:w="240" w:type="dxa"/>
              <w:left w:w="240" w:type="dxa"/>
              <w:bottom w:w="240" w:type="dxa"/>
              <w:right w:w="240" w:type="dxa"/>
            </w:tcMar>
            <w:vAlign w:val="bottom"/>
            <w:hideMark/>
          </w:tcPr>
          <w:p w14:paraId="7FB6F6E3"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r>
      <w:tr w:rsidR="00DF634B" w:rsidRPr="00DC6E64" w14:paraId="67A77666" w14:textId="77777777" w:rsidTr="00670BB2">
        <w:tc>
          <w:tcPr>
            <w:tcW w:w="2340" w:type="dxa"/>
            <w:tcBorders>
              <w:top w:val="nil"/>
              <w:left w:val="nil"/>
              <w:bottom w:val="nil"/>
              <w:right w:val="nil"/>
            </w:tcBorders>
            <w:tcMar>
              <w:top w:w="240" w:type="dxa"/>
              <w:left w:w="240" w:type="dxa"/>
              <w:bottom w:w="240" w:type="dxa"/>
              <w:right w:w="240" w:type="dxa"/>
            </w:tcMar>
            <w:vAlign w:val="bottom"/>
            <w:hideMark/>
          </w:tcPr>
          <w:p w14:paraId="57046F4D"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w:t>
            </w:r>
          </w:p>
        </w:tc>
        <w:tc>
          <w:tcPr>
            <w:tcW w:w="1993" w:type="dxa"/>
            <w:tcBorders>
              <w:top w:val="nil"/>
              <w:left w:val="nil"/>
              <w:bottom w:val="nil"/>
              <w:right w:val="nil"/>
            </w:tcBorders>
            <w:tcMar>
              <w:top w:w="240" w:type="dxa"/>
              <w:left w:w="240" w:type="dxa"/>
              <w:bottom w:w="240" w:type="dxa"/>
              <w:right w:w="240" w:type="dxa"/>
            </w:tcMar>
            <w:vAlign w:val="bottom"/>
            <w:hideMark/>
          </w:tcPr>
          <w:p w14:paraId="602ECDF6"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c>
          <w:tcPr>
            <w:tcW w:w="4937" w:type="dxa"/>
            <w:tcBorders>
              <w:top w:val="nil"/>
              <w:left w:val="nil"/>
              <w:bottom w:val="nil"/>
              <w:right w:val="nil"/>
            </w:tcBorders>
            <w:tcMar>
              <w:top w:w="240" w:type="dxa"/>
              <w:left w:w="240" w:type="dxa"/>
              <w:bottom w:w="240" w:type="dxa"/>
              <w:right w:w="240" w:type="dxa"/>
            </w:tcMar>
            <w:vAlign w:val="bottom"/>
            <w:hideMark/>
          </w:tcPr>
          <w:p w14:paraId="7EA05345"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r>
    </w:tbl>
    <w:p w14:paraId="1E761C78"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(b</w:t>
      </w:r>
      <w:proofErr w:type="gramStart"/>
      <w:r w:rsidRPr="00DC6E64">
        <w:rPr>
          <w:rFonts w:ascii="open_sansregular" w:eastAsia="Times New Roman" w:hAnsi="open_sansregular" w:cs="Times New Roman"/>
          <w:color w:val="000000"/>
          <w:kern w:val="0"/>
          <w:sz w:val="24"/>
          <w:szCs w:val="24"/>
          <w:bdr w:val="none" w:sz="0" w:space="0" w:color="auto" w:frame="1"/>
          <w14:ligatures w14:val="none"/>
        </w:rPr>
        <w:t>)</w:t>
      </w:r>
      <w:r w:rsidRPr="00DC6E64">
        <w:rPr>
          <w:rFonts w:ascii="open_sansregular" w:eastAsia="Times New Roman" w:hAnsi="open_sansregular" w:cs="Times New Roman"/>
          <w:color w:val="000000"/>
          <w:kern w:val="0"/>
          <w:sz w:val="24"/>
          <w:szCs w:val="24"/>
          <w14:ligatures w14:val="none"/>
        </w:rPr>
        <w:t>[</w:t>
      </w:r>
      <w:proofErr w:type="gramEnd"/>
      <w:r w:rsidRPr="00DC6E64">
        <w:rPr>
          <w:rFonts w:ascii="inherit" w:eastAsia="Times New Roman" w:hAnsi="inherit" w:cs="Times New Roman"/>
          <w:i/>
          <w:iCs/>
          <w:color w:val="000000"/>
          <w:kern w:val="0"/>
          <w:sz w:val="24"/>
          <w:szCs w:val="24"/>
          <w:bdr w:val="none" w:sz="0" w:space="0" w:color="auto" w:frame="1"/>
          <w14:ligatures w14:val="none"/>
        </w:rPr>
        <w:t>List as necessary</w:t>
      </w:r>
      <w:r w:rsidRPr="00DC6E64">
        <w:rPr>
          <w:rFonts w:ascii="open_sansregular" w:eastAsia="Times New Roman" w:hAnsi="open_sansregular" w:cs="Times New Roman"/>
          <w:color w:val="000000"/>
          <w:kern w:val="0"/>
          <w:sz w:val="24"/>
          <w:szCs w:val="24"/>
          <w14:ligatures w14:val="none"/>
        </w:rPr>
        <w:t>]</w:t>
      </w:r>
    </w:p>
    <w:p w14:paraId="342EF346"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(c)</w:t>
      </w:r>
      <w:r w:rsidRPr="00DC6E64">
        <w:rPr>
          <w:rFonts w:ascii="open_sansregular" w:eastAsia="Times New Roman" w:hAnsi="open_sansregular" w:cs="Times New Roman"/>
          <w:color w:val="000000"/>
          <w:kern w:val="0"/>
          <w:sz w:val="24"/>
          <w:szCs w:val="24"/>
          <w14:ligatures w14:val="none"/>
        </w:rPr>
        <w:t> Domestic end products containing a critical component:</w:t>
      </w:r>
    </w:p>
    <w:p w14:paraId="08378971"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proofErr w:type="gramStart"/>
      <w:r w:rsidRPr="00DC6E64">
        <w:rPr>
          <w:rFonts w:ascii="open_sansregular" w:eastAsia="Times New Roman" w:hAnsi="open_sansregular" w:cs="Times New Roman"/>
          <w:color w:val="000000"/>
          <w:kern w:val="0"/>
          <w:sz w:val="24"/>
          <w:szCs w:val="24"/>
          <w14:ligatures w14:val="none"/>
        </w:rPr>
        <w:t>Line Item</w:t>
      </w:r>
      <w:proofErr w:type="gramEnd"/>
      <w:r w:rsidRPr="00DC6E64">
        <w:rPr>
          <w:rFonts w:ascii="open_sansregular" w:eastAsia="Times New Roman" w:hAnsi="open_sansregular" w:cs="Times New Roman"/>
          <w:color w:val="000000"/>
          <w:kern w:val="0"/>
          <w:sz w:val="24"/>
          <w:szCs w:val="24"/>
          <w14:ligatures w14:val="none"/>
        </w:rPr>
        <w:t xml:space="preserve"> No. </w:t>
      </w:r>
      <w:r w:rsidRPr="00DC6E64">
        <w:rPr>
          <w:rFonts w:ascii="open_sansregular" w:eastAsia="Times New Roman" w:hAnsi="open_sansregular" w:cs="Times New Roman"/>
          <w:i/>
          <w:iCs/>
          <w:color w:val="000000"/>
          <w:kern w:val="0"/>
          <w:sz w:val="24"/>
          <w:szCs w:val="24"/>
          <w:bdr w:val="none" w:sz="0" w:space="0" w:color="auto" w:frame="1"/>
          <w14:ligatures w14:val="none"/>
        </w:rPr>
        <w:t>___</w:t>
      </w:r>
    </w:p>
    <w:p w14:paraId="55A072B1"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14:ligatures w14:val="none"/>
        </w:rPr>
        <w:t>[</w:t>
      </w:r>
      <w:r w:rsidRPr="00DC6E64">
        <w:rPr>
          <w:rFonts w:ascii="inherit" w:eastAsia="Times New Roman" w:hAnsi="inherit" w:cs="Times New Roman"/>
          <w:i/>
          <w:iCs/>
          <w:color w:val="000000"/>
          <w:kern w:val="0"/>
          <w:sz w:val="24"/>
          <w:szCs w:val="24"/>
          <w:bdr w:val="none" w:sz="0" w:space="0" w:color="auto" w:frame="1"/>
          <w14:ligatures w14:val="none"/>
        </w:rPr>
        <w:t>List as necessary</w:t>
      </w:r>
      <w:r w:rsidRPr="00DC6E64">
        <w:rPr>
          <w:rFonts w:ascii="open_sansregular" w:eastAsia="Times New Roman" w:hAnsi="open_sansregular" w:cs="Times New Roman"/>
          <w:color w:val="000000"/>
          <w:kern w:val="0"/>
          <w:sz w:val="24"/>
          <w:szCs w:val="24"/>
          <w14:ligatures w14:val="none"/>
        </w:rPr>
        <w:t>]</w:t>
      </w:r>
    </w:p>
    <w:p w14:paraId="075CC473" w14:textId="77777777" w:rsidR="00DF634B"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(d)</w:t>
      </w:r>
      <w:r w:rsidRPr="00DC6E64">
        <w:rPr>
          <w:rFonts w:ascii="open_sansregular" w:eastAsia="Times New Roman" w:hAnsi="open_sansregular" w:cs="Times New Roman"/>
          <w:color w:val="000000"/>
          <w:kern w:val="0"/>
          <w:sz w:val="24"/>
          <w:szCs w:val="24"/>
          <w14:ligatures w14:val="none"/>
        </w:rPr>
        <w:t> The Government will evaluate offers in accordance with the policies and procedures of </w:t>
      </w:r>
      <w:hyperlink r:id="rId5" w:anchor="FAR_Part_25" w:tooltip="part  25" w:history="1">
        <w:r w:rsidRPr="00DC6E64">
          <w:rPr>
            <w:rFonts w:ascii="inherit" w:eastAsia="Times New Roman" w:hAnsi="inherit" w:cs="Times New Roman"/>
            <w:color w:val="0000FF"/>
            <w:kern w:val="0"/>
            <w:sz w:val="24"/>
            <w:szCs w:val="24"/>
            <w:u w:val="single"/>
            <w:bdr w:val="none" w:sz="0" w:space="0" w:color="auto" w:frame="1"/>
            <w14:ligatures w14:val="none"/>
          </w:rPr>
          <w:t>part  25</w:t>
        </w:r>
      </w:hyperlink>
      <w:r w:rsidRPr="00DC6E64">
        <w:rPr>
          <w:rFonts w:ascii="open_sansregular" w:eastAsia="Times New Roman" w:hAnsi="open_sansregular" w:cs="Times New Roman"/>
          <w:color w:val="000000"/>
          <w:kern w:val="0"/>
          <w:sz w:val="24"/>
          <w:szCs w:val="24"/>
          <w14:ligatures w14:val="none"/>
        </w:rPr>
        <w:t> of the Federal Acquisition Regulation.</w:t>
      </w:r>
    </w:p>
    <w:p w14:paraId="0CE92295" w14:textId="77777777" w:rsidR="00DF634B" w:rsidRDefault="00DF634B" w:rsidP="00DF634B">
      <w:pPr>
        <w:shd w:val="clear" w:color="auto" w:fill="FFFFFF"/>
        <w:spacing w:before="120" w:after="120" w:line="240" w:lineRule="auto"/>
        <w:ind w:firstLine="360"/>
        <w:jc w:val="center"/>
        <w:textAlignment w:val="baseline"/>
      </w:pPr>
      <w:r w:rsidRPr="00DC6E64">
        <w:rPr>
          <w:rFonts w:ascii="open_sansregular" w:eastAsia="Times New Roman" w:hAnsi="open_sansregular" w:cs="Times New Roman"/>
          <w:color w:val="000000"/>
          <w:kern w:val="0"/>
          <w:sz w:val="24"/>
          <w:szCs w:val="24"/>
          <w14:ligatures w14:val="none"/>
        </w:rPr>
        <w:t>(End of provision)</w:t>
      </w:r>
    </w:p>
    <w:p w14:paraId="26F5CBFA" w14:textId="77777777" w:rsidR="00807A6A" w:rsidRDefault="00807A6A"/>
    <w:sectPr w:rsidR="00807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_sansregular">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34B"/>
    <w:rsid w:val="0010002D"/>
    <w:rsid w:val="006045C1"/>
    <w:rsid w:val="00807A6A"/>
    <w:rsid w:val="00BD15AB"/>
    <w:rsid w:val="00BF1B4B"/>
    <w:rsid w:val="00CF7D9D"/>
    <w:rsid w:val="00DF634B"/>
    <w:rsid w:val="00FE5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6817"/>
  <w15:chartTrackingRefBased/>
  <w15:docId w15:val="{4BC318E9-C130-4C1A-B9F2-487ABB249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34B"/>
  </w:style>
  <w:style w:type="paragraph" w:styleId="Heading1">
    <w:name w:val="heading 1"/>
    <w:basedOn w:val="Normal"/>
    <w:next w:val="Normal"/>
    <w:link w:val="Heading1Char"/>
    <w:uiPriority w:val="9"/>
    <w:qFormat/>
    <w:rsid w:val="00DF6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34B"/>
    <w:rPr>
      <w:rFonts w:eastAsiaTheme="majorEastAsia" w:cstheme="majorBidi"/>
      <w:color w:val="272727" w:themeColor="text1" w:themeTint="D8"/>
    </w:rPr>
  </w:style>
  <w:style w:type="paragraph" w:styleId="Title">
    <w:name w:val="Title"/>
    <w:basedOn w:val="Normal"/>
    <w:next w:val="Normal"/>
    <w:link w:val="TitleChar"/>
    <w:uiPriority w:val="10"/>
    <w:qFormat/>
    <w:rsid w:val="00DF6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34B"/>
    <w:pPr>
      <w:spacing w:before="160"/>
      <w:jc w:val="center"/>
    </w:pPr>
    <w:rPr>
      <w:i/>
      <w:iCs/>
      <w:color w:val="404040" w:themeColor="text1" w:themeTint="BF"/>
    </w:rPr>
  </w:style>
  <w:style w:type="character" w:customStyle="1" w:styleId="QuoteChar">
    <w:name w:val="Quote Char"/>
    <w:basedOn w:val="DefaultParagraphFont"/>
    <w:link w:val="Quote"/>
    <w:uiPriority w:val="29"/>
    <w:rsid w:val="00DF634B"/>
    <w:rPr>
      <w:i/>
      <w:iCs/>
      <w:color w:val="404040" w:themeColor="text1" w:themeTint="BF"/>
    </w:rPr>
  </w:style>
  <w:style w:type="paragraph" w:styleId="ListParagraph">
    <w:name w:val="List Paragraph"/>
    <w:basedOn w:val="Normal"/>
    <w:uiPriority w:val="34"/>
    <w:qFormat/>
    <w:rsid w:val="00DF634B"/>
    <w:pPr>
      <w:ind w:left="720"/>
      <w:contextualSpacing/>
    </w:pPr>
  </w:style>
  <w:style w:type="character" w:styleId="IntenseEmphasis">
    <w:name w:val="Intense Emphasis"/>
    <w:basedOn w:val="DefaultParagraphFont"/>
    <w:uiPriority w:val="21"/>
    <w:qFormat/>
    <w:rsid w:val="00DF634B"/>
    <w:rPr>
      <w:i/>
      <w:iCs/>
      <w:color w:val="0F4761" w:themeColor="accent1" w:themeShade="BF"/>
    </w:rPr>
  </w:style>
  <w:style w:type="paragraph" w:styleId="IntenseQuote">
    <w:name w:val="Intense Quote"/>
    <w:basedOn w:val="Normal"/>
    <w:next w:val="Normal"/>
    <w:link w:val="IntenseQuoteChar"/>
    <w:uiPriority w:val="30"/>
    <w:qFormat/>
    <w:rsid w:val="00DF6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34B"/>
    <w:rPr>
      <w:i/>
      <w:iCs/>
      <w:color w:val="0F4761" w:themeColor="accent1" w:themeShade="BF"/>
    </w:rPr>
  </w:style>
  <w:style w:type="character" w:styleId="IntenseReference">
    <w:name w:val="Intense Reference"/>
    <w:basedOn w:val="DefaultParagraphFont"/>
    <w:uiPriority w:val="32"/>
    <w:qFormat/>
    <w:rsid w:val="00DF6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acquisition.gov/far/part-25" TargetMode="External"/><Relationship Id="rId4" Type="http://schemas.openxmlformats.org/officeDocument/2006/relationships/hyperlink" Target="https://www.acquisition.gov/far/part-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1406</Characters>
  <Application>Microsoft Office Word</Application>
  <DocSecurity>0</DocSecurity>
  <Lines>36</Lines>
  <Paragraphs>24</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Lynn</dc:creator>
  <cp:keywords/>
  <dc:description/>
  <cp:lastModifiedBy>Adusei, Eric</cp:lastModifiedBy>
  <cp:revision>2</cp:revision>
  <dcterms:created xsi:type="dcterms:W3CDTF">2026-04-17T17:55:00Z</dcterms:created>
  <dcterms:modified xsi:type="dcterms:W3CDTF">2026-04-17T17:55:00Z</dcterms:modified>
</cp:coreProperties>
</file>