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4DC34" w14:textId="57489E80" w:rsidR="0099037C" w:rsidRPr="0099037C" w:rsidRDefault="0099037C" w:rsidP="0099037C">
      <w:r w:rsidRPr="0099037C">
        <w:t>RFP 693JF726R000009</w:t>
      </w:r>
      <w:r>
        <w:t xml:space="preserve"> Q&amp;Q</w:t>
      </w:r>
    </w:p>
    <w:p w14:paraId="137C4CBE" w14:textId="77777777" w:rsidR="0099037C" w:rsidRDefault="0099037C" w:rsidP="00F21BC2"/>
    <w:p w14:paraId="26AA5367" w14:textId="1F22C214" w:rsidR="00F21BC2" w:rsidRPr="00F21BC2" w:rsidRDefault="00F21BC2" w:rsidP="00F21BC2">
      <w:r w:rsidRPr="00F21BC2">
        <w:t xml:space="preserve">Sec M.1 | Pg </w:t>
      </w:r>
      <w:proofErr w:type="gramStart"/>
      <w:r w:rsidRPr="00F21BC2">
        <w:t>59  The</w:t>
      </w:r>
      <w:proofErr w:type="gramEnd"/>
      <w:r w:rsidRPr="00F21BC2">
        <w:t xml:space="preserve"> solicitation states </w:t>
      </w:r>
      <w:proofErr w:type="spellStart"/>
      <w:r w:rsidRPr="00F21BC2">
        <w:t>layberthing</w:t>
      </w:r>
      <w:proofErr w:type="spellEnd"/>
      <w:r w:rsidRPr="00F21BC2">
        <w:t xml:space="preserve"> for 5yrs however under section M.1 it states the offeror can provide a 10yr option – please clarify if 10yr options will be considered. </w:t>
      </w:r>
    </w:p>
    <w:p w14:paraId="6F4E6EAE" w14:textId="77777777" w:rsidR="00F21BC2" w:rsidRPr="00F21BC2" w:rsidRDefault="00F21BC2" w:rsidP="00F21BC2">
      <w:r w:rsidRPr="00F21BC2">
        <w:t>Section M.1 Pg 59: The solicitation is for 5 years.</w:t>
      </w:r>
    </w:p>
    <w:p w14:paraId="2EF9085E" w14:textId="77777777" w:rsidR="00F21BC2" w:rsidRPr="00F21BC2" w:rsidRDefault="00F21BC2" w:rsidP="00F21BC2"/>
    <w:p w14:paraId="22C2BB11" w14:textId="77777777" w:rsidR="00F21BC2" w:rsidRPr="00F21BC2" w:rsidRDefault="00F21BC2" w:rsidP="00F21BC2">
      <w:r w:rsidRPr="00F21BC2">
        <w:t>Sec C-4 (C) | Pg 13 Permits/Licenses/Leases shall be provided (30) days after contract award but in the evaluation criteria it states a lease must be submitted with the proposal – please clarify if lease/ownership documentation must be submitted with the proposal or (30) days after contract award. </w:t>
      </w:r>
    </w:p>
    <w:p w14:paraId="238F4881" w14:textId="77777777" w:rsidR="00F21BC2" w:rsidRPr="00F21BC2" w:rsidRDefault="00F21BC2" w:rsidP="00F21BC2">
      <w:r w:rsidRPr="00F21BC2">
        <w:t>Section C-4(C) Submitted with the proposal.</w:t>
      </w:r>
    </w:p>
    <w:p w14:paraId="4ADD41B9" w14:textId="77777777" w:rsidR="00F21BC2" w:rsidRPr="00F21BC2" w:rsidRDefault="00F21BC2" w:rsidP="00F21BC2"/>
    <w:p w14:paraId="252F2D47" w14:textId="77777777" w:rsidR="00F21BC2" w:rsidRPr="00F21BC2" w:rsidRDefault="00F21BC2" w:rsidP="00F21BC2">
      <w:r w:rsidRPr="00F21BC2">
        <w:t xml:space="preserve">Sec C-8 (A)1 | Pg 21 States that updated soundings (within 6 months) shall be provided 30 days prior to contract commencement.  The evaluation criteria in Sec M.3.2 state that the same must be submitted to be found technically acceptable.  Please clarify if official sounds can be provided prior to contract commencement.  Will the Maritime Administration accept an older set of soundings for the proposal </w:t>
      </w:r>
      <w:proofErr w:type="gramStart"/>
      <w:r w:rsidRPr="00F21BC2">
        <w:t>as long as</w:t>
      </w:r>
      <w:proofErr w:type="gramEnd"/>
      <w:r w:rsidRPr="00F21BC2">
        <w:t xml:space="preserve"> they are verified with updated soundings before contract commencement as stated? </w:t>
      </w:r>
    </w:p>
    <w:p w14:paraId="1DE8B2D2" w14:textId="77777777" w:rsidR="00F21BC2" w:rsidRPr="00F21BC2" w:rsidRDefault="00F21BC2" w:rsidP="00F21BC2">
      <w:r w:rsidRPr="00F21BC2">
        <w:t>Section C-8 (A)1 Older sounds will be acceptable at time of proposal with updated sounding within 6 months 30 days prior to the contract.</w:t>
      </w:r>
    </w:p>
    <w:p w14:paraId="0320D458" w14:textId="77777777" w:rsidR="00F21BC2" w:rsidRPr="00F21BC2" w:rsidRDefault="00F21BC2" w:rsidP="00F21BC2"/>
    <w:p w14:paraId="1D7EF456" w14:textId="77777777" w:rsidR="00F21BC2" w:rsidRPr="00F21BC2" w:rsidRDefault="00F21BC2" w:rsidP="00F21BC2">
      <w:r w:rsidRPr="00F21BC2">
        <w:t xml:space="preserve">Sec C-10 (A) | Pg 25 This states the contractor is responsible for removing and installing fenders between moored vessels however does not give an amount of estimated ship movements </w:t>
      </w:r>
      <w:proofErr w:type="gramStart"/>
      <w:r w:rsidRPr="00F21BC2">
        <w:t>in order to</w:t>
      </w:r>
      <w:proofErr w:type="gramEnd"/>
      <w:r w:rsidRPr="00F21BC2">
        <w:t xml:space="preserve"> accurately bid.  Please provide an annual estimate of evolutions the contract would have to provide removal and installation services for the fenders. </w:t>
      </w:r>
    </w:p>
    <w:p w14:paraId="2A703BD9" w14:textId="77777777" w:rsidR="00F21BC2" w:rsidRPr="00F21BC2" w:rsidRDefault="00F21BC2" w:rsidP="00F21BC2">
      <w:r w:rsidRPr="00F21BC2">
        <w:t>C-10 (A). Roughly 2 evolutions per year.</w:t>
      </w:r>
    </w:p>
    <w:p w14:paraId="2EB4AB94" w14:textId="77777777" w:rsidR="00F21BC2" w:rsidRPr="00F21BC2" w:rsidRDefault="00F21BC2" w:rsidP="00F21BC2"/>
    <w:p w14:paraId="64272BFF" w14:textId="77777777" w:rsidR="00F21BC2" w:rsidRPr="00F21BC2" w:rsidRDefault="00F21BC2" w:rsidP="00F21BC2">
      <w:r w:rsidRPr="00F21BC2">
        <w:t xml:space="preserve">Sec L.4.1 Factor 4 | Pg 58 Port Services Availability – it states provide letters for OR evidence of but then in Sec M Evaluation Factors for Award it states letters from at least three ship repair facilities.  Please clarify if actual letters are needed, and for what services, </w:t>
      </w:r>
      <w:r w:rsidRPr="00F21BC2">
        <w:lastRenderedPageBreak/>
        <w:t>or simply evidence of.  If ships have historically been birthed in proposed area, can that constitute as evidence of?  </w:t>
      </w:r>
    </w:p>
    <w:p w14:paraId="4DCFD0AB" w14:textId="77777777" w:rsidR="00F21BC2" w:rsidRPr="00F21BC2" w:rsidRDefault="00F21BC2" w:rsidP="00F21BC2">
      <w:r w:rsidRPr="00F21BC2">
        <w:t>Section L.4.1 Factor 4. Evidence is sufficient. Letters are not required. If ships were previously berthed at this location, a list of companies is sufficient. </w:t>
      </w:r>
    </w:p>
    <w:p w14:paraId="388513B4" w14:textId="77777777" w:rsidR="00F21BC2" w:rsidRPr="00F21BC2" w:rsidRDefault="00F21BC2" w:rsidP="00F21BC2"/>
    <w:p w14:paraId="6451A33A" w14:textId="77777777" w:rsidR="00F21BC2" w:rsidRPr="00F21BC2" w:rsidRDefault="00F21BC2" w:rsidP="00F21BC2">
      <w:r w:rsidRPr="00F21BC2">
        <w:t>General Question Can an award timeline be provided? MARAD typically takes one month to review proposals for technical accuracy and to make an award.</w:t>
      </w:r>
    </w:p>
    <w:p w14:paraId="12A260CE" w14:textId="77777777" w:rsidR="00F21BC2" w:rsidRDefault="00F21BC2"/>
    <w:sectPr w:rsidR="00F21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C2"/>
    <w:rsid w:val="0099037C"/>
    <w:rsid w:val="00D1206B"/>
    <w:rsid w:val="00DD2AB7"/>
    <w:rsid w:val="00F21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F920"/>
  <w15:chartTrackingRefBased/>
  <w15:docId w15:val="{E79A5C92-9476-4C82-859A-BD137D2F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BC2"/>
    <w:rPr>
      <w:rFonts w:eastAsiaTheme="majorEastAsia" w:cstheme="majorBidi"/>
      <w:color w:val="272727" w:themeColor="text1" w:themeTint="D8"/>
    </w:rPr>
  </w:style>
  <w:style w:type="paragraph" w:styleId="Title">
    <w:name w:val="Title"/>
    <w:basedOn w:val="Normal"/>
    <w:next w:val="Normal"/>
    <w:link w:val="TitleChar"/>
    <w:uiPriority w:val="10"/>
    <w:qFormat/>
    <w:rsid w:val="00F2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BC2"/>
    <w:pPr>
      <w:spacing w:before="160"/>
      <w:jc w:val="center"/>
    </w:pPr>
    <w:rPr>
      <w:i/>
      <w:iCs/>
      <w:color w:val="404040" w:themeColor="text1" w:themeTint="BF"/>
    </w:rPr>
  </w:style>
  <w:style w:type="character" w:customStyle="1" w:styleId="QuoteChar">
    <w:name w:val="Quote Char"/>
    <w:basedOn w:val="DefaultParagraphFont"/>
    <w:link w:val="Quote"/>
    <w:uiPriority w:val="29"/>
    <w:rsid w:val="00F21BC2"/>
    <w:rPr>
      <w:i/>
      <w:iCs/>
      <w:color w:val="404040" w:themeColor="text1" w:themeTint="BF"/>
    </w:rPr>
  </w:style>
  <w:style w:type="paragraph" w:styleId="ListParagraph">
    <w:name w:val="List Paragraph"/>
    <w:basedOn w:val="Normal"/>
    <w:uiPriority w:val="34"/>
    <w:qFormat/>
    <w:rsid w:val="00F21BC2"/>
    <w:pPr>
      <w:ind w:left="720"/>
      <w:contextualSpacing/>
    </w:pPr>
  </w:style>
  <w:style w:type="character" w:styleId="IntenseEmphasis">
    <w:name w:val="Intense Emphasis"/>
    <w:basedOn w:val="DefaultParagraphFont"/>
    <w:uiPriority w:val="21"/>
    <w:qFormat/>
    <w:rsid w:val="00F21BC2"/>
    <w:rPr>
      <w:i/>
      <w:iCs/>
      <w:color w:val="0F4761" w:themeColor="accent1" w:themeShade="BF"/>
    </w:rPr>
  </w:style>
  <w:style w:type="paragraph" w:styleId="IntenseQuote">
    <w:name w:val="Intense Quote"/>
    <w:basedOn w:val="Normal"/>
    <w:next w:val="Normal"/>
    <w:link w:val="IntenseQuoteChar"/>
    <w:uiPriority w:val="30"/>
    <w:qFormat/>
    <w:rsid w:val="00F2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BC2"/>
    <w:rPr>
      <w:i/>
      <w:iCs/>
      <w:color w:val="0F4761" w:themeColor="accent1" w:themeShade="BF"/>
    </w:rPr>
  </w:style>
  <w:style w:type="character" w:styleId="IntenseReference">
    <w:name w:val="Intense Reference"/>
    <w:basedOn w:val="DefaultParagraphFont"/>
    <w:uiPriority w:val="32"/>
    <w:qFormat/>
    <w:rsid w:val="00F21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23808">
      <w:bodyDiv w:val="1"/>
      <w:marLeft w:val="0"/>
      <w:marRight w:val="0"/>
      <w:marTop w:val="0"/>
      <w:marBottom w:val="0"/>
      <w:divBdr>
        <w:top w:val="none" w:sz="0" w:space="0" w:color="auto"/>
        <w:left w:val="none" w:sz="0" w:space="0" w:color="auto"/>
        <w:bottom w:val="none" w:sz="0" w:space="0" w:color="auto"/>
        <w:right w:val="none" w:sz="0" w:space="0" w:color="auto"/>
      </w:divBdr>
      <w:divsChild>
        <w:div w:id="1478718973">
          <w:marLeft w:val="0"/>
          <w:marRight w:val="0"/>
          <w:marTop w:val="0"/>
          <w:marBottom w:val="0"/>
          <w:divBdr>
            <w:top w:val="none" w:sz="0" w:space="0" w:color="auto"/>
            <w:left w:val="none" w:sz="0" w:space="0" w:color="auto"/>
            <w:bottom w:val="none" w:sz="0" w:space="0" w:color="auto"/>
            <w:right w:val="none" w:sz="0" w:space="0" w:color="auto"/>
          </w:divBdr>
        </w:div>
        <w:div w:id="581764365">
          <w:marLeft w:val="0"/>
          <w:marRight w:val="0"/>
          <w:marTop w:val="0"/>
          <w:marBottom w:val="0"/>
          <w:divBdr>
            <w:top w:val="none" w:sz="0" w:space="0" w:color="auto"/>
            <w:left w:val="none" w:sz="0" w:space="0" w:color="auto"/>
            <w:bottom w:val="none" w:sz="0" w:space="0" w:color="auto"/>
            <w:right w:val="none" w:sz="0" w:space="0" w:color="auto"/>
          </w:divBdr>
        </w:div>
        <w:div w:id="1342052769">
          <w:marLeft w:val="0"/>
          <w:marRight w:val="0"/>
          <w:marTop w:val="0"/>
          <w:marBottom w:val="0"/>
          <w:divBdr>
            <w:top w:val="none" w:sz="0" w:space="0" w:color="auto"/>
            <w:left w:val="none" w:sz="0" w:space="0" w:color="auto"/>
            <w:bottom w:val="none" w:sz="0" w:space="0" w:color="auto"/>
            <w:right w:val="none" w:sz="0" w:space="0" w:color="auto"/>
          </w:divBdr>
        </w:div>
        <w:div w:id="859513976">
          <w:marLeft w:val="0"/>
          <w:marRight w:val="0"/>
          <w:marTop w:val="0"/>
          <w:marBottom w:val="0"/>
          <w:divBdr>
            <w:top w:val="none" w:sz="0" w:space="0" w:color="auto"/>
            <w:left w:val="none" w:sz="0" w:space="0" w:color="auto"/>
            <w:bottom w:val="none" w:sz="0" w:space="0" w:color="auto"/>
            <w:right w:val="none" w:sz="0" w:space="0" w:color="auto"/>
          </w:divBdr>
        </w:div>
        <w:div w:id="520356451">
          <w:marLeft w:val="0"/>
          <w:marRight w:val="0"/>
          <w:marTop w:val="0"/>
          <w:marBottom w:val="0"/>
          <w:divBdr>
            <w:top w:val="none" w:sz="0" w:space="0" w:color="auto"/>
            <w:left w:val="none" w:sz="0" w:space="0" w:color="auto"/>
            <w:bottom w:val="none" w:sz="0" w:space="0" w:color="auto"/>
            <w:right w:val="none" w:sz="0" w:space="0" w:color="auto"/>
          </w:divBdr>
        </w:div>
        <w:div w:id="101534523">
          <w:marLeft w:val="0"/>
          <w:marRight w:val="0"/>
          <w:marTop w:val="0"/>
          <w:marBottom w:val="0"/>
          <w:divBdr>
            <w:top w:val="none" w:sz="0" w:space="0" w:color="auto"/>
            <w:left w:val="none" w:sz="0" w:space="0" w:color="auto"/>
            <w:bottom w:val="none" w:sz="0" w:space="0" w:color="auto"/>
            <w:right w:val="none" w:sz="0" w:space="0" w:color="auto"/>
          </w:divBdr>
        </w:div>
        <w:div w:id="1078670834">
          <w:marLeft w:val="0"/>
          <w:marRight w:val="0"/>
          <w:marTop w:val="0"/>
          <w:marBottom w:val="0"/>
          <w:divBdr>
            <w:top w:val="none" w:sz="0" w:space="0" w:color="auto"/>
            <w:left w:val="none" w:sz="0" w:space="0" w:color="auto"/>
            <w:bottom w:val="none" w:sz="0" w:space="0" w:color="auto"/>
            <w:right w:val="none" w:sz="0" w:space="0" w:color="auto"/>
          </w:divBdr>
        </w:div>
        <w:div w:id="807354835">
          <w:marLeft w:val="0"/>
          <w:marRight w:val="0"/>
          <w:marTop w:val="0"/>
          <w:marBottom w:val="0"/>
          <w:divBdr>
            <w:top w:val="none" w:sz="0" w:space="0" w:color="auto"/>
            <w:left w:val="none" w:sz="0" w:space="0" w:color="auto"/>
            <w:bottom w:val="none" w:sz="0" w:space="0" w:color="auto"/>
            <w:right w:val="none" w:sz="0" w:space="0" w:color="auto"/>
          </w:divBdr>
        </w:div>
        <w:div w:id="1524323545">
          <w:marLeft w:val="0"/>
          <w:marRight w:val="0"/>
          <w:marTop w:val="0"/>
          <w:marBottom w:val="0"/>
          <w:divBdr>
            <w:top w:val="none" w:sz="0" w:space="0" w:color="auto"/>
            <w:left w:val="none" w:sz="0" w:space="0" w:color="auto"/>
            <w:bottom w:val="none" w:sz="0" w:space="0" w:color="auto"/>
            <w:right w:val="none" w:sz="0" w:space="0" w:color="auto"/>
          </w:divBdr>
        </w:div>
        <w:div w:id="723992795">
          <w:marLeft w:val="0"/>
          <w:marRight w:val="0"/>
          <w:marTop w:val="0"/>
          <w:marBottom w:val="0"/>
          <w:divBdr>
            <w:top w:val="none" w:sz="0" w:space="0" w:color="auto"/>
            <w:left w:val="none" w:sz="0" w:space="0" w:color="auto"/>
            <w:bottom w:val="none" w:sz="0" w:space="0" w:color="auto"/>
            <w:right w:val="none" w:sz="0" w:space="0" w:color="auto"/>
          </w:divBdr>
        </w:div>
        <w:div w:id="708072835">
          <w:marLeft w:val="0"/>
          <w:marRight w:val="0"/>
          <w:marTop w:val="0"/>
          <w:marBottom w:val="0"/>
          <w:divBdr>
            <w:top w:val="none" w:sz="0" w:space="0" w:color="auto"/>
            <w:left w:val="none" w:sz="0" w:space="0" w:color="auto"/>
            <w:bottom w:val="none" w:sz="0" w:space="0" w:color="auto"/>
            <w:right w:val="none" w:sz="0" w:space="0" w:color="auto"/>
          </w:divBdr>
        </w:div>
        <w:div w:id="513810650">
          <w:marLeft w:val="0"/>
          <w:marRight w:val="0"/>
          <w:marTop w:val="0"/>
          <w:marBottom w:val="0"/>
          <w:divBdr>
            <w:top w:val="none" w:sz="0" w:space="0" w:color="auto"/>
            <w:left w:val="none" w:sz="0" w:space="0" w:color="auto"/>
            <w:bottom w:val="none" w:sz="0" w:space="0" w:color="auto"/>
            <w:right w:val="none" w:sz="0" w:space="0" w:color="auto"/>
          </w:divBdr>
        </w:div>
        <w:div w:id="1694109420">
          <w:marLeft w:val="0"/>
          <w:marRight w:val="0"/>
          <w:marTop w:val="0"/>
          <w:marBottom w:val="0"/>
          <w:divBdr>
            <w:top w:val="none" w:sz="0" w:space="0" w:color="auto"/>
            <w:left w:val="none" w:sz="0" w:space="0" w:color="auto"/>
            <w:bottom w:val="none" w:sz="0" w:space="0" w:color="auto"/>
            <w:right w:val="none" w:sz="0" w:space="0" w:color="auto"/>
          </w:divBdr>
        </w:div>
        <w:div w:id="2050836471">
          <w:marLeft w:val="0"/>
          <w:marRight w:val="0"/>
          <w:marTop w:val="0"/>
          <w:marBottom w:val="0"/>
          <w:divBdr>
            <w:top w:val="none" w:sz="0" w:space="0" w:color="auto"/>
            <w:left w:val="none" w:sz="0" w:space="0" w:color="auto"/>
            <w:bottom w:val="none" w:sz="0" w:space="0" w:color="auto"/>
            <w:right w:val="none" w:sz="0" w:space="0" w:color="auto"/>
          </w:divBdr>
        </w:div>
        <w:div w:id="2022277068">
          <w:marLeft w:val="0"/>
          <w:marRight w:val="0"/>
          <w:marTop w:val="0"/>
          <w:marBottom w:val="0"/>
          <w:divBdr>
            <w:top w:val="none" w:sz="0" w:space="0" w:color="auto"/>
            <w:left w:val="none" w:sz="0" w:space="0" w:color="auto"/>
            <w:bottom w:val="none" w:sz="0" w:space="0" w:color="auto"/>
            <w:right w:val="none" w:sz="0" w:space="0" w:color="auto"/>
          </w:divBdr>
        </w:div>
        <w:div w:id="1618483297">
          <w:marLeft w:val="0"/>
          <w:marRight w:val="0"/>
          <w:marTop w:val="0"/>
          <w:marBottom w:val="0"/>
          <w:divBdr>
            <w:top w:val="none" w:sz="0" w:space="0" w:color="auto"/>
            <w:left w:val="none" w:sz="0" w:space="0" w:color="auto"/>
            <w:bottom w:val="none" w:sz="0" w:space="0" w:color="auto"/>
            <w:right w:val="none" w:sz="0" w:space="0" w:color="auto"/>
          </w:divBdr>
        </w:div>
      </w:divsChild>
    </w:div>
    <w:div w:id="1016080975">
      <w:bodyDiv w:val="1"/>
      <w:marLeft w:val="0"/>
      <w:marRight w:val="0"/>
      <w:marTop w:val="0"/>
      <w:marBottom w:val="0"/>
      <w:divBdr>
        <w:top w:val="none" w:sz="0" w:space="0" w:color="auto"/>
        <w:left w:val="none" w:sz="0" w:space="0" w:color="auto"/>
        <w:bottom w:val="none" w:sz="0" w:space="0" w:color="auto"/>
        <w:right w:val="none" w:sz="0" w:space="0" w:color="auto"/>
      </w:divBdr>
      <w:divsChild>
        <w:div w:id="1115715399">
          <w:marLeft w:val="0"/>
          <w:marRight w:val="0"/>
          <w:marTop w:val="0"/>
          <w:marBottom w:val="0"/>
          <w:divBdr>
            <w:top w:val="none" w:sz="0" w:space="0" w:color="auto"/>
            <w:left w:val="none" w:sz="0" w:space="0" w:color="auto"/>
            <w:bottom w:val="none" w:sz="0" w:space="0" w:color="auto"/>
            <w:right w:val="none" w:sz="0" w:space="0" w:color="auto"/>
          </w:divBdr>
        </w:div>
        <w:div w:id="367801700">
          <w:marLeft w:val="0"/>
          <w:marRight w:val="0"/>
          <w:marTop w:val="0"/>
          <w:marBottom w:val="0"/>
          <w:divBdr>
            <w:top w:val="none" w:sz="0" w:space="0" w:color="auto"/>
            <w:left w:val="none" w:sz="0" w:space="0" w:color="auto"/>
            <w:bottom w:val="none" w:sz="0" w:space="0" w:color="auto"/>
            <w:right w:val="none" w:sz="0" w:space="0" w:color="auto"/>
          </w:divBdr>
        </w:div>
        <w:div w:id="1188062786">
          <w:marLeft w:val="0"/>
          <w:marRight w:val="0"/>
          <w:marTop w:val="0"/>
          <w:marBottom w:val="0"/>
          <w:divBdr>
            <w:top w:val="none" w:sz="0" w:space="0" w:color="auto"/>
            <w:left w:val="none" w:sz="0" w:space="0" w:color="auto"/>
            <w:bottom w:val="none" w:sz="0" w:space="0" w:color="auto"/>
            <w:right w:val="none" w:sz="0" w:space="0" w:color="auto"/>
          </w:divBdr>
        </w:div>
        <w:div w:id="414980283">
          <w:marLeft w:val="0"/>
          <w:marRight w:val="0"/>
          <w:marTop w:val="0"/>
          <w:marBottom w:val="0"/>
          <w:divBdr>
            <w:top w:val="none" w:sz="0" w:space="0" w:color="auto"/>
            <w:left w:val="none" w:sz="0" w:space="0" w:color="auto"/>
            <w:bottom w:val="none" w:sz="0" w:space="0" w:color="auto"/>
            <w:right w:val="none" w:sz="0" w:space="0" w:color="auto"/>
          </w:divBdr>
        </w:div>
        <w:div w:id="1195535430">
          <w:marLeft w:val="0"/>
          <w:marRight w:val="0"/>
          <w:marTop w:val="0"/>
          <w:marBottom w:val="0"/>
          <w:divBdr>
            <w:top w:val="none" w:sz="0" w:space="0" w:color="auto"/>
            <w:left w:val="none" w:sz="0" w:space="0" w:color="auto"/>
            <w:bottom w:val="none" w:sz="0" w:space="0" w:color="auto"/>
            <w:right w:val="none" w:sz="0" w:space="0" w:color="auto"/>
          </w:divBdr>
        </w:div>
        <w:div w:id="1587108118">
          <w:marLeft w:val="0"/>
          <w:marRight w:val="0"/>
          <w:marTop w:val="0"/>
          <w:marBottom w:val="0"/>
          <w:divBdr>
            <w:top w:val="none" w:sz="0" w:space="0" w:color="auto"/>
            <w:left w:val="none" w:sz="0" w:space="0" w:color="auto"/>
            <w:bottom w:val="none" w:sz="0" w:space="0" w:color="auto"/>
            <w:right w:val="none" w:sz="0" w:space="0" w:color="auto"/>
          </w:divBdr>
        </w:div>
        <w:div w:id="846477204">
          <w:marLeft w:val="0"/>
          <w:marRight w:val="0"/>
          <w:marTop w:val="0"/>
          <w:marBottom w:val="0"/>
          <w:divBdr>
            <w:top w:val="none" w:sz="0" w:space="0" w:color="auto"/>
            <w:left w:val="none" w:sz="0" w:space="0" w:color="auto"/>
            <w:bottom w:val="none" w:sz="0" w:space="0" w:color="auto"/>
            <w:right w:val="none" w:sz="0" w:space="0" w:color="auto"/>
          </w:divBdr>
        </w:div>
        <w:div w:id="1343119708">
          <w:marLeft w:val="0"/>
          <w:marRight w:val="0"/>
          <w:marTop w:val="0"/>
          <w:marBottom w:val="0"/>
          <w:divBdr>
            <w:top w:val="none" w:sz="0" w:space="0" w:color="auto"/>
            <w:left w:val="none" w:sz="0" w:space="0" w:color="auto"/>
            <w:bottom w:val="none" w:sz="0" w:space="0" w:color="auto"/>
            <w:right w:val="none" w:sz="0" w:space="0" w:color="auto"/>
          </w:divBdr>
        </w:div>
        <w:div w:id="966819369">
          <w:marLeft w:val="0"/>
          <w:marRight w:val="0"/>
          <w:marTop w:val="0"/>
          <w:marBottom w:val="0"/>
          <w:divBdr>
            <w:top w:val="none" w:sz="0" w:space="0" w:color="auto"/>
            <w:left w:val="none" w:sz="0" w:space="0" w:color="auto"/>
            <w:bottom w:val="none" w:sz="0" w:space="0" w:color="auto"/>
            <w:right w:val="none" w:sz="0" w:space="0" w:color="auto"/>
          </w:divBdr>
        </w:div>
        <w:div w:id="144784961">
          <w:marLeft w:val="0"/>
          <w:marRight w:val="0"/>
          <w:marTop w:val="0"/>
          <w:marBottom w:val="0"/>
          <w:divBdr>
            <w:top w:val="none" w:sz="0" w:space="0" w:color="auto"/>
            <w:left w:val="none" w:sz="0" w:space="0" w:color="auto"/>
            <w:bottom w:val="none" w:sz="0" w:space="0" w:color="auto"/>
            <w:right w:val="none" w:sz="0" w:space="0" w:color="auto"/>
          </w:divBdr>
        </w:div>
        <w:div w:id="1605647665">
          <w:marLeft w:val="0"/>
          <w:marRight w:val="0"/>
          <w:marTop w:val="0"/>
          <w:marBottom w:val="0"/>
          <w:divBdr>
            <w:top w:val="none" w:sz="0" w:space="0" w:color="auto"/>
            <w:left w:val="none" w:sz="0" w:space="0" w:color="auto"/>
            <w:bottom w:val="none" w:sz="0" w:space="0" w:color="auto"/>
            <w:right w:val="none" w:sz="0" w:space="0" w:color="auto"/>
          </w:divBdr>
        </w:div>
        <w:div w:id="418797001">
          <w:marLeft w:val="0"/>
          <w:marRight w:val="0"/>
          <w:marTop w:val="0"/>
          <w:marBottom w:val="0"/>
          <w:divBdr>
            <w:top w:val="none" w:sz="0" w:space="0" w:color="auto"/>
            <w:left w:val="none" w:sz="0" w:space="0" w:color="auto"/>
            <w:bottom w:val="none" w:sz="0" w:space="0" w:color="auto"/>
            <w:right w:val="none" w:sz="0" w:space="0" w:color="auto"/>
          </w:divBdr>
        </w:div>
        <w:div w:id="481968182">
          <w:marLeft w:val="0"/>
          <w:marRight w:val="0"/>
          <w:marTop w:val="0"/>
          <w:marBottom w:val="0"/>
          <w:divBdr>
            <w:top w:val="none" w:sz="0" w:space="0" w:color="auto"/>
            <w:left w:val="none" w:sz="0" w:space="0" w:color="auto"/>
            <w:bottom w:val="none" w:sz="0" w:space="0" w:color="auto"/>
            <w:right w:val="none" w:sz="0" w:space="0" w:color="auto"/>
          </w:divBdr>
        </w:div>
        <w:div w:id="2093970832">
          <w:marLeft w:val="0"/>
          <w:marRight w:val="0"/>
          <w:marTop w:val="0"/>
          <w:marBottom w:val="0"/>
          <w:divBdr>
            <w:top w:val="none" w:sz="0" w:space="0" w:color="auto"/>
            <w:left w:val="none" w:sz="0" w:space="0" w:color="auto"/>
            <w:bottom w:val="none" w:sz="0" w:space="0" w:color="auto"/>
            <w:right w:val="none" w:sz="0" w:space="0" w:color="auto"/>
          </w:divBdr>
        </w:div>
        <w:div w:id="815026362">
          <w:marLeft w:val="0"/>
          <w:marRight w:val="0"/>
          <w:marTop w:val="0"/>
          <w:marBottom w:val="0"/>
          <w:divBdr>
            <w:top w:val="none" w:sz="0" w:space="0" w:color="auto"/>
            <w:left w:val="none" w:sz="0" w:space="0" w:color="auto"/>
            <w:bottom w:val="none" w:sz="0" w:space="0" w:color="auto"/>
            <w:right w:val="none" w:sz="0" w:space="0" w:color="auto"/>
          </w:divBdr>
        </w:div>
        <w:div w:id="569199611">
          <w:marLeft w:val="0"/>
          <w:marRight w:val="0"/>
          <w:marTop w:val="0"/>
          <w:marBottom w:val="0"/>
          <w:divBdr>
            <w:top w:val="none" w:sz="0" w:space="0" w:color="auto"/>
            <w:left w:val="none" w:sz="0" w:space="0" w:color="auto"/>
            <w:bottom w:val="none" w:sz="0" w:space="0" w:color="auto"/>
            <w:right w:val="none" w:sz="0" w:space="0" w:color="auto"/>
          </w:divBdr>
        </w:div>
      </w:divsChild>
    </w:div>
    <w:div w:id="1987468552">
      <w:bodyDiv w:val="1"/>
      <w:marLeft w:val="0"/>
      <w:marRight w:val="0"/>
      <w:marTop w:val="0"/>
      <w:marBottom w:val="0"/>
      <w:divBdr>
        <w:top w:val="none" w:sz="0" w:space="0" w:color="auto"/>
        <w:left w:val="none" w:sz="0" w:space="0" w:color="auto"/>
        <w:bottom w:val="none" w:sz="0" w:space="0" w:color="auto"/>
        <w:right w:val="none" w:sz="0" w:space="0" w:color="auto"/>
      </w:divBdr>
      <w:divsChild>
        <w:div w:id="1422144732">
          <w:marLeft w:val="0"/>
          <w:marRight w:val="0"/>
          <w:marTop w:val="0"/>
          <w:marBottom w:val="0"/>
          <w:divBdr>
            <w:top w:val="none" w:sz="0" w:space="0" w:color="auto"/>
            <w:left w:val="none" w:sz="0" w:space="0" w:color="auto"/>
            <w:bottom w:val="none" w:sz="0" w:space="0" w:color="auto"/>
            <w:right w:val="none" w:sz="0" w:space="0" w:color="auto"/>
          </w:divBdr>
          <w:divsChild>
            <w:div w:id="64303089">
              <w:marLeft w:val="0"/>
              <w:marRight w:val="0"/>
              <w:marTop w:val="0"/>
              <w:marBottom w:val="0"/>
              <w:divBdr>
                <w:top w:val="none" w:sz="0" w:space="0" w:color="auto"/>
                <w:left w:val="none" w:sz="0" w:space="0" w:color="auto"/>
                <w:bottom w:val="none" w:sz="0" w:space="0" w:color="auto"/>
                <w:right w:val="none" w:sz="0" w:space="0" w:color="auto"/>
              </w:divBdr>
              <w:divsChild>
                <w:div w:id="709231202">
                  <w:marLeft w:val="120"/>
                  <w:marRight w:val="120"/>
                  <w:marTop w:val="120"/>
                  <w:marBottom w:val="120"/>
                  <w:divBdr>
                    <w:top w:val="none" w:sz="0" w:space="0" w:color="auto"/>
                    <w:left w:val="none" w:sz="0" w:space="0" w:color="auto"/>
                    <w:bottom w:val="none" w:sz="0" w:space="0" w:color="auto"/>
                    <w:right w:val="none" w:sz="0" w:space="0" w:color="auto"/>
                  </w:divBdr>
                  <w:divsChild>
                    <w:div w:id="15931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66556">
      <w:bodyDiv w:val="1"/>
      <w:marLeft w:val="0"/>
      <w:marRight w:val="0"/>
      <w:marTop w:val="0"/>
      <w:marBottom w:val="0"/>
      <w:divBdr>
        <w:top w:val="none" w:sz="0" w:space="0" w:color="auto"/>
        <w:left w:val="none" w:sz="0" w:space="0" w:color="auto"/>
        <w:bottom w:val="none" w:sz="0" w:space="0" w:color="auto"/>
        <w:right w:val="none" w:sz="0" w:space="0" w:color="auto"/>
      </w:divBdr>
      <w:divsChild>
        <w:div w:id="1265726088">
          <w:marLeft w:val="0"/>
          <w:marRight w:val="0"/>
          <w:marTop w:val="0"/>
          <w:marBottom w:val="0"/>
          <w:divBdr>
            <w:top w:val="none" w:sz="0" w:space="0" w:color="auto"/>
            <w:left w:val="none" w:sz="0" w:space="0" w:color="auto"/>
            <w:bottom w:val="none" w:sz="0" w:space="0" w:color="auto"/>
            <w:right w:val="none" w:sz="0" w:space="0" w:color="auto"/>
          </w:divBdr>
          <w:divsChild>
            <w:div w:id="1314795282">
              <w:marLeft w:val="0"/>
              <w:marRight w:val="0"/>
              <w:marTop w:val="0"/>
              <w:marBottom w:val="0"/>
              <w:divBdr>
                <w:top w:val="none" w:sz="0" w:space="0" w:color="auto"/>
                <w:left w:val="none" w:sz="0" w:space="0" w:color="auto"/>
                <w:bottom w:val="none" w:sz="0" w:space="0" w:color="auto"/>
                <w:right w:val="none" w:sz="0" w:space="0" w:color="auto"/>
              </w:divBdr>
              <w:divsChild>
                <w:div w:id="557933337">
                  <w:marLeft w:val="120"/>
                  <w:marRight w:val="120"/>
                  <w:marTop w:val="120"/>
                  <w:marBottom w:val="120"/>
                  <w:divBdr>
                    <w:top w:val="none" w:sz="0" w:space="0" w:color="auto"/>
                    <w:left w:val="none" w:sz="0" w:space="0" w:color="auto"/>
                    <w:bottom w:val="none" w:sz="0" w:space="0" w:color="auto"/>
                    <w:right w:val="none" w:sz="0" w:space="0" w:color="auto"/>
                  </w:divBdr>
                  <w:divsChild>
                    <w:div w:id="10630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350</Words>
  <Characters>2000</Characters>
  <Application>Microsoft Office Word</Application>
  <DocSecurity>0</DocSecurity>
  <Lines>16</Lines>
  <Paragraphs>4</Paragraphs>
  <ScaleCrop>false</ScaleCrop>
  <Company>US Department of Transportation</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Puppe, Henry (MARAD)</dc:creator>
  <cp:keywords/>
  <dc:description/>
  <cp:lastModifiedBy>Puppe, Henry (MARAD)</cp:lastModifiedBy>
  <cp:revision>2</cp:revision>
  <dcterms:created xsi:type="dcterms:W3CDTF">2026-04-23T17:28:00Z</dcterms:created>
  <dcterms:modified xsi:type="dcterms:W3CDTF">2026-04-23T17:49:00Z</dcterms:modified>
</cp:coreProperties>
</file>