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0BFE6" w14:textId="77777777" w:rsidR="00B57947" w:rsidRPr="00026B20" w:rsidRDefault="00B57947" w:rsidP="000D721E">
      <w:pPr>
        <w:spacing w:after="0" w:line="240" w:lineRule="auto"/>
        <w:contextualSpacing/>
        <w:jc w:val="center"/>
        <w:rPr>
          <w:rFonts w:ascii="Times New Roman" w:hAnsi="Times New Roman" w:cs="Times New Roman"/>
          <w:b/>
          <w:sz w:val="24"/>
          <w:szCs w:val="24"/>
        </w:rPr>
      </w:pPr>
      <w:bookmarkStart w:id="0" w:name="_GoBack"/>
      <w:bookmarkEnd w:id="0"/>
      <w:r w:rsidRPr="00026B20">
        <w:rPr>
          <w:rFonts w:ascii="Times New Roman" w:hAnsi="Times New Roman" w:cs="Times New Roman"/>
          <w:b/>
          <w:sz w:val="24"/>
          <w:szCs w:val="24"/>
        </w:rPr>
        <w:t>STATEMENT OF WORK (SOW)</w:t>
      </w:r>
    </w:p>
    <w:p w14:paraId="5BB8BB0A" w14:textId="5A8992BB" w:rsidR="00B64C58" w:rsidRDefault="00630AFE" w:rsidP="000D721E">
      <w:pPr>
        <w:spacing w:after="0" w:line="240" w:lineRule="auto"/>
        <w:contextualSpacing/>
        <w:jc w:val="center"/>
        <w:rPr>
          <w:rFonts w:ascii="Times New Roman" w:hAnsi="Times New Roman" w:cs="Times New Roman"/>
          <w:b/>
          <w:sz w:val="24"/>
          <w:szCs w:val="24"/>
        </w:rPr>
      </w:pPr>
      <w:r w:rsidRPr="00630AFE">
        <w:rPr>
          <w:rFonts w:ascii="Times New Roman" w:hAnsi="Times New Roman" w:cs="Times New Roman"/>
          <w:b/>
          <w:sz w:val="24"/>
          <w:szCs w:val="24"/>
        </w:rPr>
        <w:t xml:space="preserve">4-Year </w:t>
      </w:r>
      <w:r w:rsidR="005C4069">
        <w:rPr>
          <w:rFonts w:ascii="Times New Roman" w:hAnsi="Times New Roman" w:cs="Times New Roman"/>
          <w:b/>
          <w:sz w:val="24"/>
          <w:szCs w:val="24"/>
        </w:rPr>
        <w:t xml:space="preserve">Software Maintenance and System </w:t>
      </w:r>
      <w:r w:rsidR="00B64C58">
        <w:rPr>
          <w:rFonts w:ascii="Times New Roman" w:hAnsi="Times New Roman" w:cs="Times New Roman"/>
          <w:b/>
          <w:sz w:val="24"/>
          <w:szCs w:val="24"/>
        </w:rPr>
        <w:t xml:space="preserve">Calibration and </w:t>
      </w:r>
      <w:r w:rsidR="005C4069">
        <w:rPr>
          <w:rFonts w:ascii="Times New Roman" w:hAnsi="Times New Roman" w:cs="Times New Roman"/>
          <w:b/>
          <w:sz w:val="24"/>
          <w:szCs w:val="24"/>
        </w:rPr>
        <w:t xml:space="preserve">Repair </w:t>
      </w:r>
      <w:r w:rsidRPr="00630AFE">
        <w:rPr>
          <w:rFonts w:ascii="Times New Roman" w:hAnsi="Times New Roman" w:cs="Times New Roman"/>
          <w:b/>
          <w:sz w:val="24"/>
          <w:szCs w:val="24"/>
        </w:rPr>
        <w:t xml:space="preserve">Contract </w:t>
      </w:r>
    </w:p>
    <w:p w14:paraId="4612C972" w14:textId="77777777" w:rsidR="004B6CCD" w:rsidRPr="00026B20" w:rsidRDefault="004B6CCD" w:rsidP="000D721E">
      <w:pPr>
        <w:spacing w:after="0" w:line="240" w:lineRule="auto"/>
        <w:contextualSpacing/>
        <w:jc w:val="center"/>
        <w:rPr>
          <w:rFonts w:ascii="Times New Roman" w:hAnsi="Times New Roman" w:cs="Times New Roman"/>
          <w:b/>
          <w:sz w:val="24"/>
          <w:szCs w:val="24"/>
        </w:rPr>
      </w:pPr>
    </w:p>
    <w:p w14:paraId="78BCFF00" w14:textId="77777777" w:rsidR="00B57947" w:rsidRPr="00026B20" w:rsidRDefault="00B57947" w:rsidP="000D721E">
      <w:pPr>
        <w:pStyle w:val="ListParagraph"/>
        <w:numPr>
          <w:ilvl w:val="0"/>
          <w:numId w:val="1"/>
        </w:numPr>
        <w:spacing w:after="0" w:line="240" w:lineRule="auto"/>
        <w:rPr>
          <w:rFonts w:ascii="Times New Roman" w:hAnsi="Times New Roman" w:cs="Times New Roman"/>
          <w:b/>
          <w:sz w:val="24"/>
          <w:szCs w:val="24"/>
        </w:rPr>
      </w:pPr>
      <w:r w:rsidRPr="00026B20">
        <w:rPr>
          <w:rFonts w:ascii="Times New Roman" w:hAnsi="Times New Roman" w:cs="Times New Roman"/>
          <w:b/>
          <w:sz w:val="24"/>
          <w:szCs w:val="24"/>
        </w:rPr>
        <w:t>Scope</w:t>
      </w:r>
    </w:p>
    <w:p w14:paraId="25FE6C2B" w14:textId="77777777" w:rsidR="004B6CCD" w:rsidRPr="00026B20" w:rsidRDefault="004B6CCD" w:rsidP="000D721E">
      <w:pPr>
        <w:pStyle w:val="ListParagraph"/>
        <w:spacing w:after="0" w:line="240" w:lineRule="auto"/>
        <w:rPr>
          <w:rFonts w:ascii="Times New Roman" w:hAnsi="Times New Roman" w:cs="Times New Roman"/>
          <w:b/>
          <w:sz w:val="24"/>
          <w:szCs w:val="24"/>
        </w:rPr>
      </w:pPr>
    </w:p>
    <w:p w14:paraId="058FA59B" w14:textId="27654751" w:rsidR="00B57947" w:rsidRPr="00026B20" w:rsidRDefault="00153DA8" w:rsidP="000D721E">
      <w:pPr>
        <w:pStyle w:val="ListParagraph"/>
        <w:spacing w:after="0" w:line="240" w:lineRule="auto"/>
        <w:rPr>
          <w:rFonts w:ascii="Times New Roman" w:hAnsi="Times New Roman" w:cs="Times New Roman"/>
          <w:sz w:val="24"/>
          <w:szCs w:val="24"/>
        </w:rPr>
      </w:pPr>
      <w:r>
        <w:rPr>
          <w:rFonts w:ascii="Times New Roman" w:hAnsi="Times New Roman" w:cs="Times New Roman"/>
          <w:color w:val="000000" w:themeColor="text1"/>
          <w:sz w:val="24"/>
          <w:szCs w:val="24"/>
        </w:rPr>
        <w:t xml:space="preserve">This SOW encompasses </w:t>
      </w:r>
      <w:r>
        <w:rPr>
          <w:rFonts w:ascii="Times New Roman" w:hAnsi="Times New Roman" w:cs="Times New Roman"/>
          <w:sz w:val="24"/>
          <w:szCs w:val="24"/>
        </w:rPr>
        <w:t xml:space="preserve">the services necessary </w:t>
      </w:r>
      <w:r w:rsidR="009540BC">
        <w:rPr>
          <w:rFonts w:ascii="Times New Roman" w:hAnsi="Times New Roman" w:cs="Times New Roman"/>
          <w:sz w:val="24"/>
          <w:szCs w:val="24"/>
        </w:rPr>
        <w:t>for</w:t>
      </w:r>
      <w:r w:rsidR="00BE140C" w:rsidRPr="00BE140C">
        <w:rPr>
          <w:rFonts w:ascii="Times New Roman" w:hAnsi="Times New Roman" w:cs="Times New Roman"/>
          <w:sz w:val="24"/>
          <w:szCs w:val="24"/>
        </w:rPr>
        <w:t xml:space="preserve"> </w:t>
      </w:r>
      <w:r w:rsidR="0029560F">
        <w:rPr>
          <w:rFonts w:ascii="Times New Roman" w:hAnsi="Times New Roman" w:cs="Times New Roman"/>
          <w:sz w:val="24"/>
          <w:szCs w:val="24"/>
        </w:rPr>
        <w:t xml:space="preserve">Perception </w:t>
      </w:r>
      <w:r w:rsidR="00AC5373">
        <w:rPr>
          <w:rFonts w:ascii="Times New Roman" w:hAnsi="Times New Roman" w:cs="Times New Roman"/>
          <w:sz w:val="24"/>
          <w:szCs w:val="24"/>
        </w:rPr>
        <w:t>software maintena</w:t>
      </w:r>
      <w:r w:rsidR="003415ED">
        <w:rPr>
          <w:rFonts w:ascii="Times New Roman" w:hAnsi="Times New Roman" w:cs="Times New Roman"/>
          <w:sz w:val="24"/>
          <w:szCs w:val="24"/>
        </w:rPr>
        <w:t>n</w:t>
      </w:r>
      <w:r w:rsidR="00AC5373">
        <w:rPr>
          <w:rFonts w:ascii="Times New Roman" w:hAnsi="Times New Roman" w:cs="Times New Roman"/>
          <w:sz w:val="24"/>
          <w:szCs w:val="24"/>
        </w:rPr>
        <w:t xml:space="preserve">ce and calibration and repair </w:t>
      </w:r>
      <w:r w:rsidR="00BE140C" w:rsidRPr="00BE140C">
        <w:rPr>
          <w:rFonts w:ascii="Times New Roman" w:hAnsi="Times New Roman" w:cs="Times New Roman"/>
          <w:sz w:val="24"/>
          <w:szCs w:val="24"/>
        </w:rPr>
        <w:t>services</w:t>
      </w:r>
      <w:r w:rsidR="00E14304">
        <w:rPr>
          <w:rFonts w:ascii="Times New Roman" w:hAnsi="Times New Roman" w:cs="Times New Roman"/>
          <w:sz w:val="24"/>
          <w:szCs w:val="24"/>
        </w:rPr>
        <w:t xml:space="preserve"> of the Genesis data acquisition system and </w:t>
      </w:r>
      <w:r w:rsidR="0029560F">
        <w:rPr>
          <w:rFonts w:ascii="Times New Roman" w:hAnsi="Times New Roman" w:cs="Times New Roman"/>
          <w:sz w:val="24"/>
          <w:szCs w:val="24"/>
        </w:rPr>
        <w:t xml:space="preserve">its </w:t>
      </w:r>
      <w:r w:rsidR="00E14304">
        <w:rPr>
          <w:rFonts w:ascii="Times New Roman" w:hAnsi="Times New Roman" w:cs="Times New Roman"/>
          <w:sz w:val="24"/>
          <w:szCs w:val="24"/>
        </w:rPr>
        <w:t>associated hardware</w:t>
      </w:r>
      <w:r w:rsidR="00BE140C" w:rsidRPr="00BE140C">
        <w:rPr>
          <w:rFonts w:ascii="Times New Roman" w:hAnsi="Times New Roman" w:cs="Times New Roman"/>
          <w:sz w:val="24"/>
          <w:szCs w:val="24"/>
        </w:rPr>
        <w:t>.</w:t>
      </w:r>
    </w:p>
    <w:p w14:paraId="72D0CF7F" w14:textId="77777777" w:rsidR="00B57947" w:rsidRPr="00026B20" w:rsidRDefault="00B57947" w:rsidP="000D721E">
      <w:pPr>
        <w:pStyle w:val="ListParagraph"/>
        <w:spacing w:after="0" w:line="240" w:lineRule="auto"/>
        <w:rPr>
          <w:rFonts w:ascii="Times New Roman" w:hAnsi="Times New Roman" w:cs="Times New Roman"/>
          <w:sz w:val="24"/>
          <w:szCs w:val="24"/>
        </w:rPr>
      </w:pPr>
    </w:p>
    <w:p w14:paraId="358E98DB" w14:textId="11F75129" w:rsidR="00A41577" w:rsidRPr="007011AC" w:rsidRDefault="00A41577" w:rsidP="000D721E">
      <w:pPr>
        <w:pStyle w:val="ListParagraph"/>
        <w:numPr>
          <w:ilvl w:val="0"/>
          <w:numId w:val="1"/>
        </w:numPr>
        <w:spacing w:after="0" w:line="240" w:lineRule="auto"/>
        <w:rPr>
          <w:rFonts w:ascii="Times New Roman" w:hAnsi="Times New Roman" w:cs="Times New Roman"/>
          <w:b/>
          <w:color w:val="FF0000"/>
          <w:sz w:val="24"/>
          <w:szCs w:val="24"/>
        </w:rPr>
      </w:pPr>
      <w:r w:rsidRPr="00026B20">
        <w:rPr>
          <w:rFonts w:ascii="Times New Roman" w:hAnsi="Times New Roman" w:cs="Times New Roman"/>
          <w:b/>
          <w:sz w:val="24"/>
          <w:szCs w:val="24"/>
        </w:rPr>
        <w:t>Technical Requirements</w:t>
      </w:r>
      <w:r w:rsidR="007011AC">
        <w:rPr>
          <w:rFonts w:ascii="Times New Roman" w:hAnsi="Times New Roman" w:cs="Times New Roman"/>
          <w:b/>
          <w:sz w:val="24"/>
          <w:szCs w:val="24"/>
        </w:rPr>
        <w:t xml:space="preserve"> </w:t>
      </w:r>
    </w:p>
    <w:p w14:paraId="7DBA9C2C" w14:textId="77777777" w:rsidR="002C5DA7" w:rsidRPr="00026B20" w:rsidRDefault="002C5DA7" w:rsidP="000D721E">
      <w:pPr>
        <w:pStyle w:val="ListParagraph"/>
        <w:spacing w:after="0" w:line="240" w:lineRule="auto"/>
        <w:rPr>
          <w:rFonts w:ascii="Times New Roman" w:hAnsi="Times New Roman" w:cs="Times New Roman"/>
          <w:b/>
          <w:sz w:val="24"/>
          <w:szCs w:val="24"/>
        </w:rPr>
      </w:pPr>
    </w:p>
    <w:p w14:paraId="56E30B85" w14:textId="0EC09B9A" w:rsidR="00126006" w:rsidRDefault="00093DBB" w:rsidP="000D721E">
      <w:pPr>
        <w:pStyle w:val="ListParagraph"/>
        <w:tabs>
          <w:tab w:val="left" w:pos="1080"/>
        </w:tabs>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2.1</w:t>
      </w:r>
      <w:r w:rsidR="001D306E">
        <w:rPr>
          <w:rFonts w:ascii="Times New Roman" w:hAnsi="Times New Roman" w:cs="Times New Roman"/>
          <w:sz w:val="24"/>
          <w:szCs w:val="24"/>
        </w:rPr>
        <w:tab/>
      </w:r>
      <w:r w:rsidR="00126006" w:rsidRPr="00026B20">
        <w:rPr>
          <w:rFonts w:ascii="Times New Roman" w:hAnsi="Times New Roman" w:cs="Times New Roman"/>
          <w:sz w:val="24"/>
          <w:szCs w:val="24"/>
        </w:rPr>
        <w:t>Annual Calibration – Accredited or Traceable Calibration with Priority Service</w:t>
      </w:r>
    </w:p>
    <w:p w14:paraId="296DE545" w14:textId="54652DFF" w:rsidR="00667A6F" w:rsidRDefault="00F47C9B" w:rsidP="009B67ED">
      <w:pPr>
        <w:spacing w:after="0" w:line="276" w:lineRule="auto"/>
        <w:ind w:left="1080"/>
        <w:rPr>
          <w:rFonts w:ascii="Times New Roman" w:hAnsi="Times New Roman" w:cs="Times New Roman"/>
          <w:sz w:val="24"/>
          <w:szCs w:val="24"/>
        </w:rPr>
      </w:pPr>
      <w:r>
        <w:rPr>
          <w:rFonts w:ascii="Times New Roman" w:hAnsi="Times New Roman" w:cs="Times New Roman"/>
          <w:sz w:val="24"/>
          <w:szCs w:val="24"/>
        </w:rPr>
        <w:t xml:space="preserve">The calibration </w:t>
      </w:r>
      <w:r w:rsidR="001214DB">
        <w:rPr>
          <w:rFonts w:ascii="Times New Roman" w:hAnsi="Times New Roman" w:cs="Times New Roman"/>
          <w:sz w:val="24"/>
          <w:szCs w:val="24"/>
        </w:rPr>
        <w:t>shall be performed using standards and instruments whose accuracies are traceable to the National Institute of Standards and Technology</w:t>
      </w:r>
      <w:r w:rsidR="003A5CA2">
        <w:rPr>
          <w:rFonts w:ascii="Times New Roman" w:hAnsi="Times New Roman" w:cs="Times New Roman"/>
          <w:sz w:val="24"/>
          <w:szCs w:val="24"/>
        </w:rPr>
        <w:t xml:space="preserve"> (NIST). The calibration system </w:t>
      </w:r>
      <w:r w:rsidR="00CC62D5">
        <w:rPr>
          <w:rFonts w:ascii="Times New Roman" w:hAnsi="Times New Roman" w:cs="Times New Roman"/>
          <w:sz w:val="24"/>
          <w:szCs w:val="24"/>
        </w:rPr>
        <w:t xml:space="preserve">instruments </w:t>
      </w:r>
      <w:r w:rsidR="003A5CA2">
        <w:rPr>
          <w:rFonts w:ascii="Times New Roman" w:hAnsi="Times New Roman" w:cs="Times New Roman"/>
          <w:sz w:val="24"/>
          <w:szCs w:val="24"/>
        </w:rPr>
        <w:t xml:space="preserve">supporting these standards </w:t>
      </w:r>
      <w:r w:rsidR="008A5C5E">
        <w:rPr>
          <w:rFonts w:ascii="Times New Roman" w:hAnsi="Times New Roman" w:cs="Times New Roman"/>
          <w:sz w:val="24"/>
          <w:szCs w:val="24"/>
        </w:rPr>
        <w:t>shall meet the requirements of MIL-STD-45662A and ANSI/NCSL</w:t>
      </w:r>
      <w:r w:rsidR="00303F6E">
        <w:rPr>
          <w:rFonts w:ascii="Times New Roman" w:hAnsi="Times New Roman" w:cs="Times New Roman"/>
          <w:sz w:val="24"/>
          <w:szCs w:val="24"/>
        </w:rPr>
        <w:t xml:space="preserve"> Z540-1-1994.</w:t>
      </w:r>
    </w:p>
    <w:p w14:paraId="415221DC" w14:textId="77777777" w:rsidR="009B67ED" w:rsidRPr="00026B20" w:rsidRDefault="009B67ED" w:rsidP="000D721E">
      <w:pPr>
        <w:spacing w:after="0" w:line="276" w:lineRule="auto"/>
        <w:ind w:left="1080"/>
        <w:rPr>
          <w:rFonts w:ascii="Times New Roman" w:hAnsi="Times New Roman" w:cs="Times New Roman"/>
          <w:sz w:val="24"/>
          <w:szCs w:val="24"/>
        </w:rPr>
      </w:pPr>
    </w:p>
    <w:p w14:paraId="1A58C272" w14:textId="727D4818" w:rsidR="00126006" w:rsidRDefault="000F3F33" w:rsidP="009B67ED">
      <w:pPr>
        <w:tabs>
          <w:tab w:val="left" w:pos="1080"/>
        </w:tabs>
        <w:spacing w:after="0" w:line="276" w:lineRule="auto"/>
        <w:ind w:left="1080" w:hanging="360"/>
        <w:rPr>
          <w:rFonts w:ascii="Times New Roman" w:hAnsi="Times New Roman" w:cs="Times New Roman"/>
          <w:sz w:val="24"/>
          <w:szCs w:val="24"/>
        </w:rPr>
      </w:pPr>
      <w:r>
        <w:rPr>
          <w:rFonts w:ascii="Times New Roman" w:hAnsi="Times New Roman" w:cs="Times New Roman"/>
          <w:sz w:val="24"/>
          <w:szCs w:val="24"/>
        </w:rPr>
        <w:t>2.2</w:t>
      </w:r>
      <w:r w:rsidR="00587863">
        <w:rPr>
          <w:rFonts w:ascii="Times New Roman" w:hAnsi="Times New Roman" w:cs="Times New Roman"/>
          <w:sz w:val="24"/>
          <w:szCs w:val="24"/>
        </w:rPr>
        <w:tab/>
      </w:r>
      <w:r w:rsidR="00126006" w:rsidRPr="00026B20">
        <w:rPr>
          <w:rFonts w:ascii="Times New Roman" w:hAnsi="Times New Roman" w:cs="Times New Roman"/>
          <w:sz w:val="24"/>
          <w:szCs w:val="24"/>
        </w:rPr>
        <w:t>Extended Warranty Coverage on modules less than 10 years of age for the contract duration period</w:t>
      </w:r>
      <w:r w:rsidR="00A33D3C">
        <w:rPr>
          <w:rFonts w:ascii="Times New Roman" w:hAnsi="Times New Roman" w:cs="Times New Roman"/>
          <w:sz w:val="24"/>
          <w:szCs w:val="24"/>
        </w:rPr>
        <w:t>.</w:t>
      </w:r>
    </w:p>
    <w:p w14:paraId="1F2058AA" w14:textId="77777777" w:rsidR="009B67ED" w:rsidRPr="00026B20" w:rsidRDefault="009B67ED" w:rsidP="000D721E">
      <w:pPr>
        <w:tabs>
          <w:tab w:val="left" w:pos="1080"/>
        </w:tabs>
        <w:spacing w:after="0" w:line="276" w:lineRule="auto"/>
        <w:ind w:left="1080" w:hanging="360"/>
        <w:rPr>
          <w:rFonts w:ascii="Times New Roman" w:hAnsi="Times New Roman" w:cs="Times New Roman"/>
          <w:sz w:val="24"/>
          <w:szCs w:val="24"/>
        </w:rPr>
      </w:pPr>
    </w:p>
    <w:p w14:paraId="52B2D596" w14:textId="40E31758" w:rsidR="00126006" w:rsidRDefault="00126006" w:rsidP="009B67ED">
      <w:pPr>
        <w:spacing w:after="0" w:line="276" w:lineRule="auto"/>
        <w:ind w:firstLine="720"/>
        <w:rPr>
          <w:rFonts w:ascii="Times New Roman" w:hAnsi="Times New Roman" w:cs="Times New Roman"/>
          <w:sz w:val="24"/>
          <w:szCs w:val="24"/>
        </w:rPr>
      </w:pPr>
      <w:r w:rsidRPr="00026B20">
        <w:rPr>
          <w:rFonts w:ascii="Times New Roman" w:hAnsi="Times New Roman" w:cs="Times New Roman"/>
          <w:sz w:val="24"/>
          <w:szCs w:val="24"/>
        </w:rPr>
        <w:t xml:space="preserve">Covers the </w:t>
      </w:r>
      <w:r w:rsidR="004551E2">
        <w:rPr>
          <w:rFonts w:ascii="Times New Roman" w:hAnsi="Times New Roman" w:cs="Times New Roman"/>
          <w:sz w:val="24"/>
          <w:szCs w:val="24"/>
        </w:rPr>
        <w:t>96</w:t>
      </w:r>
      <w:r w:rsidRPr="00026B20">
        <w:rPr>
          <w:rFonts w:ascii="Times New Roman" w:hAnsi="Times New Roman" w:cs="Times New Roman"/>
          <w:sz w:val="24"/>
          <w:szCs w:val="24"/>
        </w:rPr>
        <w:t xml:space="preserve"> modules listed in Appendix A.</w:t>
      </w:r>
    </w:p>
    <w:p w14:paraId="3FBFB5C3" w14:textId="77777777" w:rsidR="009B67ED" w:rsidRPr="00026B20" w:rsidRDefault="009B67ED" w:rsidP="000D721E">
      <w:pPr>
        <w:spacing w:after="0" w:line="276" w:lineRule="auto"/>
        <w:ind w:firstLine="720"/>
        <w:rPr>
          <w:rFonts w:ascii="Times New Roman" w:hAnsi="Times New Roman" w:cs="Times New Roman"/>
          <w:sz w:val="24"/>
          <w:szCs w:val="24"/>
        </w:rPr>
      </w:pPr>
    </w:p>
    <w:p w14:paraId="58C4DC40" w14:textId="2811ECB6" w:rsidR="00126006" w:rsidRDefault="00126006" w:rsidP="009B67ED">
      <w:pPr>
        <w:spacing w:after="0" w:line="276" w:lineRule="auto"/>
        <w:ind w:left="720"/>
        <w:rPr>
          <w:rFonts w:ascii="Times New Roman" w:hAnsi="Times New Roman" w:cs="Times New Roman"/>
          <w:sz w:val="24"/>
          <w:szCs w:val="24"/>
        </w:rPr>
      </w:pPr>
      <w:r w:rsidRPr="00026B20">
        <w:rPr>
          <w:rFonts w:ascii="Times New Roman" w:hAnsi="Times New Roman" w:cs="Times New Roman"/>
          <w:sz w:val="24"/>
          <w:szCs w:val="24"/>
        </w:rPr>
        <w:t>Modules that are out of manufacturer’s warranty can be covered by an HBK Assured Contract, but they will need to successfully pass the first calibration before they are eligible for the Extended Warranty Coverage portion.</w:t>
      </w:r>
    </w:p>
    <w:p w14:paraId="7097A261" w14:textId="77777777" w:rsidR="009B67ED" w:rsidRPr="00026B20" w:rsidRDefault="009B67ED" w:rsidP="000D721E">
      <w:pPr>
        <w:spacing w:after="0" w:line="276" w:lineRule="auto"/>
        <w:ind w:left="720"/>
        <w:rPr>
          <w:rFonts w:ascii="Times New Roman" w:hAnsi="Times New Roman" w:cs="Times New Roman"/>
          <w:sz w:val="24"/>
          <w:szCs w:val="24"/>
        </w:rPr>
      </w:pPr>
    </w:p>
    <w:p w14:paraId="13427778" w14:textId="460BC37E" w:rsidR="00126006" w:rsidRDefault="00126006" w:rsidP="009B67ED">
      <w:pPr>
        <w:spacing w:after="0"/>
        <w:ind w:left="720"/>
        <w:rPr>
          <w:rFonts w:ascii="Times New Roman" w:hAnsi="Times New Roman" w:cs="Times New Roman"/>
          <w:sz w:val="24"/>
          <w:szCs w:val="24"/>
        </w:rPr>
      </w:pPr>
      <w:r w:rsidRPr="00026B20">
        <w:rPr>
          <w:rFonts w:ascii="Times New Roman" w:hAnsi="Times New Roman" w:cs="Times New Roman"/>
          <w:sz w:val="24"/>
          <w:szCs w:val="24"/>
        </w:rPr>
        <w:t>The 1-Year Software Maintenance</w:t>
      </w:r>
      <w:r w:rsidR="00DE4AEE">
        <w:rPr>
          <w:rFonts w:ascii="Times New Roman" w:hAnsi="Times New Roman" w:cs="Times New Roman"/>
          <w:sz w:val="24"/>
          <w:szCs w:val="24"/>
        </w:rPr>
        <w:t xml:space="preserve"> (provided each of the four years)</w:t>
      </w:r>
      <w:r w:rsidRPr="00026B20">
        <w:rPr>
          <w:rFonts w:ascii="Times New Roman" w:hAnsi="Times New Roman" w:cs="Times New Roman"/>
          <w:sz w:val="24"/>
          <w:szCs w:val="24"/>
        </w:rPr>
        <w:t xml:space="preserve"> provides 15 Perception Software Maintenance Licenses under ENT_MAIN_02 (PERC-OP-MTP-02 Maintenance Ent) Perception Package.</w:t>
      </w:r>
    </w:p>
    <w:p w14:paraId="539EA4AE" w14:textId="77777777" w:rsidR="009B67ED" w:rsidRPr="00026B20" w:rsidRDefault="009B67ED" w:rsidP="000D721E">
      <w:pPr>
        <w:spacing w:after="0"/>
        <w:ind w:left="720"/>
        <w:rPr>
          <w:rFonts w:ascii="Times New Roman" w:hAnsi="Times New Roman" w:cs="Times New Roman"/>
          <w:sz w:val="24"/>
          <w:szCs w:val="24"/>
        </w:rPr>
      </w:pPr>
    </w:p>
    <w:p w14:paraId="77EDDF80" w14:textId="31FF8899" w:rsidR="00126006" w:rsidRPr="00026B20" w:rsidRDefault="00126006" w:rsidP="000D721E">
      <w:pPr>
        <w:spacing w:after="0"/>
        <w:ind w:firstLine="720"/>
        <w:rPr>
          <w:rFonts w:ascii="Times New Roman" w:hAnsi="Times New Roman" w:cs="Times New Roman"/>
          <w:sz w:val="24"/>
          <w:szCs w:val="24"/>
        </w:rPr>
      </w:pPr>
      <w:r w:rsidRPr="00026B20">
        <w:rPr>
          <w:rFonts w:ascii="Times New Roman" w:hAnsi="Times New Roman" w:cs="Times New Roman"/>
          <w:sz w:val="24"/>
          <w:szCs w:val="24"/>
        </w:rPr>
        <w:t xml:space="preserve">Covers the 15 </w:t>
      </w:r>
      <w:r w:rsidR="00715B74">
        <w:rPr>
          <w:rFonts w:ascii="Times New Roman" w:hAnsi="Times New Roman" w:cs="Times New Roman"/>
          <w:sz w:val="24"/>
          <w:szCs w:val="24"/>
        </w:rPr>
        <w:t xml:space="preserve">Software </w:t>
      </w:r>
      <w:r w:rsidRPr="00026B20">
        <w:rPr>
          <w:rFonts w:ascii="Times New Roman" w:hAnsi="Times New Roman" w:cs="Times New Roman"/>
          <w:sz w:val="24"/>
          <w:szCs w:val="24"/>
        </w:rPr>
        <w:t>License Serial Numbers listed in Appendix B.</w:t>
      </w:r>
    </w:p>
    <w:p w14:paraId="65508779" w14:textId="77777777" w:rsidR="00B57947" w:rsidRPr="00026B20" w:rsidRDefault="00B57947" w:rsidP="000D721E">
      <w:pPr>
        <w:pStyle w:val="ListParagraph"/>
        <w:spacing w:after="0" w:line="240" w:lineRule="auto"/>
        <w:ind w:left="1440"/>
        <w:rPr>
          <w:rFonts w:ascii="Times New Roman" w:hAnsi="Times New Roman" w:cs="Times New Roman"/>
          <w:sz w:val="24"/>
          <w:szCs w:val="24"/>
        </w:rPr>
      </w:pPr>
    </w:p>
    <w:p w14:paraId="5D6A2511" w14:textId="7A405EAE" w:rsidR="00B57947" w:rsidRPr="00026B20" w:rsidRDefault="00B57947" w:rsidP="000D721E">
      <w:pPr>
        <w:pStyle w:val="ListParagraph"/>
        <w:numPr>
          <w:ilvl w:val="0"/>
          <w:numId w:val="1"/>
        </w:numPr>
        <w:spacing w:after="0" w:line="240" w:lineRule="auto"/>
        <w:rPr>
          <w:rFonts w:ascii="Times New Roman" w:hAnsi="Times New Roman" w:cs="Times New Roman"/>
          <w:b/>
          <w:sz w:val="24"/>
          <w:szCs w:val="24"/>
        </w:rPr>
      </w:pPr>
      <w:r w:rsidRPr="00026B20">
        <w:rPr>
          <w:rFonts w:ascii="Times New Roman" w:hAnsi="Times New Roman" w:cs="Times New Roman"/>
          <w:b/>
          <w:sz w:val="24"/>
          <w:szCs w:val="24"/>
        </w:rPr>
        <w:t xml:space="preserve">Acceptance </w:t>
      </w:r>
    </w:p>
    <w:p w14:paraId="02BA3C08" w14:textId="04CDC1CB" w:rsidR="00026B20" w:rsidRPr="00026B20" w:rsidRDefault="00026B20" w:rsidP="000D721E">
      <w:pPr>
        <w:spacing w:after="0" w:line="240" w:lineRule="auto"/>
        <w:ind w:firstLine="720"/>
        <w:rPr>
          <w:rFonts w:ascii="Times New Roman" w:hAnsi="Times New Roman" w:cs="Times New Roman"/>
          <w:b/>
          <w:sz w:val="24"/>
          <w:szCs w:val="24"/>
        </w:rPr>
      </w:pPr>
      <w:r w:rsidRPr="00026B20">
        <w:rPr>
          <w:rFonts w:ascii="Times New Roman" w:hAnsi="Times New Roman" w:cs="Times New Roman"/>
          <w:sz w:val="24"/>
          <w:szCs w:val="24"/>
        </w:rPr>
        <w:t xml:space="preserve">The service shall be performed at </w:t>
      </w:r>
      <w:r w:rsidR="00281BBA">
        <w:rPr>
          <w:rFonts w:ascii="Times New Roman" w:hAnsi="Times New Roman" w:cs="Times New Roman"/>
          <w:sz w:val="24"/>
          <w:szCs w:val="24"/>
        </w:rPr>
        <w:t xml:space="preserve">the contractor’s facility and inspected/accepted at </w:t>
      </w:r>
      <w:r w:rsidR="00281BBA">
        <w:rPr>
          <w:rFonts w:ascii="Times New Roman" w:hAnsi="Times New Roman" w:cs="Times New Roman"/>
          <w:sz w:val="24"/>
          <w:szCs w:val="24"/>
        </w:rPr>
        <w:tab/>
      </w:r>
      <w:r w:rsidRPr="00026B20">
        <w:rPr>
          <w:rFonts w:ascii="Times New Roman" w:hAnsi="Times New Roman" w:cs="Times New Roman"/>
          <w:sz w:val="24"/>
          <w:szCs w:val="24"/>
        </w:rPr>
        <w:t>NAWCWD China Lake, CA.</w:t>
      </w:r>
    </w:p>
    <w:p w14:paraId="618BA610" w14:textId="77777777" w:rsidR="0013718E" w:rsidRPr="00026B20" w:rsidRDefault="0013718E" w:rsidP="000D721E">
      <w:pPr>
        <w:pStyle w:val="ListParagraph"/>
        <w:spacing w:after="0" w:line="240" w:lineRule="auto"/>
        <w:rPr>
          <w:rFonts w:ascii="Times New Roman" w:hAnsi="Times New Roman" w:cs="Times New Roman"/>
          <w:b/>
          <w:sz w:val="24"/>
          <w:szCs w:val="24"/>
        </w:rPr>
      </w:pPr>
    </w:p>
    <w:p w14:paraId="7F90C9B8" w14:textId="143D499E" w:rsidR="003C2E54" w:rsidRDefault="00A41577" w:rsidP="000D721E">
      <w:pPr>
        <w:pStyle w:val="ListParagraph"/>
        <w:numPr>
          <w:ilvl w:val="0"/>
          <w:numId w:val="1"/>
        </w:numPr>
        <w:spacing w:after="0" w:line="240" w:lineRule="auto"/>
        <w:rPr>
          <w:rFonts w:ascii="Times New Roman" w:hAnsi="Times New Roman" w:cs="Times New Roman"/>
          <w:b/>
          <w:color w:val="FF0000"/>
          <w:sz w:val="24"/>
          <w:szCs w:val="24"/>
        </w:rPr>
      </w:pPr>
      <w:r w:rsidRPr="00026B20">
        <w:rPr>
          <w:rFonts w:ascii="Times New Roman" w:hAnsi="Times New Roman" w:cs="Times New Roman"/>
          <w:b/>
          <w:sz w:val="24"/>
          <w:szCs w:val="24"/>
        </w:rPr>
        <w:t>Security Requirements</w:t>
      </w:r>
      <w:r w:rsidR="00126006" w:rsidRPr="00026B20">
        <w:rPr>
          <w:rFonts w:ascii="Times New Roman" w:hAnsi="Times New Roman" w:cs="Times New Roman"/>
          <w:b/>
          <w:sz w:val="24"/>
          <w:szCs w:val="24"/>
        </w:rPr>
        <w:t xml:space="preserve"> </w:t>
      </w:r>
    </w:p>
    <w:p w14:paraId="12F7719B" w14:textId="5B0415F8" w:rsidR="00A76011" w:rsidRPr="00A76011" w:rsidRDefault="00A76011" w:rsidP="000D721E">
      <w:pPr>
        <w:spacing w:after="0" w:line="240" w:lineRule="auto"/>
        <w:ind w:left="720"/>
        <w:rPr>
          <w:rFonts w:ascii="Times New Roman" w:hAnsi="Times New Roman" w:cs="Times New Roman"/>
          <w:bCs/>
          <w:sz w:val="24"/>
          <w:szCs w:val="24"/>
        </w:rPr>
      </w:pPr>
      <w:r w:rsidRPr="00A76011">
        <w:rPr>
          <w:rFonts w:ascii="Times New Roman" w:hAnsi="Times New Roman" w:cs="Times New Roman"/>
          <w:bCs/>
          <w:sz w:val="24"/>
          <w:szCs w:val="24"/>
        </w:rPr>
        <w:t xml:space="preserve">In the case of an unclassified contract that requires no access to Classified Military Information (CMI), but that does require access to Controlled Unclassified Information (CUI), NAWCWD Restricted Areas, and/or Government </w:t>
      </w:r>
      <w:r w:rsidR="009B67ED">
        <w:rPr>
          <w:rFonts w:ascii="Times New Roman" w:hAnsi="Times New Roman" w:cs="Times New Roman"/>
          <w:bCs/>
          <w:sz w:val="24"/>
          <w:szCs w:val="24"/>
        </w:rPr>
        <w:t>information technology (</w:t>
      </w:r>
      <w:r w:rsidRPr="00A76011">
        <w:rPr>
          <w:rFonts w:ascii="Times New Roman" w:hAnsi="Times New Roman" w:cs="Times New Roman"/>
          <w:bCs/>
          <w:sz w:val="24"/>
          <w:szCs w:val="24"/>
        </w:rPr>
        <w:t>IT</w:t>
      </w:r>
      <w:r w:rsidR="009B67ED">
        <w:rPr>
          <w:rFonts w:ascii="Times New Roman" w:hAnsi="Times New Roman" w:cs="Times New Roman"/>
          <w:bCs/>
          <w:sz w:val="24"/>
          <w:szCs w:val="24"/>
        </w:rPr>
        <w:t>)</w:t>
      </w:r>
      <w:r w:rsidRPr="00A76011">
        <w:rPr>
          <w:rFonts w:ascii="Times New Roman" w:hAnsi="Times New Roman" w:cs="Times New Roman"/>
          <w:bCs/>
          <w:sz w:val="24"/>
          <w:szCs w:val="24"/>
        </w:rPr>
        <w:t xml:space="preserve"> systems, contractors are required to comply with non-NISP processing requirements before local access to CUI, Restricted Areas, and IT can be granted. This process shall be coordinated by the Contracting Officer’s Representative (COR) or Technical Point of Contact (TPOC) through the NAWCWD Industrial Security office.</w:t>
      </w:r>
    </w:p>
    <w:p w14:paraId="3211750A" w14:textId="77777777" w:rsidR="00A76011" w:rsidRPr="00A76011" w:rsidRDefault="00A76011" w:rsidP="000D721E">
      <w:pPr>
        <w:spacing w:after="0" w:line="240" w:lineRule="auto"/>
        <w:ind w:left="720"/>
        <w:rPr>
          <w:rFonts w:ascii="Times New Roman" w:hAnsi="Times New Roman" w:cs="Times New Roman"/>
          <w:bCs/>
          <w:sz w:val="24"/>
          <w:szCs w:val="24"/>
        </w:rPr>
      </w:pPr>
      <w:r w:rsidRPr="00A76011">
        <w:rPr>
          <w:rFonts w:ascii="Times New Roman" w:hAnsi="Times New Roman" w:cs="Times New Roman"/>
          <w:bCs/>
          <w:sz w:val="24"/>
          <w:szCs w:val="24"/>
        </w:rPr>
        <w:lastRenderedPageBreak/>
        <w:t>CUI information generated and/or provided under this contract shall be marked and safeguarded as specified in DoDI 5200.48, Controlled Unclassified Information (CUI).  Contractor shall not store or transmit CUI on personal information technology systems or via personal e-mail.  Unclassified e-mail containing any DoD CUI shall be encrypted.  Prior to sending CUI to any non-Navy Marine Corps Internet (NMCI) addressees, the sender must first positively verify all recipients are authorized access to CUI and have need-to-know.  Non-NMCI recipients must have a DoD compliant Private Key Infrastructure (PKI) certificate that enables electronic transmission via unclassified networks while protecting the CUI with a digital signature and encryption.</w:t>
      </w:r>
    </w:p>
    <w:p w14:paraId="1DB0EFBE" w14:textId="77777777" w:rsidR="00A76011" w:rsidRPr="00A76011" w:rsidRDefault="00A76011" w:rsidP="000D721E">
      <w:pPr>
        <w:spacing w:after="0" w:line="240" w:lineRule="auto"/>
        <w:rPr>
          <w:rFonts w:ascii="Times New Roman" w:hAnsi="Times New Roman" w:cs="Times New Roman"/>
          <w:bCs/>
          <w:sz w:val="24"/>
          <w:szCs w:val="24"/>
        </w:rPr>
      </w:pPr>
    </w:p>
    <w:p w14:paraId="301E7616" w14:textId="27EA1D06" w:rsidR="00B24335" w:rsidRPr="00B24335" w:rsidRDefault="00A76011" w:rsidP="000D721E">
      <w:pPr>
        <w:spacing w:after="0" w:line="240" w:lineRule="auto"/>
        <w:ind w:left="720"/>
        <w:rPr>
          <w:rFonts w:ascii="Times New Roman" w:hAnsi="Times New Roman" w:cs="Times New Roman"/>
          <w:bCs/>
          <w:sz w:val="24"/>
          <w:szCs w:val="24"/>
        </w:rPr>
      </w:pPr>
      <w:r w:rsidRPr="00A76011">
        <w:rPr>
          <w:rFonts w:ascii="Times New Roman" w:hAnsi="Times New Roman" w:cs="Times New Roman"/>
          <w:bCs/>
          <w:sz w:val="24"/>
          <w:szCs w:val="24"/>
        </w:rPr>
        <w:t xml:space="preserve">Public Release. Disclosure of information is covered by DFARS 252.204-7000 Disclosure of Information, incorporated in Section I of the contract. Concerning subsection (a)(2), “information otherwise in the public domain” is information officially released into the public domain, e.g. via Distribution Statement A, and does not include information in the public domain that has not been officially released. For disclosure of unclassified information that has not been officially released, the contractor must seek specific approval from the Contracting Officer, with approval from the NAWCWD Public Affairs Office (PAO).   </w:t>
      </w:r>
    </w:p>
    <w:p w14:paraId="510AD435" w14:textId="77777777" w:rsidR="00E2387F" w:rsidRDefault="003C2E54" w:rsidP="00506A31">
      <w:pPr>
        <w:spacing w:after="0" w:line="240" w:lineRule="auto"/>
        <w:ind w:left="720"/>
        <w:rPr>
          <w:rFonts w:ascii="Times New Roman" w:hAnsi="Times New Roman" w:cs="Times New Roman"/>
          <w:b/>
          <w:sz w:val="24"/>
          <w:szCs w:val="24"/>
        </w:rPr>
      </w:pPr>
      <w:r>
        <w:rPr>
          <w:rFonts w:ascii="Times New Roman" w:hAnsi="Times New Roman" w:cs="Times New Roman"/>
          <w:b/>
          <w:color w:val="FF0000"/>
          <w:sz w:val="24"/>
          <w:szCs w:val="24"/>
        </w:rPr>
        <w:br w:type="page"/>
      </w:r>
      <w:r w:rsidR="00E2387F">
        <w:rPr>
          <w:rFonts w:ascii="Times New Roman" w:hAnsi="Times New Roman" w:cs="Times New Roman"/>
          <w:b/>
          <w:sz w:val="24"/>
          <w:szCs w:val="24"/>
        </w:rPr>
        <w:lastRenderedPageBreak/>
        <w:t>Appendix A: Genesis Mainframe and Card Coverage</w:t>
      </w:r>
    </w:p>
    <w:p w14:paraId="277BE80C" w14:textId="77777777" w:rsidR="00E2387F" w:rsidRDefault="00E2387F" w:rsidP="009B67ED">
      <w:pPr>
        <w:spacing w:after="0" w:line="240" w:lineRule="auto"/>
        <w:rPr>
          <w:rFonts w:ascii="Times New Roman" w:hAnsi="Times New Roman" w:cs="Times New Roman"/>
          <w:bCs/>
          <w:sz w:val="24"/>
          <w:szCs w:val="24"/>
        </w:rPr>
      </w:pPr>
    </w:p>
    <w:p w14:paraId="5781D253" w14:textId="77777777" w:rsidR="00E2387F" w:rsidRPr="00C64996" w:rsidRDefault="00E2387F" w:rsidP="009B67ED">
      <w:pPr>
        <w:spacing w:after="0" w:line="240" w:lineRule="auto"/>
        <w:rPr>
          <w:rFonts w:ascii="Times New Roman" w:hAnsi="Times New Roman" w:cs="Times New Roman"/>
          <w:bCs/>
          <w:sz w:val="24"/>
          <w:szCs w:val="24"/>
        </w:rPr>
      </w:pPr>
      <w:r>
        <w:rPr>
          <w:noProof/>
        </w:rPr>
        <w:drawing>
          <wp:inline distT="0" distB="0" distL="0" distR="0" wp14:anchorId="706F5A96" wp14:editId="7AF32F2A">
            <wp:extent cx="5943600" cy="5533390"/>
            <wp:effectExtent l="0" t="0" r="0" b="0"/>
            <wp:docPr id="913412636"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12636" name="Picture 1" descr="Table&#10;&#10;AI-generated content may be incorrect."/>
                    <pic:cNvPicPr/>
                  </pic:nvPicPr>
                  <pic:blipFill>
                    <a:blip r:embed="rId8"/>
                    <a:stretch>
                      <a:fillRect/>
                    </a:stretch>
                  </pic:blipFill>
                  <pic:spPr>
                    <a:xfrm>
                      <a:off x="0" y="0"/>
                      <a:ext cx="5943600" cy="5533390"/>
                    </a:xfrm>
                    <a:prstGeom prst="rect">
                      <a:avLst/>
                    </a:prstGeom>
                  </pic:spPr>
                </pic:pic>
              </a:graphicData>
            </a:graphic>
          </wp:inline>
        </w:drawing>
      </w:r>
    </w:p>
    <w:p w14:paraId="51165C49" w14:textId="2A6E9C4F" w:rsidR="00E2387F" w:rsidRDefault="00E2387F" w:rsidP="00506A31">
      <w:pPr>
        <w:spacing w:after="0"/>
        <w:rPr>
          <w:rFonts w:ascii="Times New Roman" w:hAnsi="Times New Roman" w:cs="Times New Roman"/>
          <w:b/>
          <w:color w:val="FF0000"/>
          <w:sz w:val="24"/>
          <w:szCs w:val="24"/>
        </w:rPr>
      </w:pPr>
      <w:r>
        <w:rPr>
          <w:rFonts w:ascii="Times New Roman" w:hAnsi="Times New Roman" w:cs="Times New Roman"/>
          <w:b/>
          <w:color w:val="FF0000"/>
          <w:sz w:val="24"/>
          <w:szCs w:val="24"/>
        </w:rPr>
        <w:br w:type="page"/>
      </w:r>
    </w:p>
    <w:p w14:paraId="255C871C" w14:textId="3AA992DD" w:rsidR="009C3066" w:rsidRDefault="003C2E54" w:rsidP="00506A31">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Appendix B</w:t>
      </w:r>
      <w:r w:rsidR="001B55F8">
        <w:rPr>
          <w:rFonts w:ascii="Times New Roman" w:hAnsi="Times New Roman" w:cs="Times New Roman"/>
          <w:b/>
          <w:sz w:val="24"/>
          <w:szCs w:val="24"/>
        </w:rPr>
        <w:t>: Perception</w:t>
      </w:r>
      <w:r w:rsidR="00BE6B9A">
        <w:rPr>
          <w:rFonts w:ascii="Times New Roman" w:hAnsi="Times New Roman" w:cs="Times New Roman"/>
          <w:b/>
          <w:sz w:val="24"/>
          <w:szCs w:val="24"/>
        </w:rPr>
        <w:t xml:space="preserve"> Software</w:t>
      </w:r>
      <w:r w:rsidR="001B55F8">
        <w:rPr>
          <w:rFonts w:ascii="Times New Roman" w:hAnsi="Times New Roman" w:cs="Times New Roman"/>
          <w:b/>
          <w:sz w:val="24"/>
          <w:szCs w:val="24"/>
        </w:rPr>
        <w:t xml:space="preserve"> License</w:t>
      </w:r>
      <w:r w:rsidR="003A443E">
        <w:rPr>
          <w:rFonts w:ascii="Times New Roman" w:hAnsi="Times New Roman" w:cs="Times New Roman"/>
          <w:b/>
          <w:sz w:val="24"/>
          <w:szCs w:val="24"/>
        </w:rPr>
        <w:t xml:space="preserve"> Key</w:t>
      </w:r>
      <w:r w:rsidR="001B55F8">
        <w:rPr>
          <w:rFonts w:ascii="Times New Roman" w:hAnsi="Times New Roman" w:cs="Times New Roman"/>
          <w:b/>
          <w:sz w:val="24"/>
          <w:szCs w:val="24"/>
        </w:rPr>
        <w:t xml:space="preserve"> Serial Numbers</w:t>
      </w:r>
    </w:p>
    <w:p w14:paraId="44C61602"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1. 3244683</w:t>
      </w:r>
    </w:p>
    <w:p w14:paraId="7E47199F"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2. 220462206</w:t>
      </w:r>
    </w:p>
    <w:p w14:paraId="08AEF33C"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3. 613266062</w:t>
      </w:r>
    </w:p>
    <w:p w14:paraId="3AB5EBAF"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4. 782513115</w:t>
      </w:r>
    </w:p>
    <w:p w14:paraId="701F7CD3"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5. 2060664448</w:t>
      </w:r>
    </w:p>
    <w:p w14:paraId="0304AC35"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6. 59741295</w:t>
      </w:r>
    </w:p>
    <w:p w14:paraId="654F22FA"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7. 184276941</w:t>
      </w:r>
    </w:p>
    <w:p w14:paraId="27FDB3BB"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8. 314883398</w:t>
      </w:r>
    </w:p>
    <w:p w14:paraId="4AE4CE6C"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9. 2094976500</w:t>
      </w:r>
    </w:p>
    <w:p w14:paraId="46CFD5A2"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10. 317858065</w:t>
      </w:r>
    </w:p>
    <w:p w14:paraId="2E437DDF"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11. 1099746423</w:t>
      </w:r>
    </w:p>
    <w:p w14:paraId="6E409B91"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12. 1657745451</w:t>
      </w:r>
    </w:p>
    <w:p w14:paraId="3F9CF56C"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13. 1832256012</w:t>
      </w:r>
    </w:p>
    <w:p w14:paraId="038011DF" w14:textId="77777777" w:rsidR="001B55F8" w:rsidRPr="001B55F8"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14. 391827521</w:t>
      </w:r>
    </w:p>
    <w:p w14:paraId="5CED8EF7" w14:textId="633A3F1F" w:rsidR="003C2E54" w:rsidRDefault="001B55F8" w:rsidP="009B67ED">
      <w:pPr>
        <w:spacing w:after="0" w:line="240" w:lineRule="auto"/>
        <w:rPr>
          <w:rFonts w:ascii="Times New Roman" w:hAnsi="Times New Roman" w:cs="Times New Roman"/>
          <w:bCs/>
          <w:sz w:val="24"/>
          <w:szCs w:val="24"/>
        </w:rPr>
      </w:pPr>
      <w:r w:rsidRPr="001B55F8">
        <w:rPr>
          <w:rFonts w:ascii="Times New Roman" w:hAnsi="Times New Roman" w:cs="Times New Roman"/>
          <w:bCs/>
          <w:sz w:val="24"/>
          <w:szCs w:val="24"/>
        </w:rPr>
        <w:t>15. 1828229443</w:t>
      </w:r>
    </w:p>
    <w:p w14:paraId="799A78F9" w14:textId="0B2A951E" w:rsidR="00327C96" w:rsidRDefault="00327C96" w:rsidP="00506A31">
      <w:pPr>
        <w:spacing w:after="0"/>
        <w:rPr>
          <w:rFonts w:ascii="Times New Roman" w:hAnsi="Times New Roman" w:cs="Times New Roman"/>
          <w:bCs/>
          <w:sz w:val="24"/>
          <w:szCs w:val="24"/>
        </w:rPr>
      </w:pPr>
    </w:p>
    <w:sectPr w:rsidR="0032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405C1"/>
    <w:multiLevelType w:val="hybridMultilevel"/>
    <w:tmpl w:val="576C1D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415C2"/>
    <w:multiLevelType w:val="hybridMultilevel"/>
    <w:tmpl w:val="26D62526"/>
    <w:lvl w:ilvl="0" w:tplc="C7627C0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73BE8"/>
    <w:multiLevelType w:val="hybridMultilevel"/>
    <w:tmpl w:val="34C61504"/>
    <w:lvl w:ilvl="0" w:tplc="976C9A8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3500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080F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947"/>
    <w:rsid w:val="000003E6"/>
    <w:rsid w:val="000025C4"/>
    <w:rsid w:val="00026B20"/>
    <w:rsid w:val="000319A7"/>
    <w:rsid w:val="00041864"/>
    <w:rsid w:val="00093DBB"/>
    <w:rsid w:val="000D721E"/>
    <w:rsid w:val="000F0E5A"/>
    <w:rsid w:val="000F3F33"/>
    <w:rsid w:val="001214DB"/>
    <w:rsid w:val="00126006"/>
    <w:rsid w:val="00133028"/>
    <w:rsid w:val="0013718E"/>
    <w:rsid w:val="00145FD1"/>
    <w:rsid w:val="001467AD"/>
    <w:rsid w:val="00153DA8"/>
    <w:rsid w:val="0016166F"/>
    <w:rsid w:val="0018033F"/>
    <w:rsid w:val="0019389B"/>
    <w:rsid w:val="001945E7"/>
    <w:rsid w:val="00194DB7"/>
    <w:rsid w:val="001A2EE9"/>
    <w:rsid w:val="001B3EFB"/>
    <w:rsid w:val="001B55F8"/>
    <w:rsid w:val="001C5121"/>
    <w:rsid w:val="001D306E"/>
    <w:rsid w:val="002325CD"/>
    <w:rsid w:val="002331DB"/>
    <w:rsid w:val="00244253"/>
    <w:rsid w:val="00253A6B"/>
    <w:rsid w:val="00274F42"/>
    <w:rsid w:val="00281BBA"/>
    <w:rsid w:val="0029560F"/>
    <w:rsid w:val="002B7CEF"/>
    <w:rsid w:val="002C5DA7"/>
    <w:rsid w:val="002C65DE"/>
    <w:rsid w:val="002E482D"/>
    <w:rsid w:val="00303F6E"/>
    <w:rsid w:val="00304567"/>
    <w:rsid w:val="00321054"/>
    <w:rsid w:val="00327C96"/>
    <w:rsid w:val="003415ED"/>
    <w:rsid w:val="00381C0E"/>
    <w:rsid w:val="00387B1E"/>
    <w:rsid w:val="00392600"/>
    <w:rsid w:val="003969F4"/>
    <w:rsid w:val="003A443E"/>
    <w:rsid w:val="003A5CA2"/>
    <w:rsid w:val="003B589D"/>
    <w:rsid w:val="003C2E54"/>
    <w:rsid w:val="003C637B"/>
    <w:rsid w:val="00423F09"/>
    <w:rsid w:val="00431411"/>
    <w:rsid w:val="00451C4D"/>
    <w:rsid w:val="004551E2"/>
    <w:rsid w:val="00467E1E"/>
    <w:rsid w:val="0047714B"/>
    <w:rsid w:val="004B54D0"/>
    <w:rsid w:val="004B6CCD"/>
    <w:rsid w:val="004C3981"/>
    <w:rsid w:val="004C458D"/>
    <w:rsid w:val="004D7E17"/>
    <w:rsid w:val="00503A2E"/>
    <w:rsid w:val="00506A31"/>
    <w:rsid w:val="00542F22"/>
    <w:rsid w:val="00571194"/>
    <w:rsid w:val="00574FEB"/>
    <w:rsid w:val="00587863"/>
    <w:rsid w:val="005C4069"/>
    <w:rsid w:val="00630AFE"/>
    <w:rsid w:val="00646973"/>
    <w:rsid w:val="00667A6F"/>
    <w:rsid w:val="00683177"/>
    <w:rsid w:val="006B3C2B"/>
    <w:rsid w:val="006C3D5F"/>
    <w:rsid w:val="006C5733"/>
    <w:rsid w:val="007011AC"/>
    <w:rsid w:val="00715B74"/>
    <w:rsid w:val="00740E36"/>
    <w:rsid w:val="0074151D"/>
    <w:rsid w:val="007A0800"/>
    <w:rsid w:val="007A1E98"/>
    <w:rsid w:val="007B17C2"/>
    <w:rsid w:val="00821D11"/>
    <w:rsid w:val="00842472"/>
    <w:rsid w:val="008901DA"/>
    <w:rsid w:val="008A5C5E"/>
    <w:rsid w:val="008B0E8C"/>
    <w:rsid w:val="008B1132"/>
    <w:rsid w:val="008D11B7"/>
    <w:rsid w:val="008D472C"/>
    <w:rsid w:val="009028AE"/>
    <w:rsid w:val="00907F24"/>
    <w:rsid w:val="00917CC1"/>
    <w:rsid w:val="009540BC"/>
    <w:rsid w:val="00967C03"/>
    <w:rsid w:val="00972594"/>
    <w:rsid w:val="00980091"/>
    <w:rsid w:val="009B67ED"/>
    <w:rsid w:val="009C3066"/>
    <w:rsid w:val="009D033D"/>
    <w:rsid w:val="00A33D3C"/>
    <w:rsid w:val="00A347B7"/>
    <w:rsid w:val="00A4137C"/>
    <w:rsid w:val="00A41577"/>
    <w:rsid w:val="00A62805"/>
    <w:rsid w:val="00A62E3B"/>
    <w:rsid w:val="00A76011"/>
    <w:rsid w:val="00A847AA"/>
    <w:rsid w:val="00AC5373"/>
    <w:rsid w:val="00AC7527"/>
    <w:rsid w:val="00AD22FB"/>
    <w:rsid w:val="00AE436F"/>
    <w:rsid w:val="00AF06DA"/>
    <w:rsid w:val="00B24335"/>
    <w:rsid w:val="00B24FB0"/>
    <w:rsid w:val="00B433D2"/>
    <w:rsid w:val="00B52117"/>
    <w:rsid w:val="00B57947"/>
    <w:rsid w:val="00B64C58"/>
    <w:rsid w:val="00BA5CC7"/>
    <w:rsid w:val="00BE140C"/>
    <w:rsid w:val="00BE4566"/>
    <w:rsid w:val="00BE6B9A"/>
    <w:rsid w:val="00BE7FD1"/>
    <w:rsid w:val="00C30BB0"/>
    <w:rsid w:val="00C45F69"/>
    <w:rsid w:val="00C64996"/>
    <w:rsid w:val="00C77215"/>
    <w:rsid w:val="00C81209"/>
    <w:rsid w:val="00C82FC0"/>
    <w:rsid w:val="00CC5F88"/>
    <w:rsid w:val="00CC62D5"/>
    <w:rsid w:val="00CD05D7"/>
    <w:rsid w:val="00D52E87"/>
    <w:rsid w:val="00D54D7E"/>
    <w:rsid w:val="00D82B75"/>
    <w:rsid w:val="00D92D43"/>
    <w:rsid w:val="00D94DAF"/>
    <w:rsid w:val="00DA5EDD"/>
    <w:rsid w:val="00DD4D10"/>
    <w:rsid w:val="00DE434A"/>
    <w:rsid w:val="00DE4AEE"/>
    <w:rsid w:val="00DE687E"/>
    <w:rsid w:val="00E14304"/>
    <w:rsid w:val="00E163A5"/>
    <w:rsid w:val="00E2387F"/>
    <w:rsid w:val="00E3121F"/>
    <w:rsid w:val="00ED547C"/>
    <w:rsid w:val="00F04CD0"/>
    <w:rsid w:val="00F31945"/>
    <w:rsid w:val="00F4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1673"/>
  <w15:chartTrackingRefBased/>
  <w15:docId w15:val="{3955B114-DFFE-49B4-BE1E-648D303F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947"/>
    <w:pPr>
      <w:ind w:left="720"/>
      <w:contextualSpacing/>
    </w:pPr>
  </w:style>
  <w:style w:type="paragraph" w:styleId="Revision">
    <w:name w:val="Revision"/>
    <w:hidden/>
    <w:uiPriority w:val="99"/>
    <w:semiHidden/>
    <w:rsid w:val="00DA5EDD"/>
    <w:pPr>
      <w:spacing w:after="0" w:line="240" w:lineRule="auto"/>
    </w:pPr>
  </w:style>
  <w:style w:type="character" w:styleId="CommentReference">
    <w:name w:val="annotation reference"/>
    <w:basedOn w:val="DefaultParagraphFont"/>
    <w:uiPriority w:val="99"/>
    <w:semiHidden/>
    <w:unhideWhenUsed/>
    <w:rsid w:val="00321054"/>
    <w:rPr>
      <w:sz w:val="16"/>
      <w:szCs w:val="16"/>
    </w:rPr>
  </w:style>
  <w:style w:type="paragraph" w:styleId="CommentText">
    <w:name w:val="annotation text"/>
    <w:basedOn w:val="Normal"/>
    <w:link w:val="CommentTextChar"/>
    <w:uiPriority w:val="99"/>
    <w:unhideWhenUsed/>
    <w:rsid w:val="00321054"/>
    <w:pPr>
      <w:spacing w:line="240" w:lineRule="auto"/>
    </w:pPr>
    <w:rPr>
      <w:sz w:val="20"/>
      <w:szCs w:val="20"/>
    </w:rPr>
  </w:style>
  <w:style w:type="character" w:customStyle="1" w:styleId="CommentTextChar">
    <w:name w:val="Comment Text Char"/>
    <w:basedOn w:val="DefaultParagraphFont"/>
    <w:link w:val="CommentText"/>
    <w:uiPriority w:val="99"/>
    <w:rsid w:val="00321054"/>
    <w:rPr>
      <w:sz w:val="20"/>
      <w:szCs w:val="20"/>
    </w:rPr>
  </w:style>
  <w:style w:type="paragraph" w:styleId="CommentSubject">
    <w:name w:val="annotation subject"/>
    <w:basedOn w:val="CommentText"/>
    <w:next w:val="CommentText"/>
    <w:link w:val="CommentSubjectChar"/>
    <w:uiPriority w:val="99"/>
    <w:semiHidden/>
    <w:unhideWhenUsed/>
    <w:rsid w:val="00321054"/>
    <w:rPr>
      <w:b/>
      <w:bCs/>
    </w:rPr>
  </w:style>
  <w:style w:type="character" w:customStyle="1" w:styleId="CommentSubjectChar">
    <w:name w:val="Comment Subject Char"/>
    <w:basedOn w:val="CommentTextChar"/>
    <w:link w:val="CommentSubject"/>
    <w:uiPriority w:val="99"/>
    <w:semiHidden/>
    <w:rsid w:val="003210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0D28D5B9C22546B11536BCF37E8E12" ma:contentTypeVersion="13" ma:contentTypeDescription="Create a new document." ma:contentTypeScope="" ma:versionID="4d9e7ec714488538fe1a88062e521594">
  <xsd:schema xmlns:xsd="http://www.w3.org/2001/XMLSchema" xmlns:xs="http://www.w3.org/2001/XMLSchema" xmlns:p="http://schemas.microsoft.com/office/2006/metadata/properties" xmlns:ns2="ede60000-1c43-4b21-a950-d31209fe1925" xmlns:ns3="72ff1463-e9fe-4904-8684-59aa9c8a4823" targetNamespace="http://schemas.microsoft.com/office/2006/metadata/properties" ma:root="true" ma:fieldsID="7ea8c4d793bc038d3e7c379d70ab7236" ns2:_="" ns3:_="">
    <xsd:import namespace="ede60000-1c43-4b21-a950-d31209fe1925"/>
    <xsd:import namespace="72ff1463-e9fe-4904-8684-59aa9c8a48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60000-1c43-4b21-a950-d31209fe1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f1463-e9fe-4904-8684-59aa9c8a48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548c558-93c6-4290-aacf-3c107b3f355d}" ma:internalName="TaxCatchAll" ma:showField="CatchAllData" ma:web="72ff1463-e9fe-4904-8684-59aa9c8a48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60000-1c43-4b21-a950-d31209fe1925">
      <Terms xmlns="http://schemas.microsoft.com/office/infopath/2007/PartnerControls"/>
    </lcf76f155ced4ddcb4097134ff3c332f>
    <TaxCatchAll xmlns="72ff1463-e9fe-4904-8684-59aa9c8a4823" xsi:nil="true"/>
  </documentManagement>
</p:properties>
</file>

<file path=customXml/itemProps1.xml><?xml version="1.0" encoding="utf-8"?>
<ds:datastoreItem xmlns:ds="http://schemas.openxmlformats.org/officeDocument/2006/customXml" ds:itemID="{EDE203C7-B619-47DC-BB03-57E1C6E03AC6}">
  <ds:schemaRefs>
    <ds:schemaRef ds:uri="http://schemas.microsoft.com/sharepoint/v3/contenttype/forms"/>
  </ds:schemaRefs>
</ds:datastoreItem>
</file>

<file path=customXml/itemProps2.xml><?xml version="1.0" encoding="utf-8"?>
<ds:datastoreItem xmlns:ds="http://schemas.openxmlformats.org/officeDocument/2006/customXml" ds:itemID="{A822FFCA-7F12-4712-8AD4-EAADE7AB8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60000-1c43-4b21-a950-d31209fe1925"/>
    <ds:schemaRef ds:uri="72ff1463-e9fe-4904-8684-59aa9c8a4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8932E7-7C7A-4BF9-9850-9AAA129547A7}">
  <ds:schemaRefs>
    <ds:schemaRef ds:uri="http://schemas.microsoft.com/office/2006/metadata/properties"/>
    <ds:schemaRef ds:uri="http://schemas.microsoft.com/office/infopath/2007/PartnerControls"/>
    <ds:schemaRef ds:uri="ede60000-1c43-4b21-a950-d31209fe1925"/>
    <ds:schemaRef ds:uri="72ff1463-e9fe-4904-8684-59aa9c8a48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Fedick, Patrick W CIV USN NAWCWD (USA)</dc:creator>
  <cp:keywords/>
  <dc:description/>
  <cp:lastModifiedBy>Cooley, Daniel</cp:lastModifiedBy>
  <cp:revision>2</cp:revision>
  <dcterms:created xsi:type="dcterms:W3CDTF">2025-06-12T22:24:00Z</dcterms:created>
  <dcterms:modified xsi:type="dcterms:W3CDTF">2025-06-12T22:24:00Z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0x010100040D28D5B9C22546B11536BCF37E8E12</vt:lpwstr>
  </property>
  <property fmtid="{D5CDD505-2E9C-101B-9397-08002B2CF9AE}" pid="3" name="MediaServiceImageTags">
    <vt:lpwstr/>
  </property>
</Properties>
</file>