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7D95" w14:textId="77777777" w:rsidR="000C4EEE" w:rsidRDefault="000C4EEE">
      <w:pPr>
        <w:pStyle w:val="BodyText"/>
        <w:spacing w:before="5"/>
        <w:rPr>
          <w:rFonts w:ascii="Times New Roman"/>
          <w:sz w:val="4"/>
        </w:rPr>
      </w:pPr>
    </w:p>
    <w:p w14:paraId="0DE1E6EE" w14:textId="77777777" w:rsidR="00FA4515" w:rsidRDefault="00FA4515">
      <w:pPr>
        <w:pStyle w:val="BodyText"/>
        <w:spacing w:before="5"/>
        <w:rPr>
          <w:rFonts w:ascii="Times New Roman"/>
          <w:sz w:val="4"/>
        </w:rPr>
      </w:pPr>
    </w:p>
    <w:p w14:paraId="6F99D4EB" w14:textId="77777777" w:rsidR="00FA4515" w:rsidRDefault="00FA4515">
      <w:pPr>
        <w:pStyle w:val="BodyText"/>
        <w:spacing w:before="5"/>
        <w:rPr>
          <w:rFonts w:ascii="Times New Roman"/>
          <w:sz w:val="4"/>
        </w:rPr>
      </w:pPr>
    </w:p>
    <w:p w14:paraId="24487D96" w14:textId="77777777" w:rsidR="000C4EEE" w:rsidRDefault="00C81BA0">
      <w:pPr>
        <w:pStyle w:val="BodyText"/>
        <w:ind w:left="348"/>
        <w:rPr>
          <w:rFonts w:ascii="Times New Roman"/>
          <w:sz w:val="20"/>
        </w:rPr>
      </w:pPr>
      <w:r>
        <w:rPr>
          <w:rFonts w:ascii="Times New Roman"/>
          <w:noProof/>
          <w:sz w:val="20"/>
        </w:rPr>
        <mc:AlternateContent>
          <mc:Choice Requires="wps">
            <w:drawing>
              <wp:inline distT="0" distB="0" distL="0" distR="0" wp14:anchorId="24487DD1" wp14:editId="24487DD2">
                <wp:extent cx="5937885" cy="211454"/>
                <wp:effectExtent l="9525" t="0" r="0" b="762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11454"/>
                        </a:xfrm>
                        <a:prstGeom prst="rect">
                          <a:avLst/>
                        </a:prstGeom>
                        <a:solidFill>
                          <a:srgbClr val="C0C1C4"/>
                        </a:solidFill>
                        <a:ln w="7365">
                          <a:solidFill>
                            <a:srgbClr val="211F1F"/>
                          </a:solidFill>
                          <a:prstDash val="solid"/>
                        </a:ln>
                      </wps:spPr>
                      <wps:txbx>
                        <w:txbxContent>
                          <w:p w14:paraId="24487DD3" w14:textId="77777777" w:rsidR="000C4EEE" w:rsidRDefault="00C81BA0">
                            <w:pPr>
                              <w:spacing w:before="7"/>
                              <w:ind w:right="65"/>
                              <w:jc w:val="center"/>
                              <w:rPr>
                                <w:b/>
                                <w:color w:val="000000"/>
                              </w:rPr>
                            </w:pPr>
                            <w:r>
                              <w:rPr>
                                <w:b/>
                                <w:color w:val="211F1F"/>
                                <w:spacing w:val="-2"/>
                              </w:rPr>
                              <w:t>PRE-SOLICITATION</w:t>
                            </w:r>
                            <w:r>
                              <w:rPr>
                                <w:b/>
                                <w:color w:val="211F1F"/>
                                <w:spacing w:val="6"/>
                              </w:rPr>
                              <w:t xml:space="preserve"> </w:t>
                            </w:r>
                            <w:r>
                              <w:rPr>
                                <w:b/>
                                <w:color w:val="211F1F"/>
                                <w:spacing w:val="-2"/>
                              </w:rPr>
                              <w:t>NON-COMPETITIVE</w:t>
                            </w:r>
                            <w:r>
                              <w:rPr>
                                <w:b/>
                                <w:color w:val="211F1F"/>
                                <w:spacing w:val="6"/>
                              </w:rPr>
                              <w:t xml:space="preserve"> </w:t>
                            </w:r>
                            <w:r>
                              <w:rPr>
                                <w:b/>
                                <w:color w:val="211F1F"/>
                                <w:spacing w:val="-2"/>
                              </w:rPr>
                              <w:t>(NOTICE</w:t>
                            </w:r>
                            <w:r>
                              <w:rPr>
                                <w:b/>
                                <w:color w:val="211F1F"/>
                                <w:spacing w:val="6"/>
                              </w:rPr>
                              <w:t xml:space="preserve"> </w:t>
                            </w:r>
                            <w:r>
                              <w:rPr>
                                <w:b/>
                                <w:color w:val="211F1F"/>
                                <w:spacing w:val="-2"/>
                              </w:rPr>
                              <w:t>OF</w:t>
                            </w:r>
                            <w:r>
                              <w:rPr>
                                <w:b/>
                                <w:color w:val="211F1F"/>
                                <w:spacing w:val="7"/>
                              </w:rPr>
                              <w:t xml:space="preserve"> </w:t>
                            </w:r>
                            <w:r>
                              <w:rPr>
                                <w:b/>
                                <w:color w:val="211F1F"/>
                                <w:spacing w:val="-2"/>
                              </w:rPr>
                              <w:t>INTENT)</w:t>
                            </w:r>
                            <w:r>
                              <w:rPr>
                                <w:b/>
                                <w:color w:val="211F1F"/>
                                <w:spacing w:val="5"/>
                              </w:rPr>
                              <w:t xml:space="preserve"> </w:t>
                            </w:r>
                            <w:r>
                              <w:rPr>
                                <w:b/>
                                <w:color w:val="211F1F"/>
                                <w:spacing w:val="-2"/>
                              </w:rPr>
                              <w:t>SYNOPSIS</w:t>
                            </w:r>
                          </w:p>
                        </w:txbxContent>
                      </wps:txbx>
                      <wps:bodyPr wrap="square" lIns="0" tIns="0" rIns="0" bIns="0" rtlCol="0">
                        <a:noAutofit/>
                      </wps:bodyPr>
                    </wps:wsp>
                  </a:graphicData>
                </a:graphic>
              </wp:inline>
            </w:drawing>
          </mc:Choice>
          <mc:Fallback>
            <w:pict>
              <v:shapetype w14:anchorId="24487DD1" id="_x0000_t202" coordsize="21600,21600" o:spt="202" path="m,l,21600r21600,l21600,xe">
                <v:stroke joinstyle="miter"/>
                <v:path gradientshapeok="t" o:connecttype="rect"/>
              </v:shapetype>
              <v:shape id="Textbox 1" o:spid="_x0000_s1026" type="#_x0000_t202" style="width:467.55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" fillcolor="#c0c1c4" strokecolor="#211f1f" strokeweight=".20458mm">
                <v:path arrowok="t"/>
                <v:textbox inset="0,0,0,0">
                  <w:txbxContent>
                    <w:p w14:paraId="24487DD3" w14:textId="77777777" w:rsidR="000C4EEE" w:rsidRDefault="00C81BA0">
                      <w:pPr>
                        <w:spacing w:before="7"/>
                        <w:ind w:right="65"/>
                        <w:jc w:val="center"/>
                        <w:rPr>
                          <w:b/>
                          <w:color w:val="000000"/>
                        </w:rPr>
                      </w:pPr>
                      <w:r>
                        <w:rPr>
                          <w:b/>
                          <w:color w:val="211F1F"/>
                          <w:spacing w:val="-2"/>
                        </w:rPr>
                        <w:t>PRE-SOLICITATION</w:t>
                      </w:r>
                      <w:r>
                        <w:rPr>
                          <w:b/>
                          <w:color w:val="211F1F"/>
                          <w:spacing w:val="6"/>
                        </w:rPr>
                        <w:t xml:space="preserve"> </w:t>
                      </w:r>
                      <w:r>
                        <w:rPr>
                          <w:b/>
                          <w:color w:val="211F1F"/>
                          <w:spacing w:val="-2"/>
                        </w:rPr>
                        <w:t>NON-COMPETITIVE</w:t>
                      </w:r>
                      <w:r>
                        <w:rPr>
                          <w:b/>
                          <w:color w:val="211F1F"/>
                          <w:spacing w:val="6"/>
                        </w:rPr>
                        <w:t xml:space="preserve"> </w:t>
                      </w:r>
                      <w:r>
                        <w:rPr>
                          <w:b/>
                          <w:color w:val="211F1F"/>
                          <w:spacing w:val="-2"/>
                        </w:rPr>
                        <w:t>(NOTICE</w:t>
                      </w:r>
                      <w:r>
                        <w:rPr>
                          <w:b/>
                          <w:color w:val="211F1F"/>
                          <w:spacing w:val="6"/>
                        </w:rPr>
                        <w:t xml:space="preserve"> </w:t>
                      </w:r>
                      <w:r>
                        <w:rPr>
                          <w:b/>
                          <w:color w:val="211F1F"/>
                          <w:spacing w:val="-2"/>
                        </w:rPr>
                        <w:t>OF</w:t>
                      </w:r>
                      <w:r>
                        <w:rPr>
                          <w:b/>
                          <w:color w:val="211F1F"/>
                          <w:spacing w:val="7"/>
                        </w:rPr>
                        <w:t xml:space="preserve"> </w:t>
                      </w:r>
                      <w:r>
                        <w:rPr>
                          <w:b/>
                          <w:color w:val="211F1F"/>
                          <w:spacing w:val="-2"/>
                        </w:rPr>
                        <w:t>INTENT)</w:t>
                      </w:r>
                      <w:r>
                        <w:rPr>
                          <w:b/>
                          <w:color w:val="211F1F"/>
                          <w:spacing w:val="5"/>
                        </w:rPr>
                        <w:t xml:space="preserve"> </w:t>
                      </w:r>
                      <w:r>
                        <w:rPr>
                          <w:b/>
                          <w:color w:val="211F1F"/>
                          <w:spacing w:val="-2"/>
                        </w:rPr>
                        <w:t>SYNOPSIS</w:t>
                      </w:r>
                    </w:p>
                  </w:txbxContent>
                </v:textbox>
                <w10:anchorlock/>
              </v:shape>
            </w:pict>
          </mc:Fallback>
        </mc:AlternateContent>
      </w:r>
    </w:p>
    <w:p w14:paraId="24487D97" w14:textId="77777777" w:rsidR="000C4EEE" w:rsidRDefault="00C81BA0">
      <w:pPr>
        <w:pStyle w:val="Heading1"/>
        <w:spacing w:before="25"/>
        <w:rPr>
          <w:u w:val="none"/>
        </w:rPr>
      </w:pPr>
      <w:bookmarkStart w:id="0" w:name="INTRODUCTION"/>
      <w:bookmarkEnd w:id="0"/>
      <w:r>
        <w:rPr>
          <w:color w:val="211F1F"/>
          <w:spacing w:val="-2"/>
          <w:u w:color="211F1F"/>
        </w:rPr>
        <w:t>INTRODUCTION</w:t>
      </w:r>
    </w:p>
    <w:p w14:paraId="24487D98" w14:textId="77777777" w:rsidR="000C4EEE" w:rsidRDefault="00C81BA0">
      <w:pPr>
        <w:pStyle w:val="BodyText"/>
        <w:spacing w:before="55" w:line="288" w:lineRule="auto"/>
        <w:ind w:left="319" w:hanging="3"/>
      </w:pPr>
      <w:r>
        <w:rPr>
          <w:color w:val="211F1F"/>
        </w:rPr>
        <w:t>THIS</w:t>
      </w:r>
      <w:r>
        <w:rPr>
          <w:color w:val="211F1F"/>
          <w:spacing w:val="-4"/>
        </w:rPr>
        <w:t xml:space="preserve"> </w:t>
      </w:r>
      <w:r>
        <w:rPr>
          <w:color w:val="211F1F"/>
        </w:rPr>
        <w:t>IS</w:t>
      </w:r>
      <w:r>
        <w:rPr>
          <w:color w:val="211F1F"/>
          <w:spacing w:val="-4"/>
        </w:rPr>
        <w:t xml:space="preserve"> </w:t>
      </w:r>
      <w:r>
        <w:rPr>
          <w:color w:val="211F1F"/>
        </w:rPr>
        <w:t>A</w:t>
      </w:r>
      <w:r>
        <w:rPr>
          <w:color w:val="211F1F"/>
          <w:spacing w:val="-3"/>
        </w:rPr>
        <w:t xml:space="preserve"> </w:t>
      </w:r>
      <w:r>
        <w:rPr>
          <w:color w:val="211F1F"/>
        </w:rPr>
        <w:t>PRE-SOLICITATION</w:t>
      </w:r>
      <w:r>
        <w:rPr>
          <w:color w:val="211F1F"/>
          <w:spacing w:val="-4"/>
        </w:rPr>
        <w:t xml:space="preserve"> </w:t>
      </w:r>
      <w:r>
        <w:rPr>
          <w:color w:val="211F1F"/>
        </w:rPr>
        <w:t>NON-COMPETITIVE</w:t>
      </w:r>
      <w:r>
        <w:rPr>
          <w:color w:val="211F1F"/>
          <w:spacing w:val="-5"/>
        </w:rPr>
        <w:t xml:space="preserve"> </w:t>
      </w:r>
      <w:r>
        <w:rPr>
          <w:color w:val="211F1F"/>
        </w:rPr>
        <w:t>(NOTICE</w:t>
      </w:r>
      <w:r>
        <w:rPr>
          <w:color w:val="211F1F"/>
          <w:spacing w:val="-3"/>
        </w:rPr>
        <w:t xml:space="preserve"> </w:t>
      </w:r>
      <w:r>
        <w:rPr>
          <w:color w:val="211F1F"/>
        </w:rPr>
        <w:t>OF</w:t>
      </w:r>
      <w:r>
        <w:rPr>
          <w:color w:val="211F1F"/>
          <w:spacing w:val="-4"/>
        </w:rPr>
        <w:t xml:space="preserve"> </w:t>
      </w:r>
      <w:r>
        <w:rPr>
          <w:color w:val="211F1F"/>
        </w:rPr>
        <w:t>INTENT)</w:t>
      </w:r>
      <w:r>
        <w:rPr>
          <w:color w:val="211F1F"/>
          <w:spacing w:val="-3"/>
        </w:rPr>
        <w:t xml:space="preserve"> </w:t>
      </w:r>
      <w:r>
        <w:rPr>
          <w:color w:val="211F1F"/>
        </w:rPr>
        <w:t>SYNOPSIS</w:t>
      </w:r>
      <w:r>
        <w:rPr>
          <w:color w:val="211F1F"/>
          <w:spacing w:val="-4"/>
        </w:rPr>
        <w:t xml:space="preserve"> </w:t>
      </w:r>
      <w:r>
        <w:rPr>
          <w:color w:val="211F1F"/>
        </w:rPr>
        <w:t>TO</w:t>
      </w:r>
      <w:r>
        <w:rPr>
          <w:color w:val="211F1F"/>
          <w:spacing w:val="-3"/>
        </w:rPr>
        <w:t xml:space="preserve"> </w:t>
      </w:r>
      <w:r>
        <w:rPr>
          <w:color w:val="211F1F"/>
        </w:rPr>
        <w:t>AWARD</w:t>
      </w:r>
      <w:r>
        <w:rPr>
          <w:color w:val="211F1F"/>
          <w:spacing w:val="-4"/>
        </w:rPr>
        <w:t xml:space="preserve"> </w:t>
      </w:r>
      <w:r>
        <w:rPr>
          <w:color w:val="211F1F"/>
        </w:rPr>
        <w:t>A CONTRACT OR PURCHASE ORDER WITHOUT PROVIDING FOR FULL OR OPEN COMPETITION.</w:t>
      </w:r>
    </w:p>
    <w:p w14:paraId="24487D99" w14:textId="77777777" w:rsidR="000C4EEE" w:rsidRDefault="000C4EEE">
      <w:pPr>
        <w:pStyle w:val="BodyText"/>
        <w:spacing w:before="5"/>
      </w:pPr>
    </w:p>
    <w:p w14:paraId="24487D9A" w14:textId="56174F40" w:rsidR="000C4EEE" w:rsidRDefault="00C81BA0">
      <w:pPr>
        <w:pStyle w:val="BodyText"/>
        <w:ind w:left="318" w:right="225"/>
        <w:jc w:val="both"/>
      </w:pPr>
      <w:r>
        <w:rPr>
          <w:color w:val="211F1F"/>
        </w:rPr>
        <w:t xml:space="preserve">The National Institutes of Health, </w:t>
      </w:r>
      <w:r>
        <w:t>National Institute of Child Health and</w:t>
      </w:r>
      <w:r>
        <w:rPr>
          <w:spacing w:val="-1"/>
        </w:rPr>
        <w:t xml:space="preserve"> </w:t>
      </w:r>
      <w:r>
        <w:t xml:space="preserve">Development (NICHD), in support of the work of the National Institute of Diabetes, Digestive, and Kidney Disease (NIDDK), </w:t>
      </w:r>
      <w:r w:rsidR="0042624B">
        <w:t xml:space="preserve">Division of Intramural Research (DIR) </w:t>
      </w:r>
      <w:r>
        <w:rPr>
          <w:color w:val="211F1F"/>
        </w:rPr>
        <w:t xml:space="preserve">intends to award a purchase order without providing for full </w:t>
      </w:r>
      <w:r>
        <w:rPr>
          <w:color w:val="211F1F"/>
          <w:spacing w:val="-6"/>
        </w:rPr>
        <w:t>and</w:t>
      </w:r>
      <w:r>
        <w:rPr>
          <w:color w:val="211F1F"/>
          <w:spacing w:val="-8"/>
        </w:rPr>
        <w:t xml:space="preserve"> </w:t>
      </w:r>
      <w:r>
        <w:rPr>
          <w:color w:val="211F1F"/>
          <w:spacing w:val="-6"/>
        </w:rPr>
        <w:t>open</w:t>
      </w:r>
      <w:r>
        <w:rPr>
          <w:color w:val="211F1F"/>
          <w:spacing w:val="-8"/>
        </w:rPr>
        <w:t xml:space="preserve"> </w:t>
      </w:r>
      <w:r>
        <w:rPr>
          <w:color w:val="211F1F"/>
          <w:spacing w:val="-6"/>
        </w:rPr>
        <w:t>competition</w:t>
      </w:r>
      <w:r>
        <w:rPr>
          <w:color w:val="211F1F"/>
          <w:spacing w:val="-7"/>
        </w:rPr>
        <w:t xml:space="preserve"> </w:t>
      </w:r>
      <w:r>
        <w:rPr>
          <w:color w:val="211F1F"/>
          <w:spacing w:val="-6"/>
        </w:rPr>
        <w:t>to</w:t>
      </w:r>
      <w:r>
        <w:rPr>
          <w:color w:val="211F1F"/>
          <w:spacing w:val="4"/>
        </w:rPr>
        <w:t xml:space="preserve"> </w:t>
      </w:r>
      <w:r>
        <w:rPr>
          <w:color w:val="211F1F"/>
          <w:spacing w:val="-6"/>
        </w:rPr>
        <w:t>GraphPad</w:t>
      </w:r>
      <w:r>
        <w:rPr>
          <w:color w:val="211F1F"/>
          <w:spacing w:val="-7"/>
        </w:rPr>
        <w:t xml:space="preserve"> </w:t>
      </w:r>
      <w:r>
        <w:rPr>
          <w:color w:val="211F1F"/>
          <w:spacing w:val="-6"/>
        </w:rPr>
        <w:t>Software,</w:t>
      </w:r>
      <w:r>
        <w:rPr>
          <w:color w:val="211F1F"/>
          <w:spacing w:val="-8"/>
        </w:rPr>
        <w:t xml:space="preserve"> </w:t>
      </w:r>
      <w:r>
        <w:rPr>
          <w:color w:val="211F1F"/>
          <w:spacing w:val="-6"/>
        </w:rPr>
        <w:t>LLC,</w:t>
      </w:r>
      <w:r>
        <w:rPr>
          <w:color w:val="211F1F"/>
          <w:spacing w:val="-7"/>
        </w:rPr>
        <w:t xml:space="preserve"> </w:t>
      </w:r>
      <w:r>
        <w:rPr>
          <w:color w:val="211F1F"/>
          <w:spacing w:val="-6"/>
        </w:rPr>
        <w:t>2365</w:t>
      </w:r>
      <w:r>
        <w:rPr>
          <w:color w:val="211F1F"/>
          <w:spacing w:val="-8"/>
        </w:rPr>
        <w:t xml:space="preserve"> </w:t>
      </w:r>
      <w:r>
        <w:rPr>
          <w:color w:val="211F1F"/>
          <w:spacing w:val="-6"/>
        </w:rPr>
        <w:t>Northside</w:t>
      </w:r>
      <w:r>
        <w:rPr>
          <w:color w:val="211F1F"/>
          <w:spacing w:val="-7"/>
        </w:rPr>
        <w:t xml:space="preserve"> </w:t>
      </w:r>
      <w:r>
        <w:rPr>
          <w:color w:val="211F1F"/>
          <w:spacing w:val="-6"/>
        </w:rPr>
        <w:t>Drive,</w:t>
      </w:r>
      <w:r>
        <w:rPr>
          <w:color w:val="211F1F"/>
          <w:spacing w:val="-8"/>
        </w:rPr>
        <w:t xml:space="preserve"> </w:t>
      </w:r>
      <w:r>
        <w:rPr>
          <w:color w:val="211F1F"/>
          <w:spacing w:val="-6"/>
        </w:rPr>
        <w:t>Ste.</w:t>
      </w:r>
      <w:r>
        <w:rPr>
          <w:color w:val="211F1F"/>
          <w:spacing w:val="-7"/>
        </w:rPr>
        <w:t xml:space="preserve"> </w:t>
      </w:r>
      <w:r>
        <w:rPr>
          <w:color w:val="211F1F"/>
          <w:spacing w:val="-6"/>
        </w:rPr>
        <w:t>560,</w:t>
      </w:r>
      <w:r>
        <w:rPr>
          <w:color w:val="211F1F"/>
          <w:spacing w:val="-8"/>
        </w:rPr>
        <w:t xml:space="preserve"> </w:t>
      </w:r>
      <w:r>
        <w:rPr>
          <w:color w:val="211F1F"/>
          <w:spacing w:val="-6"/>
        </w:rPr>
        <w:t>San</w:t>
      </w:r>
      <w:r>
        <w:rPr>
          <w:color w:val="211F1F"/>
          <w:spacing w:val="-8"/>
        </w:rPr>
        <w:t xml:space="preserve"> </w:t>
      </w:r>
      <w:r>
        <w:rPr>
          <w:color w:val="211F1F"/>
          <w:spacing w:val="-6"/>
        </w:rPr>
        <w:t>Diego,</w:t>
      </w:r>
      <w:r>
        <w:rPr>
          <w:color w:val="211F1F"/>
          <w:spacing w:val="-7"/>
        </w:rPr>
        <w:t xml:space="preserve"> </w:t>
      </w:r>
      <w:r>
        <w:rPr>
          <w:color w:val="211F1F"/>
          <w:spacing w:val="-6"/>
        </w:rPr>
        <w:t>CA</w:t>
      </w:r>
      <w:r>
        <w:rPr>
          <w:color w:val="211F1F"/>
          <w:spacing w:val="-8"/>
        </w:rPr>
        <w:t xml:space="preserve"> </w:t>
      </w:r>
      <w:r>
        <w:rPr>
          <w:color w:val="211F1F"/>
          <w:spacing w:val="-6"/>
        </w:rPr>
        <w:t xml:space="preserve">92108 </w:t>
      </w:r>
      <w:r>
        <w:rPr>
          <w:color w:val="211F1F"/>
        </w:rPr>
        <w:t xml:space="preserve">USA </w:t>
      </w:r>
      <w:r>
        <w:t xml:space="preserve">to acquire GraphPad Prism Subscription Renewal, </w:t>
      </w:r>
      <w:r w:rsidR="008A66E1">
        <w:t xml:space="preserve">500 </w:t>
      </w:r>
      <w:r>
        <w:t>activations.</w:t>
      </w:r>
    </w:p>
    <w:p w14:paraId="24487D9B" w14:textId="77777777" w:rsidR="000C4EEE" w:rsidRDefault="000C4EEE">
      <w:pPr>
        <w:pStyle w:val="BodyText"/>
        <w:spacing w:before="1"/>
      </w:pPr>
    </w:p>
    <w:p w14:paraId="24487D9C" w14:textId="77777777" w:rsidR="000C4EEE" w:rsidRDefault="00C81BA0">
      <w:pPr>
        <w:pStyle w:val="Heading1"/>
        <w:spacing w:before="1"/>
        <w:rPr>
          <w:u w:val="none"/>
        </w:rPr>
      </w:pPr>
      <w:bookmarkStart w:id="1" w:name="NORTH_AMERICAN_INDUSTRY_CLASSIFICATION_S"/>
      <w:bookmarkEnd w:id="1"/>
      <w:r>
        <w:rPr>
          <w:color w:val="211F1F"/>
          <w:spacing w:val="-2"/>
          <w:u w:color="211F1F"/>
        </w:rPr>
        <w:t>NORTH</w:t>
      </w:r>
      <w:r>
        <w:rPr>
          <w:color w:val="211F1F"/>
          <w:spacing w:val="-9"/>
          <w:u w:color="211F1F"/>
        </w:rPr>
        <w:t xml:space="preserve"> </w:t>
      </w:r>
      <w:r>
        <w:rPr>
          <w:color w:val="211F1F"/>
          <w:spacing w:val="-2"/>
          <w:u w:color="211F1F"/>
        </w:rPr>
        <w:t>AMERICAN</w:t>
      </w:r>
      <w:r>
        <w:rPr>
          <w:color w:val="211F1F"/>
          <w:spacing w:val="-5"/>
          <w:u w:color="211F1F"/>
        </w:rPr>
        <w:t xml:space="preserve"> </w:t>
      </w:r>
      <w:r>
        <w:rPr>
          <w:color w:val="211F1F"/>
          <w:spacing w:val="-2"/>
          <w:u w:color="211F1F"/>
        </w:rPr>
        <w:t>INDUSTRY</w:t>
      </w:r>
      <w:r>
        <w:rPr>
          <w:color w:val="211F1F"/>
          <w:spacing w:val="-3"/>
          <w:u w:color="211F1F"/>
        </w:rPr>
        <w:t xml:space="preserve"> </w:t>
      </w:r>
      <w:r>
        <w:rPr>
          <w:color w:val="211F1F"/>
          <w:spacing w:val="-2"/>
          <w:u w:color="211F1F"/>
        </w:rPr>
        <w:t>CLASSIFICATION</w:t>
      </w:r>
      <w:r>
        <w:rPr>
          <w:color w:val="211F1F"/>
          <w:spacing w:val="2"/>
          <w:u w:color="211F1F"/>
        </w:rPr>
        <w:t xml:space="preserve"> </w:t>
      </w:r>
      <w:r>
        <w:rPr>
          <w:color w:val="211F1F"/>
          <w:spacing w:val="-2"/>
          <w:u w:color="211F1F"/>
        </w:rPr>
        <w:t>SYSTEM</w:t>
      </w:r>
      <w:r>
        <w:rPr>
          <w:color w:val="211F1F"/>
          <w:spacing w:val="-4"/>
          <w:u w:color="211F1F"/>
        </w:rPr>
        <w:t xml:space="preserve"> </w:t>
      </w:r>
      <w:r>
        <w:rPr>
          <w:color w:val="211F1F"/>
          <w:spacing w:val="-2"/>
          <w:u w:color="211F1F"/>
        </w:rPr>
        <w:t>(NAICS)</w:t>
      </w:r>
      <w:r>
        <w:rPr>
          <w:color w:val="211F1F"/>
          <w:spacing w:val="-5"/>
          <w:u w:color="211F1F"/>
        </w:rPr>
        <w:t xml:space="preserve"> </w:t>
      </w:r>
      <w:r>
        <w:rPr>
          <w:color w:val="211F1F"/>
          <w:spacing w:val="-4"/>
          <w:u w:color="211F1F"/>
        </w:rPr>
        <w:t>CODE</w:t>
      </w:r>
    </w:p>
    <w:p w14:paraId="24487D9D" w14:textId="5B7796A1" w:rsidR="000C4EEE" w:rsidRDefault="00C81BA0">
      <w:pPr>
        <w:pStyle w:val="BodyText"/>
        <w:spacing w:before="52"/>
        <w:ind w:left="320"/>
        <w:jc w:val="both"/>
      </w:pPr>
      <w:r>
        <w:rPr>
          <w:color w:val="211F1F"/>
        </w:rPr>
        <w:t>The</w:t>
      </w:r>
      <w:r>
        <w:rPr>
          <w:color w:val="211F1F"/>
          <w:spacing w:val="-4"/>
        </w:rPr>
        <w:t xml:space="preserve"> </w:t>
      </w:r>
      <w:r>
        <w:rPr>
          <w:color w:val="211F1F"/>
        </w:rPr>
        <w:t>intended</w:t>
      </w:r>
      <w:r>
        <w:rPr>
          <w:color w:val="211F1F"/>
          <w:spacing w:val="-3"/>
        </w:rPr>
        <w:t xml:space="preserve"> </w:t>
      </w:r>
      <w:r>
        <w:rPr>
          <w:color w:val="211F1F"/>
        </w:rPr>
        <w:t>procurement</w:t>
      </w:r>
      <w:r>
        <w:rPr>
          <w:color w:val="211F1F"/>
          <w:spacing w:val="-2"/>
        </w:rPr>
        <w:t xml:space="preserve"> </w:t>
      </w:r>
      <w:r>
        <w:rPr>
          <w:color w:val="211F1F"/>
        </w:rPr>
        <w:t>is</w:t>
      </w:r>
      <w:r>
        <w:rPr>
          <w:color w:val="211F1F"/>
          <w:spacing w:val="-3"/>
        </w:rPr>
        <w:t xml:space="preserve"> </w:t>
      </w:r>
      <w:r>
        <w:rPr>
          <w:color w:val="211F1F"/>
        </w:rPr>
        <w:t>classified</w:t>
      </w:r>
      <w:r>
        <w:rPr>
          <w:color w:val="211F1F"/>
          <w:spacing w:val="-2"/>
        </w:rPr>
        <w:t xml:space="preserve"> </w:t>
      </w:r>
      <w:r>
        <w:rPr>
          <w:color w:val="211F1F"/>
        </w:rPr>
        <w:t>under</w:t>
      </w:r>
      <w:r>
        <w:rPr>
          <w:color w:val="211F1F"/>
          <w:spacing w:val="-2"/>
        </w:rPr>
        <w:t xml:space="preserve"> </w:t>
      </w:r>
      <w:r>
        <w:rPr>
          <w:color w:val="211F1F"/>
        </w:rPr>
        <w:t>NAICS</w:t>
      </w:r>
      <w:r>
        <w:rPr>
          <w:color w:val="211F1F"/>
          <w:spacing w:val="-2"/>
        </w:rPr>
        <w:t xml:space="preserve"> </w:t>
      </w:r>
      <w:r>
        <w:rPr>
          <w:color w:val="211F1F"/>
        </w:rPr>
        <w:t>code</w:t>
      </w:r>
      <w:r>
        <w:rPr>
          <w:color w:val="211F1F"/>
          <w:spacing w:val="-2"/>
        </w:rPr>
        <w:t xml:space="preserve"> </w:t>
      </w:r>
      <w:r>
        <w:rPr>
          <w:color w:val="211F1F"/>
        </w:rPr>
        <w:t>513210</w:t>
      </w:r>
      <w:r>
        <w:rPr>
          <w:color w:val="211F1F"/>
          <w:spacing w:val="-4"/>
        </w:rPr>
        <w:t xml:space="preserve"> </w:t>
      </w:r>
      <w:r>
        <w:rPr>
          <w:color w:val="211F1F"/>
        </w:rPr>
        <w:t>with</w:t>
      </w:r>
      <w:r>
        <w:rPr>
          <w:color w:val="211F1F"/>
          <w:spacing w:val="-2"/>
        </w:rPr>
        <w:t xml:space="preserve"> </w:t>
      </w:r>
      <w:r>
        <w:rPr>
          <w:color w:val="211F1F"/>
        </w:rPr>
        <w:t>a</w:t>
      </w:r>
      <w:r>
        <w:rPr>
          <w:color w:val="211F1F"/>
          <w:spacing w:val="-2"/>
        </w:rPr>
        <w:t xml:space="preserve"> </w:t>
      </w:r>
      <w:r>
        <w:rPr>
          <w:color w:val="211F1F"/>
        </w:rPr>
        <w:t>Size</w:t>
      </w:r>
      <w:r>
        <w:rPr>
          <w:color w:val="211F1F"/>
          <w:spacing w:val="-2"/>
        </w:rPr>
        <w:t xml:space="preserve"> </w:t>
      </w:r>
      <w:r>
        <w:rPr>
          <w:color w:val="211F1F"/>
        </w:rPr>
        <w:t>Standard</w:t>
      </w:r>
      <w:r>
        <w:rPr>
          <w:color w:val="211F1F"/>
          <w:spacing w:val="-2"/>
        </w:rPr>
        <w:t xml:space="preserve"> $4</w:t>
      </w:r>
      <w:r w:rsidR="0042624B">
        <w:rPr>
          <w:color w:val="211F1F"/>
          <w:spacing w:val="-2"/>
        </w:rPr>
        <w:t>7</w:t>
      </w:r>
      <w:r>
        <w:rPr>
          <w:color w:val="211F1F"/>
          <w:spacing w:val="-2"/>
        </w:rPr>
        <w:t>M.</w:t>
      </w:r>
    </w:p>
    <w:p w14:paraId="24487D9E" w14:textId="77777777" w:rsidR="000C4EEE" w:rsidRDefault="000C4EEE">
      <w:pPr>
        <w:pStyle w:val="BodyText"/>
        <w:spacing w:before="13"/>
      </w:pPr>
    </w:p>
    <w:p w14:paraId="24487D9F" w14:textId="54D530B4" w:rsidR="000C4EEE" w:rsidRDefault="00C81BA0">
      <w:pPr>
        <w:pStyle w:val="Heading1"/>
        <w:rPr>
          <w:u w:val="none"/>
        </w:rPr>
      </w:pPr>
      <w:bookmarkStart w:id="2" w:name="REGULATORYAUTHORITY"/>
      <w:bookmarkEnd w:id="2"/>
      <w:r>
        <w:rPr>
          <w:color w:val="211F1F"/>
          <w:spacing w:val="-2"/>
          <w:u w:color="211F1F"/>
        </w:rPr>
        <w:t>REGULATORY</w:t>
      </w:r>
      <w:r w:rsidR="0042624B">
        <w:rPr>
          <w:color w:val="211F1F"/>
          <w:spacing w:val="-2"/>
          <w:u w:color="211F1F"/>
        </w:rPr>
        <w:t xml:space="preserve"> </w:t>
      </w:r>
      <w:r>
        <w:rPr>
          <w:color w:val="211F1F"/>
          <w:spacing w:val="-2"/>
          <w:u w:color="211F1F"/>
        </w:rPr>
        <w:t>AUTHORITY</w:t>
      </w:r>
    </w:p>
    <w:p w14:paraId="24487DA0" w14:textId="0898EEF7" w:rsidR="000C4EEE" w:rsidRDefault="00C81BA0">
      <w:pPr>
        <w:pStyle w:val="BodyText"/>
        <w:spacing w:before="55" w:line="288" w:lineRule="auto"/>
        <w:ind w:left="318" w:right="476"/>
        <w:jc w:val="both"/>
      </w:pPr>
      <w:r>
        <w:rPr>
          <w:color w:val="211F1F"/>
        </w:rPr>
        <w:t xml:space="preserve">The resultant contract will include all applicable provisions and clauses in effect through the </w:t>
      </w:r>
      <w:r>
        <w:rPr>
          <w:color w:val="211F1F"/>
          <w:spacing w:val="-2"/>
        </w:rPr>
        <w:t>Federal</w:t>
      </w:r>
      <w:r>
        <w:rPr>
          <w:color w:val="211F1F"/>
          <w:spacing w:val="-12"/>
        </w:rPr>
        <w:t xml:space="preserve"> </w:t>
      </w:r>
      <w:r>
        <w:rPr>
          <w:color w:val="211F1F"/>
          <w:spacing w:val="-2"/>
        </w:rPr>
        <w:t>Acquisition</w:t>
      </w:r>
      <w:r>
        <w:rPr>
          <w:color w:val="211F1F"/>
          <w:spacing w:val="-12"/>
        </w:rPr>
        <w:t xml:space="preserve"> </w:t>
      </w:r>
      <w:r>
        <w:rPr>
          <w:color w:val="211F1F"/>
          <w:spacing w:val="-2"/>
        </w:rPr>
        <w:t>Regulation</w:t>
      </w:r>
      <w:r w:rsidR="0042624B">
        <w:rPr>
          <w:color w:val="211F1F"/>
          <w:spacing w:val="-2"/>
        </w:rPr>
        <w:t xml:space="preserve"> </w:t>
      </w:r>
      <w:r>
        <w:rPr>
          <w:color w:val="211F1F"/>
          <w:spacing w:val="-2"/>
        </w:rPr>
        <w:t>(FAR)Circular</w:t>
      </w:r>
      <w:r>
        <w:rPr>
          <w:color w:val="211F1F"/>
          <w:spacing w:val="-11"/>
        </w:rPr>
        <w:t xml:space="preserve"> </w:t>
      </w:r>
      <w:r>
        <w:rPr>
          <w:color w:val="211F1F"/>
          <w:spacing w:val="-2"/>
        </w:rPr>
        <w:t>(FAC)</w:t>
      </w:r>
      <w:r>
        <w:rPr>
          <w:color w:val="211F1F"/>
          <w:spacing w:val="-12"/>
        </w:rPr>
        <w:t xml:space="preserve"> </w:t>
      </w:r>
      <w:r w:rsidR="0042624B">
        <w:rPr>
          <w:color w:val="211F1F"/>
          <w:spacing w:val="-2"/>
        </w:rPr>
        <w:t>2025-03</w:t>
      </w:r>
      <w:r>
        <w:rPr>
          <w:color w:val="211F1F"/>
          <w:spacing w:val="-11"/>
        </w:rPr>
        <w:t xml:space="preserve"> </w:t>
      </w:r>
      <w:r>
        <w:rPr>
          <w:color w:val="211F1F"/>
          <w:spacing w:val="-2"/>
        </w:rPr>
        <w:t>effective</w:t>
      </w:r>
      <w:r>
        <w:rPr>
          <w:color w:val="211F1F"/>
          <w:spacing w:val="-12"/>
        </w:rPr>
        <w:t xml:space="preserve"> </w:t>
      </w:r>
      <w:r w:rsidR="0042624B">
        <w:rPr>
          <w:color w:val="211F1F"/>
          <w:spacing w:val="-2"/>
        </w:rPr>
        <w:t>January 17, 2025</w:t>
      </w:r>
      <w:r>
        <w:rPr>
          <w:color w:val="211F1F"/>
          <w:spacing w:val="-2"/>
        </w:rPr>
        <w:t>.</w:t>
      </w:r>
      <w:r>
        <w:rPr>
          <w:color w:val="211F1F"/>
          <w:spacing w:val="-10"/>
        </w:rPr>
        <w:t xml:space="preserve"> </w:t>
      </w:r>
      <w:r>
        <w:rPr>
          <w:color w:val="211F1F"/>
          <w:spacing w:val="-2"/>
        </w:rPr>
        <w:t>This</w:t>
      </w:r>
      <w:r>
        <w:rPr>
          <w:color w:val="211F1F"/>
          <w:spacing w:val="-12"/>
        </w:rPr>
        <w:t xml:space="preserve"> </w:t>
      </w:r>
      <w:r>
        <w:rPr>
          <w:color w:val="211F1F"/>
          <w:spacing w:val="-2"/>
        </w:rPr>
        <w:t>acquisition</w:t>
      </w:r>
      <w:r>
        <w:rPr>
          <w:color w:val="211F1F"/>
          <w:spacing w:val="-3"/>
        </w:rPr>
        <w:t xml:space="preserve"> </w:t>
      </w:r>
      <w:r>
        <w:rPr>
          <w:color w:val="211F1F"/>
          <w:spacing w:val="-2"/>
        </w:rPr>
        <w:t xml:space="preserve">is </w:t>
      </w:r>
      <w:r>
        <w:rPr>
          <w:color w:val="211F1F"/>
        </w:rPr>
        <w:t>conducted under the procedures as prescribed in FAR subpart 13-Simplified Acquisition Procedures</w:t>
      </w:r>
      <w:r>
        <w:rPr>
          <w:color w:val="211F1F"/>
          <w:spacing w:val="-14"/>
        </w:rPr>
        <w:t xml:space="preserve"> </w:t>
      </w:r>
      <w:r>
        <w:rPr>
          <w:color w:val="211F1F"/>
        </w:rPr>
        <w:t>at</w:t>
      </w:r>
      <w:r>
        <w:rPr>
          <w:color w:val="211F1F"/>
          <w:spacing w:val="-14"/>
        </w:rPr>
        <w:t xml:space="preserve"> </w:t>
      </w:r>
      <w:r>
        <w:rPr>
          <w:color w:val="211F1F"/>
        </w:rPr>
        <w:t>an</w:t>
      </w:r>
      <w:r>
        <w:rPr>
          <w:color w:val="211F1F"/>
          <w:spacing w:val="-13"/>
        </w:rPr>
        <w:t xml:space="preserve"> </w:t>
      </w:r>
      <w:r>
        <w:rPr>
          <w:color w:val="211F1F"/>
        </w:rPr>
        <w:t>amount</w:t>
      </w:r>
      <w:r>
        <w:rPr>
          <w:color w:val="211F1F"/>
          <w:spacing w:val="-14"/>
        </w:rPr>
        <w:t xml:space="preserve"> </w:t>
      </w:r>
      <w:r>
        <w:rPr>
          <w:color w:val="211F1F"/>
        </w:rPr>
        <w:t>not</w:t>
      </w:r>
      <w:r>
        <w:rPr>
          <w:color w:val="211F1F"/>
          <w:spacing w:val="-13"/>
        </w:rPr>
        <w:t xml:space="preserve"> </w:t>
      </w:r>
      <w:r>
        <w:rPr>
          <w:color w:val="211F1F"/>
        </w:rPr>
        <w:t>exceeding</w:t>
      </w:r>
      <w:r>
        <w:rPr>
          <w:color w:val="211F1F"/>
          <w:spacing w:val="-14"/>
        </w:rPr>
        <w:t xml:space="preserve"> </w:t>
      </w:r>
      <w:r>
        <w:rPr>
          <w:color w:val="211F1F"/>
        </w:rPr>
        <w:t>the</w:t>
      </w:r>
      <w:r>
        <w:rPr>
          <w:color w:val="211F1F"/>
          <w:spacing w:val="-13"/>
        </w:rPr>
        <w:t xml:space="preserve"> </w:t>
      </w:r>
      <w:r>
        <w:rPr>
          <w:color w:val="211F1F"/>
        </w:rPr>
        <w:t>simplified</w:t>
      </w:r>
      <w:r>
        <w:rPr>
          <w:color w:val="211F1F"/>
          <w:spacing w:val="-14"/>
        </w:rPr>
        <w:t xml:space="preserve"> </w:t>
      </w:r>
      <w:r>
        <w:rPr>
          <w:color w:val="211F1F"/>
        </w:rPr>
        <w:t>acquisition</w:t>
      </w:r>
      <w:r>
        <w:rPr>
          <w:color w:val="211F1F"/>
          <w:spacing w:val="-14"/>
        </w:rPr>
        <w:t xml:space="preserve"> </w:t>
      </w:r>
      <w:r>
        <w:rPr>
          <w:color w:val="211F1F"/>
        </w:rPr>
        <w:t>threshold</w:t>
      </w:r>
      <w:r>
        <w:rPr>
          <w:color w:val="211F1F"/>
          <w:spacing w:val="-13"/>
        </w:rPr>
        <w:t xml:space="preserve"> </w:t>
      </w:r>
      <w:r>
        <w:rPr>
          <w:color w:val="211F1F"/>
        </w:rPr>
        <w:t>($250,000)</w:t>
      </w:r>
      <w:r>
        <w:rPr>
          <w:color w:val="211F1F"/>
          <w:spacing w:val="-14"/>
        </w:rPr>
        <w:t xml:space="preserve"> </w:t>
      </w:r>
      <w:r>
        <w:rPr>
          <w:color w:val="211F1F"/>
        </w:rPr>
        <w:t>and</w:t>
      </w:r>
      <w:r>
        <w:rPr>
          <w:color w:val="211F1F"/>
          <w:spacing w:val="-13"/>
        </w:rPr>
        <w:t xml:space="preserve"> </w:t>
      </w:r>
      <w:r>
        <w:rPr>
          <w:color w:val="211F1F"/>
        </w:rPr>
        <w:t>FAR Subpart 12- Acquisition of Commercial Items.</w:t>
      </w:r>
    </w:p>
    <w:p w14:paraId="24487DA1" w14:textId="77777777" w:rsidR="000C4EEE" w:rsidRDefault="000C4EEE">
      <w:pPr>
        <w:pStyle w:val="BodyText"/>
        <w:spacing w:before="2"/>
      </w:pPr>
    </w:p>
    <w:p w14:paraId="24487DA2" w14:textId="77777777" w:rsidR="000C4EEE" w:rsidRDefault="00C81BA0">
      <w:pPr>
        <w:pStyle w:val="Heading1"/>
        <w:rPr>
          <w:u w:val="none"/>
        </w:rPr>
      </w:pPr>
      <w:bookmarkStart w:id="3" w:name="STATUTORY_AUTHORITY"/>
      <w:bookmarkEnd w:id="3"/>
      <w:r>
        <w:rPr>
          <w:color w:val="211F1F"/>
          <w:u w:color="211F1F"/>
        </w:rPr>
        <w:t>STATUTORY</w:t>
      </w:r>
      <w:r>
        <w:rPr>
          <w:color w:val="211F1F"/>
          <w:spacing w:val="-7"/>
          <w:u w:color="211F1F"/>
        </w:rPr>
        <w:t xml:space="preserve"> </w:t>
      </w:r>
      <w:r>
        <w:rPr>
          <w:color w:val="211F1F"/>
          <w:spacing w:val="-2"/>
          <w:u w:color="211F1F"/>
        </w:rPr>
        <w:t>AUTHORITY</w:t>
      </w:r>
    </w:p>
    <w:p w14:paraId="24487DA3" w14:textId="77777777" w:rsidR="000C4EEE" w:rsidRDefault="00C81BA0">
      <w:pPr>
        <w:pStyle w:val="BodyText"/>
        <w:spacing w:before="55" w:line="288" w:lineRule="auto"/>
        <w:ind w:left="319" w:right="476"/>
        <w:jc w:val="both"/>
      </w:pPr>
      <w:r>
        <w:rPr>
          <w:color w:val="211F1F"/>
          <w:spacing w:val="-2"/>
        </w:rPr>
        <w:t>This</w:t>
      </w:r>
      <w:r>
        <w:rPr>
          <w:color w:val="211F1F"/>
          <w:spacing w:val="-9"/>
        </w:rPr>
        <w:t xml:space="preserve"> </w:t>
      </w:r>
      <w:r>
        <w:rPr>
          <w:color w:val="211F1F"/>
          <w:spacing w:val="-2"/>
        </w:rPr>
        <w:t>acquisition</w:t>
      </w:r>
      <w:r>
        <w:rPr>
          <w:color w:val="211F1F"/>
          <w:spacing w:val="-9"/>
        </w:rPr>
        <w:t xml:space="preserve"> </w:t>
      </w:r>
      <w:r>
        <w:rPr>
          <w:color w:val="211F1F"/>
          <w:spacing w:val="-2"/>
        </w:rPr>
        <w:t>is</w:t>
      </w:r>
      <w:r>
        <w:rPr>
          <w:color w:val="211F1F"/>
          <w:spacing w:val="-9"/>
        </w:rPr>
        <w:t xml:space="preserve"> </w:t>
      </w:r>
      <w:r>
        <w:rPr>
          <w:color w:val="211F1F"/>
          <w:spacing w:val="-2"/>
        </w:rPr>
        <w:t>conducted</w:t>
      </w:r>
      <w:r>
        <w:rPr>
          <w:color w:val="211F1F"/>
          <w:spacing w:val="-9"/>
        </w:rPr>
        <w:t xml:space="preserve"> </w:t>
      </w:r>
      <w:r>
        <w:rPr>
          <w:color w:val="211F1F"/>
          <w:spacing w:val="-2"/>
        </w:rPr>
        <w:t>under</w:t>
      </w:r>
      <w:r>
        <w:rPr>
          <w:color w:val="211F1F"/>
          <w:spacing w:val="-10"/>
        </w:rPr>
        <w:t xml:space="preserve"> </w:t>
      </w:r>
      <w:r>
        <w:rPr>
          <w:color w:val="211F1F"/>
          <w:spacing w:val="-2"/>
        </w:rPr>
        <w:t>the</w:t>
      </w:r>
      <w:r>
        <w:rPr>
          <w:color w:val="211F1F"/>
          <w:spacing w:val="-7"/>
        </w:rPr>
        <w:t xml:space="preserve"> </w:t>
      </w:r>
      <w:r>
        <w:rPr>
          <w:color w:val="211F1F"/>
          <w:spacing w:val="-2"/>
        </w:rPr>
        <w:t>authority</w:t>
      </w:r>
      <w:r>
        <w:rPr>
          <w:color w:val="211F1F"/>
          <w:spacing w:val="-10"/>
        </w:rPr>
        <w:t xml:space="preserve"> </w:t>
      </w:r>
      <w:r>
        <w:rPr>
          <w:color w:val="211F1F"/>
          <w:spacing w:val="-2"/>
        </w:rPr>
        <w:t>of</w:t>
      </w:r>
      <w:r>
        <w:rPr>
          <w:color w:val="211F1F"/>
          <w:spacing w:val="-9"/>
        </w:rPr>
        <w:t xml:space="preserve"> </w:t>
      </w:r>
      <w:r>
        <w:rPr>
          <w:color w:val="211F1F"/>
          <w:spacing w:val="-2"/>
        </w:rPr>
        <w:t>the</w:t>
      </w:r>
      <w:r>
        <w:rPr>
          <w:color w:val="211F1F"/>
          <w:spacing w:val="-9"/>
        </w:rPr>
        <w:t xml:space="preserve"> </w:t>
      </w:r>
      <w:r>
        <w:rPr>
          <w:color w:val="211F1F"/>
          <w:spacing w:val="-2"/>
        </w:rPr>
        <w:t>Federal</w:t>
      </w:r>
      <w:r>
        <w:rPr>
          <w:color w:val="211F1F"/>
          <w:spacing w:val="-9"/>
        </w:rPr>
        <w:t xml:space="preserve"> </w:t>
      </w:r>
      <w:r>
        <w:rPr>
          <w:color w:val="211F1F"/>
          <w:spacing w:val="-2"/>
        </w:rPr>
        <w:t>Acquisition</w:t>
      </w:r>
      <w:r>
        <w:rPr>
          <w:color w:val="211F1F"/>
          <w:spacing w:val="-10"/>
        </w:rPr>
        <w:t xml:space="preserve"> </w:t>
      </w:r>
      <w:r>
        <w:rPr>
          <w:color w:val="211F1F"/>
          <w:spacing w:val="-2"/>
        </w:rPr>
        <w:t>Regulation</w:t>
      </w:r>
      <w:r>
        <w:rPr>
          <w:color w:val="211F1F"/>
          <w:spacing w:val="-10"/>
        </w:rPr>
        <w:t xml:space="preserve"> </w:t>
      </w:r>
      <w:r>
        <w:rPr>
          <w:color w:val="211F1F"/>
          <w:spacing w:val="-2"/>
        </w:rPr>
        <w:t>(FAR)</w:t>
      </w:r>
      <w:r>
        <w:rPr>
          <w:color w:val="211F1F"/>
          <w:spacing w:val="-9"/>
        </w:rPr>
        <w:t xml:space="preserve"> </w:t>
      </w:r>
      <w:r>
        <w:rPr>
          <w:color w:val="211F1F"/>
          <w:spacing w:val="-2"/>
        </w:rPr>
        <w:t xml:space="preserve">Part </w:t>
      </w:r>
      <w:r>
        <w:rPr>
          <w:color w:val="211F1F"/>
        </w:rPr>
        <w:t>13—Simplified Acquisition Procedures, Subpart</w:t>
      </w:r>
      <w:r>
        <w:rPr>
          <w:color w:val="211F1F"/>
          <w:spacing w:val="-1"/>
        </w:rPr>
        <w:t xml:space="preserve"> </w:t>
      </w:r>
      <w:r>
        <w:rPr>
          <w:color w:val="211F1F"/>
        </w:rPr>
        <w:t>13.106-1</w:t>
      </w:r>
      <w:r>
        <w:rPr>
          <w:color w:val="211F1F"/>
          <w:spacing w:val="-1"/>
        </w:rPr>
        <w:t xml:space="preserve"> </w:t>
      </w:r>
      <w:r>
        <w:rPr>
          <w:color w:val="211F1F"/>
        </w:rPr>
        <w:t>(b) (1), Soliciting from a</w:t>
      </w:r>
      <w:r>
        <w:rPr>
          <w:color w:val="211F1F"/>
          <w:spacing w:val="-1"/>
        </w:rPr>
        <w:t xml:space="preserve"> </w:t>
      </w:r>
      <w:r>
        <w:rPr>
          <w:color w:val="211F1F"/>
        </w:rPr>
        <w:t>single source and</w:t>
      </w:r>
      <w:r>
        <w:rPr>
          <w:color w:val="211F1F"/>
          <w:spacing w:val="-14"/>
        </w:rPr>
        <w:t xml:space="preserve"> </w:t>
      </w:r>
      <w:r>
        <w:rPr>
          <w:color w:val="211F1F"/>
        </w:rPr>
        <w:t>is</w:t>
      </w:r>
      <w:r>
        <w:rPr>
          <w:color w:val="211F1F"/>
          <w:spacing w:val="-14"/>
        </w:rPr>
        <w:t xml:space="preserve"> </w:t>
      </w:r>
      <w:r>
        <w:rPr>
          <w:color w:val="211F1F"/>
        </w:rPr>
        <w:t>not</w:t>
      </w:r>
      <w:r>
        <w:rPr>
          <w:color w:val="211F1F"/>
          <w:spacing w:val="-13"/>
        </w:rPr>
        <w:t xml:space="preserve"> </w:t>
      </w:r>
      <w:r>
        <w:rPr>
          <w:color w:val="211F1F"/>
        </w:rPr>
        <w:t>expected</w:t>
      </w:r>
      <w:r>
        <w:rPr>
          <w:color w:val="211F1F"/>
          <w:spacing w:val="-14"/>
        </w:rPr>
        <w:t xml:space="preserve"> </w:t>
      </w:r>
      <w:r>
        <w:rPr>
          <w:color w:val="211F1F"/>
        </w:rPr>
        <w:t>to</w:t>
      </w:r>
      <w:r>
        <w:rPr>
          <w:color w:val="211F1F"/>
          <w:spacing w:val="-13"/>
        </w:rPr>
        <w:t xml:space="preserve"> </w:t>
      </w:r>
      <w:r>
        <w:rPr>
          <w:color w:val="211F1F"/>
        </w:rPr>
        <w:t>exceed</w:t>
      </w:r>
      <w:r>
        <w:rPr>
          <w:color w:val="211F1F"/>
          <w:spacing w:val="-14"/>
        </w:rPr>
        <w:t xml:space="preserve"> </w:t>
      </w:r>
      <w:r>
        <w:rPr>
          <w:color w:val="211F1F"/>
        </w:rPr>
        <w:t>the</w:t>
      </w:r>
      <w:r>
        <w:rPr>
          <w:color w:val="211F1F"/>
          <w:spacing w:val="-13"/>
        </w:rPr>
        <w:t xml:space="preserve"> </w:t>
      </w:r>
      <w:r>
        <w:rPr>
          <w:color w:val="211F1F"/>
        </w:rPr>
        <w:t>simplified</w:t>
      </w:r>
      <w:r>
        <w:rPr>
          <w:color w:val="211F1F"/>
          <w:spacing w:val="-14"/>
        </w:rPr>
        <w:t xml:space="preserve"> </w:t>
      </w:r>
      <w:r>
        <w:rPr>
          <w:color w:val="211F1F"/>
        </w:rPr>
        <w:t>acquisition</w:t>
      </w:r>
      <w:r>
        <w:rPr>
          <w:color w:val="211F1F"/>
          <w:spacing w:val="-14"/>
        </w:rPr>
        <w:t xml:space="preserve"> </w:t>
      </w:r>
      <w:r>
        <w:rPr>
          <w:color w:val="211F1F"/>
        </w:rPr>
        <w:t>threshold.</w:t>
      </w:r>
      <w:r>
        <w:rPr>
          <w:color w:val="211F1F"/>
          <w:spacing w:val="-13"/>
        </w:rPr>
        <w:t xml:space="preserve"> </w:t>
      </w:r>
      <w:r>
        <w:rPr>
          <w:color w:val="211F1F"/>
        </w:rPr>
        <w:t>Contracts</w:t>
      </w:r>
      <w:r>
        <w:rPr>
          <w:color w:val="211F1F"/>
          <w:spacing w:val="-14"/>
        </w:rPr>
        <w:t xml:space="preserve"> </w:t>
      </w:r>
      <w:r>
        <w:rPr>
          <w:color w:val="211F1F"/>
        </w:rPr>
        <w:t>awarded</w:t>
      </w:r>
      <w:r>
        <w:rPr>
          <w:color w:val="211F1F"/>
          <w:spacing w:val="-13"/>
        </w:rPr>
        <w:t xml:space="preserve"> </w:t>
      </w:r>
      <w:r>
        <w:rPr>
          <w:color w:val="211F1F"/>
        </w:rPr>
        <w:t>using</w:t>
      </w:r>
      <w:r>
        <w:rPr>
          <w:color w:val="211F1F"/>
          <w:spacing w:val="-14"/>
        </w:rPr>
        <w:t xml:space="preserve"> </w:t>
      </w:r>
      <w:r>
        <w:rPr>
          <w:color w:val="211F1F"/>
        </w:rPr>
        <w:t>FAR Part 13—Simplified Acquisition Procedures are exempt from</w:t>
      </w:r>
      <w:r>
        <w:rPr>
          <w:color w:val="211F1F"/>
          <w:spacing w:val="-1"/>
        </w:rPr>
        <w:t xml:space="preserve"> </w:t>
      </w:r>
      <w:r>
        <w:rPr>
          <w:color w:val="211F1F"/>
        </w:rPr>
        <w:t>the requirements of FAR Part 6— Competition Requirements.</w:t>
      </w:r>
    </w:p>
    <w:p w14:paraId="3E9678CE" w14:textId="47750BE6" w:rsidR="0042624B" w:rsidRDefault="00C81BA0" w:rsidP="007F6AE4">
      <w:pPr>
        <w:spacing w:before="52" w:line="283" w:lineRule="auto"/>
        <w:ind w:left="320" w:right="6764"/>
        <w:rPr>
          <w:b/>
          <w:sz w:val="24"/>
        </w:rPr>
      </w:pPr>
      <w:r>
        <w:rPr>
          <w:b/>
          <w:color w:val="211F1F"/>
          <w:sz w:val="24"/>
          <w:u w:val="single" w:color="211F1F"/>
        </w:rPr>
        <w:t>Place of Performance</w:t>
      </w:r>
      <w:r>
        <w:rPr>
          <w:b/>
          <w:color w:val="211F1F"/>
          <w:sz w:val="24"/>
        </w:rPr>
        <w:t xml:space="preserve"> </w:t>
      </w:r>
      <w:bookmarkStart w:id="4" w:name="United_States"/>
      <w:bookmarkEnd w:id="4"/>
    </w:p>
    <w:p w14:paraId="24487DA7" w14:textId="77777777" w:rsidR="000C4EEE" w:rsidRDefault="000C4EEE">
      <w:pPr>
        <w:pStyle w:val="BodyText"/>
        <w:rPr>
          <w:b/>
        </w:rPr>
      </w:pPr>
    </w:p>
    <w:p w14:paraId="24487DA8" w14:textId="77777777" w:rsidR="000C4EEE" w:rsidRDefault="00C81BA0">
      <w:pPr>
        <w:pStyle w:val="Heading1"/>
        <w:rPr>
          <w:u w:val="none"/>
        </w:rPr>
      </w:pPr>
      <w:r>
        <w:rPr>
          <w:color w:val="211F1F"/>
          <w:u w:color="211F1F"/>
        </w:rPr>
        <w:t>DESCRIPTION</w:t>
      </w:r>
      <w:r>
        <w:rPr>
          <w:color w:val="211F1F"/>
          <w:spacing w:val="-4"/>
          <w:u w:color="211F1F"/>
        </w:rPr>
        <w:t xml:space="preserve"> </w:t>
      </w:r>
      <w:r>
        <w:rPr>
          <w:color w:val="211F1F"/>
          <w:u w:color="211F1F"/>
        </w:rPr>
        <w:t>OF</w:t>
      </w:r>
      <w:r>
        <w:rPr>
          <w:color w:val="211F1F"/>
          <w:spacing w:val="-4"/>
          <w:u w:color="211F1F"/>
        </w:rPr>
        <w:t xml:space="preserve"> </w:t>
      </w:r>
      <w:r>
        <w:rPr>
          <w:color w:val="211F1F"/>
          <w:spacing w:val="-2"/>
          <w:u w:color="211F1F"/>
        </w:rPr>
        <w:t>REQUIREMENT</w:t>
      </w:r>
    </w:p>
    <w:p w14:paraId="24487DAF" w14:textId="1CA47B41" w:rsidR="000C4EEE" w:rsidRDefault="00C82BC7" w:rsidP="00446982">
      <w:pPr>
        <w:pStyle w:val="BodyText"/>
        <w:spacing w:before="8"/>
        <w:ind w:left="274"/>
        <w:jc w:val="both"/>
      </w:pPr>
      <w:r>
        <w:t xml:space="preserve"> GraphPad</w:t>
      </w:r>
      <w:r>
        <w:rPr>
          <w:spacing w:val="-4"/>
        </w:rPr>
        <w:t xml:space="preserve"> </w:t>
      </w:r>
      <w:r>
        <w:t>Prism</w:t>
      </w:r>
      <w:r>
        <w:rPr>
          <w:spacing w:val="-2"/>
        </w:rPr>
        <w:t xml:space="preserve"> Subscription</w:t>
      </w:r>
      <w:r w:rsidR="00446982">
        <w:rPr>
          <w:spacing w:val="-2"/>
        </w:rPr>
        <w:t xml:space="preserve"> </w:t>
      </w:r>
      <w:r w:rsidR="00C81BA0">
        <w:t>NIDDK</w:t>
      </w:r>
      <w:r w:rsidR="00C81BA0">
        <w:rPr>
          <w:spacing w:val="-3"/>
        </w:rPr>
        <w:t xml:space="preserve"> </w:t>
      </w:r>
      <w:r w:rsidR="00C81BA0">
        <w:t>initially</w:t>
      </w:r>
      <w:r w:rsidR="00C81BA0">
        <w:rPr>
          <w:spacing w:val="-2"/>
        </w:rPr>
        <w:t xml:space="preserve"> </w:t>
      </w:r>
      <w:r w:rsidR="00C81BA0">
        <w:t>purchased</w:t>
      </w:r>
      <w:r w:rsidR="00C81BA0">
        <w:rPr>
          <w:spacing w:val="-3"/>
        </w:rPr>
        <w:t xml:space="preserve"> </w:t>
      </w:r>
      <w:proofErr w:type="gramStart"/>
      <w:r w:rsidR="00C81BA0">
        <w:t>a</w:t>
      </w:r>
      <w:proofErr w:type="gramEnd"/>
      <w:r w:rsidR="00C81BA0">
        <w:rPr>
          <w:spacing w:val="-3"/>
        </w:rPr>
        <w:t xml:space="preserve"> </w:t>
      </w:r>
      <w:r>
        <w:t>800</w:t>
      </w:r>
      <w:r w:rsidR="00C81BA0">
        <w:t>-count</w:t>
      </w:r>
      <w:r w:rsidR="00C81BA0">
        <w:rPr>
          <w:spacing w:val="-3"/>
        </w:rPr>
        <w:t xml:space="preserve"> </w:t>
      </w:r>
      <w:r w:rsidR="00C81BA0">
        <w:t>activation</w:t>
      </w:r>
      <w:r w:rsidR="00C81BA0">
        <w:rPr>
          <w:spacing w:val="-4"/>
        </w:rPr>
        <w:t xml:space="preserve"> </w:t>
      </w:r>
      <w:r w:rsidR="00C81BA0">
        <w:t>group</w:t>
      </w:r>
      <w:r w:rsidR="00C81BA0">
        <w:rPr>
          <w:spacing w:val="-3"/>
        </w:rPr>
        <w:t xml:space="preserve"> </w:t>
      </w:r>
      <w:r w:rsidR="00C81BA0">
        <w:t>license</w:t>
      </w:r>
      <w:r w:rsidR="00C81BA0">
        <w:rPr>
          <w:spacing w:val="-2"/>
        </w:rPr>
        <w:t xml:space="preserve"> </w:t>
      </w:r>
      <w:r w:rsidR="00C81BA0">
        <w:t>in</w:t>
      </w:r>
      <w:r w:rsidR="00C81BA0">
        <w:rPr>
          <w:spacing w:val="-3"/>
        </w:rPr>
        <w:t xml:space="preserve"> </w:t>
      </w:r>
      <w:r w:rsidR="00C81BA0">
        <w:t>March</w:t>
      </w:r>
      <w:r w:rsidR="00C81BA0">
        <w:rPr>
          <w:spacing w:val="-4"/>
        </w:rPr>
        <w:t xml:space="preserve"> </w:t>
      </w:r>
      <w:r w:rsidR="00C81BA0">
        <w:t>20</w:t>
      </w:r>
      <w:r>
        <w:t>24</w:t>
      </w:r>
      <w:r w:rsidR="00C81BA0">
        <w:rPr>
          <w:spacing w:val="-2"/>
        </w:rPr>
        <w:t xml:space="preserve"> </w:t>
      </w:r>
      <w:r w:rsidR="00C81BA0">
        <w:t>due</w:t>
      </w:r>
      <w:r w:rsidR="00C81BA0">
        <w:rPr>
          <w:spacing w:val="-2"/>
        </w:rPr>
        <w:t xml:space="preserve"> </w:t>
      </w:r>
      <w:r w:rsidR="00C81BA0">
        <w:t>to</w:t>
      </w:r>
      <w:r w:rsidR="00C81BA0">
        <w:rPr>
          <w:spacing w:val="-2"/>
        </w:rPr>
        <w:t xml:space="preserve"> </w:t>
      </w:r>
      <w:r w:rsidR="00C81BA0">
        <w:t>the</w:t>
      </w:r>
      <w:r w:rsidR="00C81BA0">
        <w:rPr>
          <w:spacing w:val="-2"/>
        </w:rPr>
        <w:t xml:space="preserve"> </w:t>
      </w:r>
      <w:r w:rsidR="00C81BA0">
        <w:t>use</w:t>
      </w:r>
      <w:r w:rsidR="00C81BA0">
        <w:rPr>
          <w:spacing w:val="-2"/>
        </w:rPr>
        <w:t xml:space="preserve"> </w:t>
      </w:r>
      <w:r w:rsidR="00C81BA0">
        <w:t>of GraphPad</w:t>
      </w:r>
      <w:r w:rsidR="00C81BA0">
        <w:rPr>
          <w:spacing w:val="-5"/>
        </w:rPr>
        <w:t xml:space="preserve"> </w:t>
      </w:r>
      <w:r w:rsidR="00C81BA0">
        <w:t>Prism</w:t>
      </w:r>
      <w:r w:rsidR="00C81BA0">
        <w:rPr>
          <w:spacing w:val="-1"/>
        </w:rPr>
        <w:t xml:space="preserve"> </w:t>
      </w:r>
      <w:r w:rsidR="00C81BA0">
        <w:t>by</w:t>
      </w:r>
      <w:r w:rsidR="00C81BA0">
        <w:rPr>
          <w:spacing w:val="-1"/>
        </w:rPr>
        <w:t xml:space="preserve"> </w:t>
      </w:r>
      <w:r w:rsidR="00C81BA0">
        <w:t>DIR</w:t>
      </w:r>
      <w:r w:rsidR="00C81BA0">
        <w:rPr>
          <w:spacing w:val="-2"/>
        </w:rPr>
        <w:t xml:space="preserve"> </w:t>
      </w:r>
      <w:r w:rsidR="00C81BA0">
        <w:t>staff.</w:t>
      </w:r>
      <w:r w:rsidR="00C81BA0">
        <w:rPr>
          <w:spacing w:val="-1"/>
        </w:rPr>
        <w:t xml:space="preserve"> </w:t>
      </w:r>
      <w:r w:rsidR="00C81BA0">
        <w:t>The</w:t>
      </w:r>
      <w:r w:rsidR="00C81BA0">
        <w:rPr>
          <w:spacing w:val="-1"/>
        </w:rPr>
        <w:t xml:space="preserve"> </w:t>
      </w:r>
      <w:r w:rsidR="00C81BA0">
        <w:t>lab</w:t>
      </w:r>
      <w:r w:rsidR="00C81BA0">
        <w:rPr>
          <w:spacing w:val="-3"/>
        </w:rPr>
        <w:t xml:space="preserve"> </w:t>
      </w:r>
      <w:r w:rsidR="00C81BA0">
        <w:t>has</w:t>
      </w:r>
      <w:r w:rsidR="00C81BA0">
        <w:rPr>
          <w:spacing w:val="-2"/>
        </w:rPr>
        <w:t xml:space="preserve"> </w:t>
      </w:r>
      <w:r w:rsidR="00C81BA0">
        <w:t>continued</w:t>
      </w:r>
      <w:r w:rsidR="00C81BA0">
        <w:rPr>
          <w:spacing w:val="-2"/>
        </w:rPr>
        <w:t xml:space="preserve"> </w:t>
      </w:r>
      <w:r w:rsidR="00C81BA0">
        <w:t>to</w:t>
      </w:r>
      <w:r w:rsidR="00C81BA0">
        <w:rPr>
          <w:spacing w:val="-2"/>
        </w:rPr>
        <w:t xml:space="preserve"> </w:t>
      </w:r>
      <w:r w:rsidR="00C81BA0">
        <w:t>increase</w:t>
      </w:r>
      <w:r w:rsidR="00C81BA0">
        <w:rPr>
          <w:spacing w:val="-1"/>
        </w:rPr>
        <w:t xml:space="preserve"> </w:t>
      </w:r>
      <w:r w:rsidR="00C81BA0">
        <w:t>usage</w:t>
      </w:r>
      <w:r w:rsidR="00C81BA0">
        <w:rPr>
          <w:spacing w:val="-1"/>
        </w:rPr>
        <w:t xml:space="preserve"> </w:t>
      </w:r>
      <w:r w:rsidR="00C81BA0">
        <w:t>of</w:t>
      </w:r>
      <w:r w:rsidR="00C81BA0">
        <w:rPr>
          <w:spacing w:val="-4"/>
        </w:rPr>
        <w:t xml:space="preserve"> </w:t>
      </w:r>
      <w:r w:rsidR="00C81BA0">
        <w:t>this</w:t>
      </w:r>
      <w:r w:rsidR="00C81BA0">
        <w:rPr>
          <w:spacing w:val="-2"/>
        </w:rPr>
        <w:t xml:space="preserve"> </w:t>
      </w:r>
      <w:r w:rsidR="00C81BA0">
        <w:t>software</w:t>
      </w:r>
      <w:r w:rsidR="00C81BA0">
        <w:rPr>
          <w:spacing w:val="-1"/>
        </w:rPr>
        <w:t xml:space="preserve"> </w:t>
      </w:r>
      <w:r w:rsidR="00C81BA0">
        <w:t>over</w:t>
      </w:r>
      <w:r w:rsidR="00C81BA0">
        <w:rPr>
          <w:spacing w:val="-1"/>
        </w:rPr>
        <w:t xml:space="preserve"> </w:t>
      </w:r>
      <w:r w:rsidR="00C81BA0">
        <w:rPr>
          <w:spacing w:val="-5"/>
        </w:rPr>
        <w:t>the</w:t>
      </w:r>
      <w:r w:rsidR="00446982">
        <w:rPr>
          <w:spacing w:val="-5"/>
        </w:rPr>
        <w:t xml:space="preserve"> </w:t>
      </w:r>
      <w:r w:rsidR="00C81BA0">
        <w:t xml:space="preserve">years. GraphPad Prism is widely used at the NIH, as well as many research universities and institutions, medical centers, and pharmaceutical companies due to its ease of use and lack of need to do any coding. GraphPad does not </w:t>
      </w:r>
      <w:proofErr w:type="gramStart"/>
      <w:r w:rsidR="00C81BA0">
        <w:t>resell</w:t>
      </w:r>
      <w:proofErr w:type="gramEnd"/>
      <w:r w:rsidR="00C81BA0">
        <w:t xml:space="preserve"> and is the sole source for software licensing for GraphPad Prism.</w:t>
      </w:r>
      <w:r w:rsidR="00446982">
        <w:t xml:space="preserve">  </w:t>
      </w:r>
      <w:r w:rsidR="00C81BA0">
        <w:t>The Division of Intramural Research (DIR) at NIDDK uses GraphPad Prism to analyze, graph, and present scientific data. The software provides a combination of biostatistics, curve fitting (nonlinear</w:t>
      </w:r>
      <w:r w:rsidR="00C81BA0">
        <w:rPr>
          <w:spacing w:val="-14"/>
        </w:rPr>
        <w:t xml:space="preserve"> </w:t>
      </w:r>
      <w:r w:rsidR="00C81BA0">
        <w:t>regression),</w:t>
      </w:r>
      <w:r w:rsidR="00C81BA0">
        <w:rPr>
          <w:spacing w:val="-14"/>
        </w:rPr>
        <w:t xml:space="preserve"> </w:t>
      </w:r>
      <w:r w:rsidR="00C81BA0">
        <w:t>and</w:t>
      </w:r>
      <w:r w:rsidR="00C81BA0">
        <w:rPr>
          <w:spacing w:val="-13"/>
        </w:rPr>
        <w:t xml:space="preserve"> </w:t>
      </w:r>
      <w:r w:rsidR="00C81BA0">
        <w:t>scientific</w:t>
      </w:r>
      <w:r w:rsidR="00C81BA0">
        <w:rPr>
          <w:spacing w:val="-14"/>
        </w:rPr>
        <w:t xml:space="preserve"> </w:t>
      </w:r>
      <w:r w:rsidR="00C81BA0">
        <w:t>graphing.</w:t>
      </w:r>
      <w:r w:rsidR="00C81BA0">
        <w:rPr>
          <w:spacing w:val="-13"/>
        </w:rPr>
        <w:t xml:space="preserve"> </w:t>
      </w:r>
      <w:r w:rsidR="00C81BA0">
        <w:t>GraphPad</w:t>
      </w:r>
      <w:r w:rsidR="00C81BA0">
        <w:rPr>
          <w:spacing w:val="-12"/>
        </w:rPr>
        <w:t xml:space="preserve"> </w:t>
      </w:r>
      <w:r w:rsidR="00C81BA0">
        <w:t>is</w:t>
      </w:r>
      <w:r w:rsidR="00C81BA0">
        <w:rPr>
          <w:spacing w:val="-14"/>
        </w:rPr>
        <w:t xml:space="preserve"> </w:t>
      </w:r>
      <w:r w:rsidR="00C81BA0">
        <w:t>widely</w:t>
      </w:r>
      <w:r w:rsidR="00C81BA0">
        <w:rPr>
          <w:spacing w:val="-13"/>
        </w:rPr>
        <w:t xml:space="preserve"> </w:t>
      </w:r>
      <w:r w:rsidR="00C81BA0">
        <w:t>used</w:t>
      </w:r>
      <w:r w:rsidR="00C81BA0">
        <w:rPr>
          <w:spacing w:val="-13"/>
        </w:rPr>
        <w:t xml:space="preserve"> </w:t>
      </w:r>
      <w:r w:rsidR="00C81BA0">
        <w:t>at</w:t>
      </w:r>
      <w:r w:rsidR="00C81BA0">
        <w:rPr>
          <w:spacing w:val="-14"/>
        </w:rPr>
        <w:t xml:space="preserve"> </w:t>
      </w:r>
      <w:r w:rsidR="003E02F2">
        <w:t>NIH</w:t>
      </w:r>
      <w:r w:rsidR="00C81BA0">
        <w:t>,</w:t>
      </w:r>
      <w:r w:rsidR="00C81BA0">
        <w:rPr>
          <w:spacing w:val="-13"/>
        </w:rPr>
        <w:t xml:space="preserve"> </w:t>
      </w:r>
      <w:r w:rsidR="00C81BA0">
        <w:t>as</w:t>
      </w:r>
      <w:r w:rsidR="00C81BA0">
        <w:rPr>
          <w:spacing w:val="-13"/>
        </w:rPr>
        <w:t xml:space="preserve"> </w:t>
      </w:r>
      <w:r w:rsidR="00C81BA0">
        <w:t>well</w:t>
      </w:r>
      <w:r w:rsidR="00C81BA0">
        <w:rPr>
          <w:spacing w:val="-13"/>
        </w:rPr>
        <w:t xml:space="preserve"> </w:t>
      </w:r>
      <w:r w:rsidR="00C81BA0">
        <w:t>as</w:t>
      </w:r>
      <w:r w:rsidR="00C81BA0">
        <w:rPr>
          <w:spacing w:val="-14"/>
        </w:rPr>
        <w:t xml:space="preserve"> </w:t>
      </w:r>
      <w:r w:rsidR="00C81BA0">
        <w:t>many research universities and institutions, medical centers, and pharmaceutical companies.</w:t>
      </w:r>
    </w:p>
    <w:p w14:paraId="4F44BDD0" w14:textId="77777777" w:rsidR="00446982" w:rsidRDefault="00446982" w:rsidP="00446982">
      <w:pPr>
        <w:pStyle w:val="BodyText"/>
        <w:spacing w:before="8"/>
        <w:ind w:left="274"/>
        <w:jc w:val="both"/>
      </w:pPr>
    </w:p>
    <w:p w14:paraId="03C3A6CC" w14:textId="77777777" w:rsidR="00446982" w:rsidRDefault="00446982" w:rsidP="00446982">
      <w:pPr>
        <w:pStyle w:val="BodyText"/>
        <w:spacing w:before="8"/>
        <w:ind w:left="274"/>
        <w:jc w:val="both"/>
      </w:pPr>
    </w:p>
    <w:p w14:paraId="28DF952A" w14:textId="77777777" w:rsidR="00446982" w:rsidRDefault="00446982" w:rsidP="00446982">
      <w:pPr>
        <w:pStyle w:val="BodyText"/>
        <w:spacing w:before="8"/>
        <w:ind w:left="274"/>
        <w:jc w:val="both"/>
      </w:pPr>
    </w:p>
    <w:p w14:paraId="16B1FC93" w14:textId="77777777" w:rsidR="00446982" w:rsidRDefault="00446982" w:rsidP="00446982">
      <w:pPr>
        <w:pStyle w:val="BodyText"/>
        <w:spacing w:before="8"/>
        <w:ind w:left="274"/>
        <w:jc w:val="both"/>
      </w:pPr>
    </w:p>
    <w:p w14:paraId="24487DB0" w14:textId="77777777" w:rsidR="000C4EEE" w:rsidRDefault="000C4EEE">
      <w:pPr>
        <w:pStyle w:val="BodyText"/>
        <w:spacing w:before="16"/>
      </w:pPr>
    </w:p>
    <w:p w14:paraId="24487DB1" w14:textId="77777777" w:rsidR="000C4EEE" w:rsidRDefault="00C81BA0">
      <w:pPr>
        <w:ind w:left="274"/>
        <w:jc w:val="both"/>
        <w:rPr>
          <w:b/>
          <w:sz w:val="24"/>
        </w:rPr>
      </w:pPr>
      <w:bookmarkStart w:id="5" w:name="The_contractor_shall_provide_the_followi"/>
      <w:bookmarkEnd w:id="5"/>
      <w:r>
        <w:rPr>
          <w:b/>
          <w:sz w:val="24"/>
        </w:rPr>
        <w:lastRenderedPageBreak/>
        <w:t>The</w:t>
      </w:r>
      <w:r>
        <w:rPr>
          <w:b/>
          <w:spacing w:val="-3"/>
          <w:sz w:val="24"/>
        </w:rPr>
        <w:t xml:space="preserve"> </w:t>
      </w:r>
      <w:r>
        <w:rPr>
          <w:b/>
          <w:sz w:val="24"/>
        </w:rPr>
        <w:t>contractor</w:t>
      </w:r>
      <w:r>
        <w:rPr>
          <w:b/>
          <w:spacing w:val="-4"/>
          <w:sz w:val="24"/>
        </w:rPr>
        <w:t xml:space="preserve"> </w:t>
      </w:r>
      <w:r>
        <w:rPr>
          <w:b/>
          <w:sz w:val="24"/>
        </w:rPr>
        <w:t>shall</w:t>
      </w:r>
      <w:r>
        <w:rPr>
          <w:b/>
          <w:spacing w:val="-4"/>
          <w:sz w:val="24"/>
        </w:rPr>
        <w:t xml:space="preserve"> </w:t>
      </w:r>
      <w:r>
        <w:rPr>
          <w:b/>
          <w:sz w:val="24"/>
        </w:rPr>
        <w:t>provide</w:t>
      </w:r>
      <w:r>
        <w:rPr>
          <w:b/>
          <w:spacing w:val="-3"/>
          <w:sz w:val="24"/>
        </w:rPr>
        <w:t xml:space="preserve"> </w:t>
      </w:r>
      <w:r>
        <w:rPr>
          <w:b/>
          <w:sz w:val="24"/>
        </w:rPr>
        <w:t>the</w:t>
      </w:r>
      <w:r>
        <w:rPr>
          <w:b/>
          <w:spacing w:val="-2"/>
          <w:sz w:val="24"/>
        </w:rPr>
        <w:t xml:space="preserve"> following:</w:t>
      </w:r>
    </w:p>
    <w:p w14:paraId="24487DB2" w14:textId="77777777" w:rsidR="000C4EEE" w:rsidRDefault="000C4EEE">
      <w:pPr>
        <w:pStyle w:val="BodyText"/>
        <w:spacing w:before="60"/>
        <w:rPr>
          <w:b/>
          <w:sz w:val="20"/>
        </w:rPr>
      </w:pPr>
    </w:p>
    <w:tbl>
      <w:tblPr>
        <w:tblW w:w="0" w:type="auto"/>
        <w:tblInd w:w="345" w:type="dxa"/>
        <w:tblBorders>
          <w:top w:val="single" w:sz="6" w:space="0" w:color="211F1F"/>
          <w:left w:val="single" w:sz="6" w:space="0" w:color="211F1F"/>
          <w:bottom w:val="single" w:sz="6" w:space="0" w:color="211F1F"/>
          <w:right w:val="single" w:sz="6" w:space="0" w:color="211F1F"/>
          <w:insideH w:val="single" w:sz="6" w:space="0" w:color="211F1F"/>
          <w:insideV w:val="single" w:sz="6" w:space="0" w:color="211F1F"/>
        </w:tblBorders>
        <w:tblLayout w:type="fixed"/>
        <w:tblCellMar>
          <w:left w:w="0" w:type="dxa"/>
          <w:right w:w="0" w:type="dxa"/>
        </w:tblCellMar>
        <w:tblLook w:val="01E0" w:firstRow="1" w:lastRow="1" w:firstColumn="1" w:lastColumn="1" w:noHBand="0" w:noVBand="0"/>
      </w:tblPr>
      <w:tblGrid>
        <w:gridCol w:w="1788"/>
        <w:gridCol w:w="5736"/>
        <w:gridCol w:w="1116"/>
      </w:tblGrid>
      <w:tr w:rsidR="000C4EEE" w14:paraId="24487DB6" w14:textId="77777777">
        <w:trPr>
          <w:trHeight w:val="801"/>
        </w:trPr>
        <w:tc>
          <w:tcPr>
            <w:tcW w:w="1788" w:type="dxa"/>
          </w:tcPr>
          <w:p w14:paraId="24487DB3" w14:textId="77777777" w:rsidR="000C4EEE" w:rsidRDefault="00C81BA0">
            <w:pPr>
              <w:pStyle w:val="TableParagraph"/>
              <w:spacing w:before="276"/>
              <w:ind w:left="117"/>
              <w:rPr>
                <w:b/>
                <w:sz w:val="24"/>
              </w:rPr>
            </w:pPr>
            <w:r>
              <w:rPr>
                <w:b/>
                <w:color w:val="211F1F"/>
                <w:sz w:val="24"/>
              </w:rPr>
              <w:t>Item</w:t>
            </w:r>
            <w:r>
              <w:rPr>
                <w:b/>
                <w:color w:val="211F1F"/>
                <w:spacing w:val="-2"/>
                <w:sz w:val="24"/>
              </w:rPr>
              <w:t xml:space="preserve"> </w:t>
            </w:r>
            <w:r>
              <w:rPr>
                <w:b/>
                <w:color w:val="211F1F"/>
                <w:spacing w:val="-10"/>
                <w:sz w:val="24"/>
              </w:rPr>
              <w:t>#</w:t>
            </w:r>
          </w:p>
        </w:tc>
        <w:tc>
          <w:tcPr>
            <w:tcW w:w="5736" w:type="dxa"/>
          </w:tcPr>
          <w:p w14:paraId="24487DB4" w14:textId="77777777" w:rsidR="000C4EEE" w:rsidRDefault="00C81BA0">
            <w:pPr>
              <w:pStyle w:val="TableParagraph"/>
              <w:spacing w:before="276"/>
              <w:ind w:left="113"/>
              <w:rPr>
                <w:b/>
                <w:sz w:val="24"/>
              </w:rPr>
            </w:pPr>
            <w:r>
              <w:rPr>
                <w:b/>
                <w:color w:val="211F1F"/>
                <w:spacing w:val="-2"/>
                <w:sz w:val="24"/>
              </w:rPr>
              <w:t>Description</w:t>
            </w:r>
          </w:p>
        </w:tc>
        <w:tc>
          <w:tcPr>
            <w:tcW w:w="1116" w:type="dxa"/>
          </w:tcPr>
          <w:p w14:paraId="24487DB5" w14:textId="77777777" w:rsidR="000C4EEE" w:rsidRDefault="00C81BA0">
            <w:pPr>
              <w:pStyle w:val="TableParagraph"/>
              <w:spacing w:before="276"/>
              <w:ind w:left="113"/>
              <w:rPr>
                <w:b/>
                <w:sz w:val="24"/>
              </w:rPr>
            </w:pPr>
            <w:r>
              <w:rPr>
                <w:b/>
                <w:color w:val="211F1F"/>
                <w:spacing w:val="-2"/>
                <w:sz w:val="24"/>
              </w:rPr>
              <w:t>Quantity</w:t>
            </w:r>
          </w:p>
        </w:tc>
      </w:tr>
      <w:tr w:rsidR="000C4EEE" w14:paraId="24487DBB" w14:textId="77777777">
        <w:trPr>
          <w:trHeight w:val="745"/>
        </w:trPr>
        <w:tc>
          <w:tcPr>
            <w:tcW w:w="1788" w:type="dxa"/>
          </w:tcPr>
          <w:p w14:paraId="24487DB7" w14:textId="77777777" w:rsidR="000C4EEE" w:rsidRDefault="000C4EEE">
            <w:pPr>
              <w:pStyle w:val="TableParagraph"/>
              <w:ind w:left="0"/>
              <w:rPr>
                <w:rFonts w:ascii="Times New Roman"/>
              </w:rPr>
            </w:pPr>
          </w:p>
        </w:tc>
        <w:tc>
          <w:tcPr>
            <w:tcW w:w="5736" w:type="dxa"/>
          </w:tcPr>
          <w:p w14:paraId="24487DB8" w14:textId="77777777" w:rsidR="000C4EEE" w:rsidRDefault="00C81BA0">
            <w:pPr>
              <w:pStyle w:val="TableParagraph"/>
              <w:spacing w:line="265" w:lineRule="exact"/>
              <w:rPr>
                <w:sz w:val="24"/>
              </w:rPr>
            </w:pPr>
            <w:r>
              <w:rPr>
                <w:color w:val="211F1F"/>
                <w:spacing w:val="-8"/>
                <w:sz w:val="24"/>
              </w:rPr>
              <w:t>GraphPad</w:t>
            </w:r>
            <w:r>
              <w:rPr>
                <w:color w:val="211F1F"/>
                <w:spacing w:val="7"/>
                <w:sz w:val="24"/>
              </w:rPr>
              <w:t xml:space="preserve"> </w:t>
            </w:r>
            <w:r>
              <w:rPr>
                <w:color w:val="211F1F"/>
                <w:spacing w:val="-8"/>
                <w:sz w:val="24"/>
              </w:rPr>
              <w:t>Prism</w:t>
            </w:r>
            <w:r>
              <w:rPr>
                <w:color w:val="211F1F"/>
                <w:spacing w:val="6"/>
                <w:sz w:val="24"/>
              </w:rPr>
              <w:t xml:space="preserve"> </w:t>
            </w:r>
            <w:r>
              <w:rPr>
                <w:color w:val="211F1F"/>
                <w:spacing w:val="-8"/>
                <w:sz w:val="24"/>
              </w:rPr>
              <w:t>Subscription</w:t>
            </w:r>
            <w:r>
              <w:rPr>
                <w:color w:val="211F1F"/>
                <w:spacing w:val="7"/>
                <w:sz w:val="24"/>
              </w:rPr>
              <w:t xml:space="preserve"> </w:t>
            </w:r>
            <w:r>
              <w:rPr>
                <w:color w:val="211F1F"/>
                <w:spacing w:val="-8"/>
                <w:sz w:val="24"/>
              </w:rPr>
              <w:t>Renewal,</w:t>
            </w:r>
          </w:p>
          <w:p w14:paraId="24487DB9" w14:textId="240C1A53" w:rsidR="000C4EEE" w:rsidRDefault="00C81BA0">
            <w:pPr>
              <w:pStyle w:val="TableParagraph"/>
              <w:spacing w:line="281" w:lineRule="exact"/>
              <w:rPr>
                <w:sz w:val="24"/>
              </w:rPr>
            </w:pPr>
            <w:r>
              <w:rPr>
                <w:color w:val="211F1F"/>
                <w:spacing w:val="-2"/>
                <w:sz w:val="24"/>
              </w:rPr>
              <w:t>Period</w:t>
            </w:r>
            <w:r>
              <w:rPr>
                <w:color w:val="211F1F"/>
                <w:spacing w:val="-27"/>
                <w:sz w:val="24"/>
              </w:rPr>
              <w:t xml:space="preserve"> </w:t>
            </w:r>
            <w:r>
              <w:rPr>
                <w:color w:val="211F1F"/>
                <w:spacing w:val="-2"/>
                <w:sz w:val="24"/>
              </w:rPr>
              <w:t>of</w:t>
            </w:r>
            <w:r>
              <w:rPr>
                <w:color w:val="211F1F"/>
                <w:spacing w:val="-24"/>
                <w:sz w:val="24"/>
              </w:rPr>
              <w:t xml:space="preserve"> </w:t>
            </w:r>
            <w:r>
              <w:rPr>
                <w:color w:val="211F1F"/>
                <w:spacing w:val="-2"/>
                <w:sz w:val="24"/>
              </w:rPr>
              <w:t>Performance</w:t>
            </w:r>
            <w:r>
              <w:rPr>
                <w:color w:val="211F1F"/>
                <w:spacing w:val="-23"/>
                <w:sz w:val="24"/>
              </w:rPr>
              <w:t xml:space="preserve"> </w:t>
            </w:r>
            <w:r>
              <w:rPr>
                <w:color w:val="211F1F"/>
                <w:spacing w:val="-2"/>
                <w:sz w:val="24"/>
              </w:rPr>
              <w:t>April</w:t>
            </w:r>
            <w:r>
              <w:rPr>
                <w:color w:val="211F1F"/>
                <w:spacing w:val="-25"/>
                <w:sz w:val="24"/>
              </w:rPr>
              <w:t xml:space="preserve"> </w:t>
            </w:r>
            <w:r>
              <w:rPr>
                <w:color w:val="211F1F"/>
                <w:spacing w:val="-2"/>
                <w:sz w:val="24"/>
              </w:rPr>
              <w:t>8,</w:t>
            </w:r>
            <w:r>
              <w:rPr>
                <w:color w:val="211F1F"/>
                <w:spacing w:val="-22"/>
                <w:sz w:val="24"/>
              </w:rPr>
              <w:t xml:space="preserve"> </w:t>
            </w:r>
            <w:proofErr w:type="gramStart"/>
            <w:r w:rsidR="0042624B">
              <w:rPr>
                <w:color w:val="211F1F"/>
                <w:spacing w:val="-2"/>
                <w:sz w:val="24"/>
              </w:rPr>
              <w:t>2025</w:t>
            </w:r>
            <w:proofErr w:type="gramEnd"/>
            <w:r w:rsidR="0042624B">
              <w:rPr>
                <w:color w:val="211F1F"/>
                <w:spacing w:val="-26"/>
                <w:sz w:val="24"/>
              </w:rPr>
              <w:t xml:space="preserve"> </w:t>
            </w:r>
            <w:r>
              <w:rPr>
                <w:color w:val="211F1F"/>
                <w:spacing w:val="-2"/>
                <w:sz w:val="24"/>
              </w:rPr>
              <w:t>to</w:t>
            </w:r>
            <w:r>
              <w:rPr>
                <w:color w:val="211F1F"/>
                <w:spacing w:val="7"/>
                <w:sz w:val="24"/>
              </w:rPr>
              <w:t xml:space="preserve"> </w:t>
            </w:r>
            <w:r>
              <w:rPr>
                <w:color w:val="211F1F"/>
                <w:spacing w:val="-2"/>
                <w:sz w:val="24"/>
              </w:rPr>
              <w:t>April</w:t>
            </w:r>
            <w:r>
              <w:rPr>
                <w:color w:val="211F1F"/>
                <w:spacing w:val="6"/>
                <w:sz w:val="24"/>
              </w:rPr>
              <w:t xml:space="preserve"> </w:t>
            </w:r>
            <w:r>
              <w:rPr>
                <w:color w:val="211F1F"/>
                <w:spacing w:val="-2"/>
                <w:sz w:val="24"/>
              </w:rPr>
              <w:t>7,</w:t>
            </w:r>
            <w:r>
              <w:rPr>
                <w:color w:val="211F1F"/>
                <w:spacing w:val="-24"/>
                <w:sz w:val="24"/>
              </w:rPr>
              <w:t xml:space="preserve"> </w:t>
            </w:r>
            <w:r w:rsidR="0042624B">
              <w:rPr>
                <w:color w:val="211F1F"/>
                <w:spacing w:val="-4"/>
                <w:sz w:val="24"/>
              </w:rPr>
              <w:t>2026</w:t>
            </w:r>
          </w:p>
        </w:tc>
        <w:tc>
          <w:tcPr>
            <w:tcW w:w="1116" w:type="dxa"/>
          </w:tcPr>
          <w:p w14:paraId="24487DBA" w14:textId="7E147219" w:rsidR="000C4EEE" w:rsidRDefault="008A66E1">
            <w:pPr>
              <w:pStyle w:val="TableParagraph"/>
              <w:spacing w:line="286" w:lineRule="exact"/>
              <w:rPr>
                <w:sz w:val="24"/>
              </w:rPr>
            </w:pPr>
            <w:r>
              <w:rPr>
                <w:color w:val="211F1F"/>
                <w:spacing w:val="-10"/>
                <w:sz w:val="24"/>
              </w:rPr>
              <w:t>500</w:t>
            </w:r>
          </w:p>
        </w:tc>
      </w:tr>
    </w:tbl>
    <w:p w14:paraId="24487DBC" w14:textId="77777777" w:rsidR="000C4EEE" w:rsidRDefault="000C4EEE">
      <w:pPr>
        <w:pStyle w:val="BodyText"/>
        <w:spacing w:before="17"/>
        <w:rPr>
          <w:b/>
        </w:rPr>
      </w:pPr>
    </w:p>
    <w:p w14:paraId="24487DBD" w14:textId="77777777" w:rsidR="000C4EEE" w:rsidRDefault="00C81BA0">
      <w:pPr>
        <w:pStyle w:val="Heading1"/>
        <w:ind w:left="100" w:right="235"/>
        <w:jc w:val="both"/>
        <w:rPr>
          <w:u w:val="none"/>
        </w:rPr>
      </w:pPr>
      <w:r>
        <w:t>CONTRACTING WITHOUT PROVIDING FOR FULL OR OPEN COMPETITION (INCLUDING BRAND-</w:t>
      </w:r>
      <w:r>
        <w:rPr>
          <w:u w:val="none"/>
        </w:rPr>
        <w:t xml:space="preserve"> </w:t>
      </w:r>
      <w:r>
        <w:t>NAME) DETERMINATION</w:t>
      </w:r>
    </w:p>
    <w:p w14:paraId="24487DBE" w14:textId="77777777" w:rsidR="000C4EEE" w:rsidRDefault="00C81BA0">
      <w:pPr>
        <w:pStyle w:val="BodyText"/>
        <w:spacing w:before="9"/>
        <w:ind w:left="100" w:right="229"/>
        <w:jc w:val="both"/>
      </w:pPr>
      <w:r>
        <w:t>The determination by the Government to award a contract without providing for full and open competition is based upon the market research conducted as prescribed in FAR Part 10—Market Research. Only one source is available: Per FAR 13.106-1(b)(1) the Contracting Officer has determined GraphPad to be the only reasonable available source to provide the GraphPad Prism Subscription Renewal.</w:t>
      </w:r>
    </w:p>
    <w:p w14:paraId="24487DBF" w14:textId="77777777" w:rsidR="000C4EEE" w:rsidRDefault="000C4EEE">
      <w:pPr>
        <w:pStyle w:val="BodyText"/>
        <w:spacing w:before="22"/>
      </w:pPr>
    </w:p>
    <w:p w14:paraId="24487DC0" w14:textId="77777777" w:rsidR="000C4EEE" w:rsidRDefault="00C81BA0">
      <w:pPr>
        <w:pStyle w:val="BodyText"/>
        <w:ind w:left="100" w:right="231"/>
        <w:jc w:val="both"/>
      </w:pPr>
      <w:r>
        <w:t>GraphPad Software is the sole provider of annual subscription and group licensing for GraphPad Prism.</w:t>
      </w:r>
      <w:r>
        <w:rPr>
          <w:spacing w:val="-6"/>
        </w:rPr>
        <w:t xml:space="preserve"> </w:t>
      </w:r>
      <w:r>
        <w:t>They</w:t>
      </w:r>
      <w:r>
        <w:rPr>
          <w:spacing w:val="-7"/>
        </w:rPr>
        <w:t xml:space="preserve"> </w:t>
      </w:r>
      <w:r>
        <w:t>do</w:t>
      </w:r>
      <w:r>
        <w:rPr>
          <w:spacing w:val="-6"/>
        </w:rPr>
        <w:t xml:space="preserve"> </w:t>
      </w:r>
      <w:r>
        <w:t>not</w:t>
      </w:r>
      <w:r>
        <w:rPr>
          <w:spacing w:val="-6"/>
        </w:rPr>
        <w:t xml:space="preserve"> </w:t>
      </w:r>
      <w:r>
        <w:t>offer</w:t>
      </w:r>
      <w:r>
        <w:rPr>
          <w:spacing w:val="-6"/>
        </w:rPr>
        <w:t xml:space="preserve"> </w:t>
      </w:r>
      <w:r>
        <w:t>license</w:t>
      </w:r>
      <w:r>
        <w:rPr>
          <w:spacing w:val="-6"/>
        </w:rPr>
        <w:t xml:space="preserve"> </w:t>
      </w:r>
      <w:r>
        <w:t>renewals</w:t>
      </w:r>
      <w:r>
        <w:rPr>
          <w:spacing w:val="-7"/>
        </w:rPr>
        <w:t xml:space="preserve"> </w:t>
      </w:r>
      <w:r>
        <w:t>or</w:t>
      </w:r>
      <w:r>
        <w:rPr>
          <w:spacing w:val="-6"/>
        </w:rPr>
        <w:t xml:space="preserve"> </w:t>
      </w:r>
      <w:r>
        <w:t>extensions</w:t>
      </w:r>
      <w:r>
        <w:rPr>
          <w:spacing w:val="-7"/>
        </w:rPr>
        <w:t xml:space="preserve"> </w:t>
      </w:r>
      <w:r>
        <w:t>via</w:t>
      </w:r>
      <w:r>
        <w:rPr>
          <w:spacing w:val="-6"/>
        </w:rPr>
        <w:t xml:space="preserve"> </w:t>
      </w:r>
      <w:r>
        <w:t>reseller.</w:t>
      </w:r>
      <w:r>
        <w:rPr>
          <w:spacing w:val="-6"/>
        </w:rPr>
        <w:t xml:space="preserve"> </w:t>
      </w:r>
      <w:r>
        <w:t>This</w:t>
      </w:r>
      <w:r>
        <w:rPr>
          <w:spacing w:val="-7"/>
        </w:rPr>
        <w:t xml:space="preserve"> </w:t>
      </w:r>
      <w:r>
        <w:t>software</w:t>
      </w:r>
      <w:r>
        <w:rPr>
          <w:spacing w:val="-6"/>
        </w:rPr>
        <w:t xml:space="preserve"> </w:t>
      </w:r>
      <w:r>
        <w:t>is</w:t>
      </w:r>
      <w:r>
        <w:rPr>
          <w:spacing w:val="-7"/>
        </w:rPr>
        <w:t xml:space="preserve"> </w:t>
      </w:r>
      <w:r>
        <w:t>commonly</w:t>
      </w:r>
      <w:r>
        <w:rPr>
          <w:spacing w:val="-6"/>
        </w:rPr>
        <w:t xml:space="preserve"> </w:t>
      </w:r>
      <w:r>
        <w:t>used by NIH, as well as many research universities and institutions, medical centers, and pharmaceutical companies.</w:t>
      </w:r>
      <w:r>
        <w:rPr>
          <w:spacing w:val="-14"/>
        </w:rPr>
        <w:t xml:space="preserve"> </w:t>
      </w:r>
      <w:r>
        <w:t>The</w:t>
      </w:r>
      <w:r>
        <w:rPr>
          <w:spacing w:val="-14"/>
        </w:rPr>
        <w:t xml:space="preserve"> </w:t>
      </w:r>
      <w:r>
        <w:t>software</w:t>
      </w:r>
      <w:r>
        <w:rPr>
          <w:spacing w:val="-13"/>
        </w:rPr>
        <w:t xml:space="preserve"> </w:t>
      </w:r>
      <w:r>
        <w:t>provides</w:t>
      </w:r>
      <w:r>
        <w:rPr>
          <w:spacing w:val="-14"/>
        </w:rPr>
        <w:t xml:space="preserve"> </w:t>
      </w:r>
      <w:r>
        <w:t>a</w:t>
      </w:r>
      <w:r>
        <w:rPr>
          <w:spacing w:val="-13"/>
        </w:rPr>
        <w:t xml:space="preserve"> </w:t>
      </w:r>
      <w:r>
        <w:t>combination</w:t>
      </w:r>
      <w:r>
        <w:rPr>
          <w:spacing w:val="-14"/>
        </w:rPr>
        <w:t xml:space="preserve"> </w:t>
      </w:r>
      <w:r>
        <w:t>of</w:t>
      </w:r>
      <w:r>
        <w:rPr>
          <w:spacing w:val="-13"/>
        </w:rPr>
        <w:t xml:space="preserve"> </w:t>
      </w:r>
      <w:r>
        <w:t>biostatistics,</w:t>
      </w:r>
      <w:r>
        <w:rPr>
          <w:spacing w:val="-14"/>
        </w:rPr>
        <w:t xml:space="preserve"> </w:t>
      </w:r>
      <w:r>
        <w:t>curve</w:t>
      </w:r>
      <w:r>
        <w:rPr>
          <w:spacing w:val="-14"/>
        </w:rPr>
        <w:t xml:space="preserve"> </w:t>
      </w:r>
      <w:r>
        <w:t>fitting</w:t>
      </w:r>
      <w:r>
        <w:rPr>
          <w:spacing w:val="-13"/>
        </w:rPr>
        <w:t xml:space="preserve"> </w:t>
      </w:r>
      <w:r>
        <w:t>(nonlinear</w:t>
      </w:r>
      <w:r>
        <w:rPr>
          <w:spacing w:val="-14"/>
        </w:rPr>
        <w:t xml:space="preserve"> </w:t>
      </w:r>
      <w:r>
        <w:t>regression), and</w:t>
      </w:r>
      <w:r>
        <w:rPr>
          <w:spacing w:val="-2"/>
        </w:rPr>
        <w:t xml:space="preserve"> </w:t>
      </w:r>
      <w:r>
        <w:t>scientific</w:t>
      </w:r>
      <w:r>
        <w:rPr>
          <w:spacing w:val="-6"/>
        </w:rPr>
        <w:t xml:space="preserve"> </w:t>
      </w:r>
      <w:r>
        <w:t>graphing</w:t>
      </w:r>
      <w:r>
        <w:rPr>
          <w:spacing w:val="-4"/>
        </w:rPr>
        <w:t xml:space="preserve"> </w:t>
      </w:r>
      <w:r>
        <w:t>at</w:t>
      </w:r>
      <w:r>
        <w:rPr>
          <w:spacing w:val="-6"/>
        </w:rPr>
        <w:t xml:space="preserve"> </w:t>
      </w:r>
      <w:r>
        <w:t>a</w:t>
      </w:r>
      <w:r>
        <w:rPr>
          <w:spacing w:val="-1"/>
        </w:rPr>
        <w:t xml:space="preserve"> </w:t>
      </w:r>
      <w:r>
        <w:t>lower</w:t>
      </w:r>
      <w:r>
        <w:rPr>
          <w:spacing w:val="-2"/>
        </w:rPr>
        <w:t xml:space="preserve"> </w:t>
      </w:r>
      <w:r>
        <w:t>cost</w:t>
      </w:r>
      <w:r>
        <w:rPr>
          <w:spacing w:val="-1"/>
        </w:rPr>
        <w:t xml:space="preserve"> </w:t>
      </w:r>
      <w:r>
        <w:t>than</w:t>
      </w:r>
      <w:r>
        <w:rPr>
          <w:spacing w:val="-2"/>
        </w:rPr>
        <w:t xml:space="preserve"> </w:t>
      </w:r>
      <w:r>
        <w:t>many</w:t>
      </w:r>
      <w:r>
        <w:rPr>
          <w:spacing w:val="-6"/>
        </w:rPr>
        <w:t xml:space="preserve"> </w:t>
      </w:r>
      <w:r>
        <w:t>other</w:t>
      </w:r>
      <w:r>
        <w:rPr>
          <w:spacing w:val="-7"/>
        </w:rPr>
        <w:t xml:space="preserve"> </w:t>
      </w:r>
      <w:r>
        <w:t>products</w:t>
      </w:r>
      <w:r>
        <w:rPr>
          <w:spacing w:val="-4"/>
        </w:rPr>
        <w:t xml:space="preserve"> </w:t>
      </w:r>
      <w:r>
        <w:t>which</w:t>
      </w:r>
      <w:r>
        <w:rPr>
          <w:spacing w:val="-2"/>
        </w:rPr>
        <w:t xml:space="preserve"> </w:t>
      </w:r>
      <w:r>
        <w:t>have many more additional features at much higher costs. The subscription model for the software allows NIDDK to have the most</w:t>
      </w:r>
      <w:r>
        <w:rPr>
          <w:spacing w:val="-14"/>
        </w:rPr>
        <w:t xml:space="preserve"> </w:t>
      </w:r>
      <w:r>
        <w:t>up-to-date</w:t>
      </w:r>
      <w:r>
        <w:rPr>
          <w:spacing w:val="-11"/>
        </w:rPr>
        <w:t xml:space="preserve"> </w:t>
      </w:r>
      <w:r>
        <w:t>software</w:t>
      </w:r>
      <w:r>
        <w:rPr>
          <w:spacing w:val="-10"/>
        </w:rPr>
        <w:t xml:space="preserve"> </w:t>
      </w:r>
      <w:r>
        <w:t>available,</w:t>
      </w:r>
      <w:r>
        <w:rPr>
          <w:spacing w:val="-14"/>
        </w:rPr>
        <w:t xml:space="preserve"> </w:t>
      </w:r>
      <w:r>
        <w:t>which</w:t>
      </w:r>
      <w:r>
        <w:rPr>
          <w:spacing w:val="-12"/>
        </w:rPr>
        <w:t xml:space="preserve"> </w:t>
      </w:r>
      <w:r>
        <w:t>will</w:t>
      </w:r>
      <w:r>
        <w:rPr>
          <w:spacing w:val="-14"/>
        </w:rPr>
        <w:t xml:space="preserve"> </w:t>
      </w:r>
      <w:r>
        <w:t>give</w:t>
      </w:r>
      <w:r>
        <w:rPr>
          <w:spacing w:val="-8"/>
        </w:rPr>
        <w:t xml:space="preserve"> </w:t>
      </w:r>
      <w:r>
        <w:t>NIDDK</w:t>
      </w:r>
      <w:r>
        <w:rPr>
          <w:spacing w:val="-13"/>
        </w:rPr>
        <w:t xml:space="preserve"> </w:t>
      </w:r>
      <w:r>
        <w:t>staff</w:t>
      </w:r>
      <w:r>
        <w:rPr>
          <w:spacing w:val="-11"/>
        </w:rPr>
        <w:t xml:space="preserve"> </w:t>
      </w:r>
      <w:r>
        <w:t>access</w:t>
      </w:r>
      <w:r>
        <w:rPr>
          <w:spacing w:val="-12"/>
        </w:rPr>
        <w:t xml:space="preserve"> </w:t>
      </w:r>
      <w:r>
        <w:t>to</w:t>
      </w:r>
      <w:r>
        <w:rPr>
          <w:spacing w:val="-8"/>
        </w:rPr>
        <w:t xml:space="preserve"> </w:t>
      </w:r>
      <w:r>
        <w:t>any</w:t>
      </w:r>
      <w:r>
        <w:rPr>
          <w:spacing w:val="-7"/>
        </w:rPr>
        <w:t xml:space="preserve"> </w:t>
      </w:r>
      <w:r>
        <w:t>new</w:t>
      </w:r>
      <w:r>
        <w:rPr>
          <w:spacing w:val="-8"/>
        </w:rPr>
        <w:t xml:space="preserve"> </w:t>
      </w:r>
      <w:r>
        <w:t>features</w:t>
      </w:r>
      <w:r>
        <w:rPr>
          <w:spacing w:val="-8"/>
        </w:rPr>
        <w:t xml:space="preserve"> </w:t>
      </w:r>
      <w:r>
        <w:t>as</w:t>
      </w:r>
      <w:r>
        <w:rPr>
          <w:spacing w:val="-8"/>
        </w:rPr>
        <w:t xml:space="preserve"> </w:t>
      </w:r>
      <w:r>
        <w:t>well</w:t>
      </w:r>
      <w:r>
        <w:rPr>
          <w:spacing w:val="-7"/>
        </w:rPr>
        <w:t xml:space="preserve"> </w:t>
      </w:r>
      <w:r>
        <w:t>as patching any cybersecurity vulnerabilities.</w:t>
      </w:r>
    </w:p>
    <w:p w14:paraId="24487DC1" w14:textId="77777777" w:rsidR="000C4EEE" w:rsidRDefault="000C4EEE">
      <w:pPr>
        <w:pStyle w:val="BodyText"/>
        <w:spacing w:before="20"/>
      </w:pPr>
    </w:p>
    <w:p w14:paraId="24487DC2" w14:textId="77777777" w:rsidR="000C4EEE" w:rsidRDefault="00C81BA0">
      <w:pPr>
        <w:pStyle w:val="Heading1"/>
        <w:ind w:left="100"/>
        <w:jc w:val="both"/>
        <w:rPr>
          <w:u w:val="none"/>
        </w:rPr>
      </w:pPr>
      <w:bookmarkStart w:id="6" w:name="CLOSING_STATEMENT"/>
      <w:bookmarkEnd w:id="6"/>
      <w:r>
        <w:rPr>
          <w:color w:val="211F1F"/>
          <w:u w:color="211F1F"/>
        </w:rPr>
        <w:t>CLOSING</w:t>
      </w:r>
      <w:r>
        <w:rPr>
          <w:color w:val="211F1F"/>
          <w:spacing w:val="-5"/>
          <w:u w:color="211F1F"/>
        </w:rPr>
        <w:t xml:space="preserve"> </w:t>
      </w:r>
      <w:r>
        <w:rPr>
          <w:color w:val="211F1F"/>
          <w:spacing w:val="-2"/>
          <w:u w:color="211F1F"/>
        </w:rPr>
        <w:t>STATEMENT</w:t>
      </w:r>
    </w:p>
    <w:p w14:paraId="24487DC3" w14:textId="77777777" w:rsidR="000C4EEE" w:rsidRDefault="00C81BA0">
      <w:pPr>
        <w:pStyle w:val="BodyText"/>
        <w:ind w:left="100" w:right="115"/>
        <w:jc w:val="both"/>
      </w:pPr>
      <w:r>
        <w:rPr>
          <w:color w:val="211F1F"/>
        </w:rPr>
        <w:t>This synopsis is not a request for competitive proposals. However, interested parties may identify their</w:t>
      </w:r>
      <w:r>
        <w:rPr>
          <w:color w:val="211F1F"/>
          <w:spacing w:val="-5"/>
        </w:rPr>
        <w:t xml:space="preserve"> </w:t>
      </w:r>
      <w:r>
        <w:rPr>
          <w:color w:val="211F1F"/>
        </w:rPr>
        <w:t>interest</w:t>
      </w:r>
      <w:r>
        <w:rPr>
          <w:color w:val="211F1F"/>
          <w:spacing w:val="-5"/>
        </w:rPr>
        <w:t xml:space="preserve"> </w:t>
      </w:r>
      <w:r>
        <w:rPr>
          <w:color w:val="211F1F"/>
        </w:rPr>
        <w:t>and</w:t>
      </w:r>
      <w:r>
        <w:rPr>
          <w:color w:val="211F1F"/>
          <w:spacing w:val="-5"/>
        </w:rPr>
        <w:t xml:space="preserve"> </w:t>
      </w:r>
      <w:r>
        <w:rPr>
          <w:color w:val="211F1F"/>
        </w:rPr>
        <w:t>capability</w:t>
      </w:r>
      <w:r>
        <w:rPr>
          <w:color w:val="211F1F"/>
          <w:spacing w:val="-4"/>
        </w:rPr>
        <w:t xml:space="preserve"> </w:t>
      </w:r>
      <w:r>
        <w:rPr>
          <w:color w:val="211F1F"/>
        </w:rPr>
        <w:t>to</w:t>
      </w:r>
      <w:r>
        <w:rPr>
          <w:color w:val="211F1F"/>
          <w:spacing w:val="-4"/>
        </w:rPr>
        <w:t xml:space="preserve"> </w:t>
      </w:r>
      <w:r>
        <w:rPr>
          <w:color w:val="211F1F"/>
        </w:rPr>
        <w:t>respond</w:t>
      </w:r>
      <w:r>
        <w:rPr>
          <w:color w:val="211F1F"/>
          <w:spacing w:val="-5"/>
        </w:rPr>
        <w:t xml:space="preserve"> </w:t>
      </w:r>
      <w:r>
        <w:rPr>
          <w:color w:val="211F1F"/>
        </w:rPr>
        <w:t>to</w:t>
      </w:r>
      <w:r>
        <w:rPr>
          <w:color w:val="211F1F"/>
          <w:spacing w:val="-4"/>
        </w:rPr>
        <w:t xml:space="preserve"> </w:t>
      </w:r>
      <w:r>
        <w:rPr>
          <w:color w:val="211F1F"/>
        </w:rPr>
        <w:t>this</w:t>
      </w:r>
      <w:r>
        <w:rPr>
          <w:color w:val="211F1F"/>
          <w:spacing w:val="-5"/>
        </w:rPr>
        <w:t xml:space="preserve"> </w:t>
      </w:r>
      <w:r>
        <w:rPr>
          <w:color w:val="211F1F"/>
        </w:rPr>
        <w:t>notice.</w:t>
      </w:r>
      <w:r>
        <w:rPr>
          <w:color w:val="211F1F"/>
          <w:spacing w:val="-4"/>
        </w:rPr>
        <w:t xml:space="preserve"> </w:t>
      </w:r>
      <w:r>
        <w:rPr>
          <w:color w:val="211F1F"/>
        </w:rPr>
        <w:t>Respondents</w:t>
      </w:r>
      <w:r>
        <w:rPr>
          <w:color w:val="211F1F"/>
          <w:spacing w:val="-5"/>
        </w:rPr>
        <w:t xml:space="preserve"> </w:t>
      </w:r>
      <w:r>
        <w:rPr>
          <w:color w:val="211F1F"/>
        </w:rPr>
        <w:t>are</w:t>
      </w:r>
      <w:r>
        <w:rPr>
          <w:color w:val="211F1F"/>
          <w:spacing w:val="-4"/>
        </w:rPr>
        <w:t xml:space="preserve"> </w:t>
      </w:r>
      <w:r>
        <w:rPr>
          <w:color w:val="211F1F"/>
        </w:rPr>
        <w:t>advised</w:t>
      </w:r>
      <w:r>
        <w:rPr>
          <w:color w:val="211F1F"/>
          <w:spacing w:val="-5"/>
        </w:rPr>
        <w:t xml:space="preserve"> </w:t>
      </w:r>
      <w:r>
        <w:rPr>
          <w:color w:val="211F1F"/>
        </w:rPr>
        <w:t>that</w:t>
      </w:r>
      <w:r>
        <w:rPr>
          <w:color w:val="211F1F"/>
          <w:spacing w:val="-5"/>
        </w:rPr>
        <w:t xml:space="preserve"> </w:t>
      </w:r>
      <w:r>
        <w:rPr>
          <w:color w:val="211F1F"/>
        </w:rPr>
        <w:t>the</w:t>
      </w:r>
      <w:r>
        <w:rPr>
          <w:color w:val="211F1F"/>
          <w:spacing w:val="-4"/>
        </w:rPr>
        <w:t xml:space="preserve"> </w:t>
      </w:r>
      <w:r>
        <w:rPr>
          <w:color w:val="211F1F"/>
        </w:rPr>
        <w:t>Government is under no obligation to acknowledge receipt of the information received or provided feedback to respondents with respect to any information submitted.</w:t>
      </w:r>
      <w:r>
        <w:rPr>
          <w:color w:val="211F1F"/>
          <w:spacing w:val="40"/>
        </w:rPr>
        <w:t xml:space="preserve"> </w:t>
      </w:r>
      <w:r>
        <w:rPr>
          <w:color w:val="211F1F"/>
        </w:rPr>
        <w:t>Responses to this notice shall contain sufficient information to establish the interested parties’ bona-fide capabilities for fulfilling the requirement, unit price, list price, shipping and handling costs, the delivery period after contract award, the prompt payment discount terms, the F.O.B. Point (Destination or Origin), the Vendor/Contractor’s (UEI) the Unique Entity ID from SAM.gov is now the authoritative identifier for those</w:t>
      </w:r>
      <w:r>
        <w:rPr>
          <w:color w:val="211F1F"/>
          <w:spacing w:val="7"/>
        </w:rPr>
        <w:t xml:space="preserve"> </w:t>
      </w:r>
      <w:r>
        <w:rPr>
          <w:color w:val="211F1F"/>
        </w:rPr>
        <w:t>doing</w:t>
      </w:r>
      <w:r>
        <w:rPr>
          <w:color w:val="211F1F"/>
          <w:spacing w:val="7"/>
        </w:rPr>
        <w:t xml:space="preserve"> </w:t>
      </w:r>
      <w:r>
        <w:rPr>
          <w:color w:val="211F1F"/>
        </w:rPr>
        <w:t>business</w:t>
      </w:r>
      <w:r>
        <w:rPr>
          <w:color w:val="211F1F"/>
          <w:spacing w:val="9"/>
        </w:rPr>
        <w:t xml:space="preserve"> </w:t>
      </w:r>
      <w:r>
        <w:rPr>
          <w:color w:val="211F1F"/>
        </w:rPr>
        <w:t>with</w:t>
      </w:r>
      <w:r>
        <w:rPr>
          <w:color w:val="211F1F"/>
          <w:spacing w:val="8"/>
        </w:rPr>
        <w:t xml:space="preserve"> </w:t>
      </w:r>
      <w:r>
        <w:rPr>
          <w:color w:val="211F1F"/>
        </w:rPr>
        <w:t>the</w:t>
      </w:r>
      <w:r>
        <w:rPr>
          <w:color w:val="211F1F"/>
          <w:spacing w:val="9"/>
        </w:rPr>
        <w:t xml:space="preserve"> </w:t>
      </w:r>
      <w:r>
        <w:rPr>
          <w:color w:val="211F1F"/>
        </w:rPr>
        <w:t>federal</w:t>
      </w:r>
      <w:r>
        <w:rPr>
          <w:color w:val="211F1F"/>
          <w:spacing w:val="9"/>
        </w:rPr>
        <w:t xml:space="preserve"> </w:t>
      </w:r>
      <w:r>
        <w:rPr>
          <w:color w:val="211F1F"/>
        </w:rPr>
        <w:t>government.</w:t>
      </w:r>
      <w:r>
        <w:rPr>
          <w:color w:val="211F1F"/>
          <w:spacing w:val="9"/>
        </w:rPr>
        <w:t xml:space="preserve"> </w:t>
      </w:r>
      <w:r>
        <w:rPr>
          <w:color w:val="211F1F"/>
        </w:rPr>
        <w:t>The</w:t>
      </w:r>
      <w:r>
        <w:rPr>
          <w:color w:val="211F1F"/>
          <w:spacing w:val="9"/>
        </w:rPr>
        <w:t xml:space="preserve"> </w:t>
      </w:r>
      <w:r>
        <w:rPr>
          <w:color w:val="211F1F"/>
        </w:rPr>
        <w:t>DUNS</w:t>
      </w:r>
      <w:r>
        <w:rPr>
          <w:color w:val="211F1F"/>
          <w:spacing w:val="8"/>
        </w:rPr>
        <w:t xml:space="preserve"> </w:t>
      </w:r>
      <w:r>
        <w:rPr>
          <w:color w:val="211F1F"/>
        </w:rPr>
        <w:t>Number</w:t>
      </w:r>
      <w:r>
        <w:rPr>
          <w:color w:val="211F1F"/>
          <w:spacing w:val="9"/>
        </w:rPr>
        <w:t xml:space="preserve"> </w:t>
      </w:r>
      <w:r>
        <w:rPr>
          <w:color w:val="211F1F"/>
        </w:rPr>
        <w:t>is</w:t>
      </w:r>
      <w:r>
        <w:rPr>
          <w:color w:val="211F1F"/>
          <w:spacing w:val="8"/>
        </w:rPr>
        <w:t xml:space="preserve"> </w:t>
      </w:r>
      <w:r>
        <w:rPr>
          <w:color w:val="211F1F"/>
        </w:rPr>
        <w:t>no</w:t>
      </w:r>
      <w:r>
        <w:rPr>
          <w:color w:val="211F1F"/>
          <w:spacing w:val="9"/>
        </w:rPr>
        <w:t xml:space="preserve"> </w:t>
      </w:r>
      <w:r>
        <w:rPr>
          <w:color w:val="211F1F"/>
        </w:rPr>
        <w:t>longer</w:t>
      </w:r>
      <w:r>
        <w:rPr>
          <w:color w:val="211F1F"/>
          <w:spacing w:val="9"/>
        </w:rPr>
        <w:t xml:space="preserve"> </w:t>
      </w:r>
      <w:r>
        <w:rPr>
          <w:color w:val="211F1F"/>
        </w:rPr>
        <w:t>valid</w:t>
      </w:r>
      <w:r>
        <w:rPr>
          <w:color w:val="211F1F"/>
          <w:spacing w:val="8"/>
        </w:rPr>
        <w:t xml:space="preserve"> </w:t>
      </w:r>
      <w:r>
        <w:rPr>
          <w:color w:val="211F1F"/>
        </w:rPr>
        <w:t>for</w:t>
      </w:r>
      <w:r>
        <w:rPr>
          <w:color w:val="211F1F"/>
          <w:spacing w:val="9"/>
        </w:rPr>
        <w:t xml:space="preserve"> </w:t>
      </w:r>
      <w:r>
        <w:rPr>
          <w:color w:val="211F1F"/>
          <w:spacing w:val="-2"/>
        </w:rPr>
        <w:t>federal</w:t>
      </w:r>
    </w:p>
    <w:p w14:paraId="24487DC5" w14:textId="77777777" w:rsidR="000C4EEE" w:rsidRDefault="00C81BA0">
      <w:pPr>
        <w:pStyle w:val="BodyText"/>
        <w:spacing w:before="39"/>
        <w:ind w:left="100" w:right="116"/>
        <w:jc w:val="both"/>
      </w:pPr>
      <w:r>
        <w:rPr>
          <w:color w:val="211F1F"/>
        </w:rPr>
        <w:t>award</w:t>
      </w:r>
      <w:r>
        <w:rPr>
          <w:color w:val="211F1F"/>
          <w:spacing w:val="-4"/>
        </w:rPr>
        <w:t xml:space="preserve"> </w:t>
      </w:r>
      <w:r>
        <w:rPr>
          <w:color w:val="211F1F"/>
        </w:rPr>
        <w:t>identification,</w:t>
      </w:r>
      <w:r>
        <w:rPr>
          <w:color w:val="211F1F"/>
          <w:spacing w:val="-4"/>
        </w:rPr>
        <w:t xml:space="preserve"> </w:t>
      </w:r>
      <w:r>
        <w:rPr>
          <w:color w:val="211F1F"/>
        </w:rPr>
        <w:t>the</w:t>
      </w:r>
      <w:r>
        <w:rPr>
          <w:color w:val="211F1F"/>
          <w:spacing w:val="-4"/>
        </w:rPr>
        <w:t xml:space="preserve"> </w:t>
      </w:r>
      <w:r>
        <w:rPr>
          <w:color w:val="211F1F"/>
        </w:rPr>
        <w:t>Taxpayer</w:t>
      </w:r>
      <w:r>
        <w:rPr>
          <w:color w:val="211F1F"/>
          <w:spacing w:val="-3"/>
        </w:rPr>
        <w:t xml:space="preserve"> </w:t>
      </w:r>
      <w:r>
        <w:rPr>
          <w:color w:val="211F1F"/>
        </w:rPr>
        <w:t>Identification</w:t>
      </w:r>
      <w:r>
        <w:rPr>
          <w:color w:val="211F1F"/>
          <w:spacing w:val="-4"/>
        </w:rPr>
        <w:t xml:space="preserve"> </w:t>
      </w:r>
      <w:r>
        <w:rPr>
          <w:color w:val="211F1F"/>
        </w:rPr>
        <w:t>Number</w:t>
      </w:r>
      <w:r>
        <w:rPr>
          <w:color w:val="211F1F"/>
          <w:spacing w:val="-3"/>
        </w:rPr>
        <w:t xml:space="preserve"> </w:t>
      </w:r>
      <w:r>
        <w:rPr>
          <w:color w:val="211F1F"/>
        </w:rPr>
        <w:t>(TIN),</w:t>
      </w:r>
      <w:r>
        <w:rPr>
          <w:color w:val="211F1F"/>
          <w:spacing w:val="-4"/>
        </w:rPr>
        <w:t xml:space="preserve"> </w:t>
      </w:r>
      <w:r>
        <w:rPr>
          <w:color w:val="211F1F"/>
        </w:rPr>
        <w:t>and</w:t>
      </w:r>
      <w:r>
        <w:rPr>
          <w:color w:val="211F1F"/>
          <w:spacing w:val="-4"/>
        </w:rPr>
        <w:t xml:space="preserve"> </w:t>
      </w:r>
      <w:r>
        <w:rPr>
          <w:color w:val="211F1F"/>
        </w:rPr>
        <w:t>the</w:t>
      </w:r>
      <w:r>
        <w:rPr>
          <w:color w:val="211F1F"/>
          <w:spacing w:val="-2"/>
        </w:rPr>
        <w:t xml:space="preserve"> </w:t>
      </w:r>
      <w:r>
        <w:rPr>
          <w:color w:val="211F1F"/>
        </w:rPr>
        <w:t>certification</w:t>
      </w:r>
      <w:r>
        <w:rPr>
          <w:color w:val="211F1F"/>
          <w:spacing w:val="-4"/>
        </w:rPr>
        <w:t xml:space="preserve"> </w:t>
      </w:r>
      <w:r>
        <w:rPr>
          <w:color w:val="211F1F"/>
        </w:rPr>
        <w:t>of</w:t>
      </w:r>
      <w:r>
        <w:rPr>
          <w:color w:val="211F1F"/>
          <w:spacing w:val="-4"/>
        </w:rPr>
        <w:t xml:space="preserve"> </w:t>
      </w:r>
      <w:r>
        <w:rPr>
          <w:color w:val="211F1F"/>
        </w:rPr>
        <w:t>business</w:t>
      </w:r>
      <w:r>
        <w:rPr>
          <w:color w:val="211F1F"/>
          <w:spacing w:val="-3"/>
        </w:rPr>
        <w:t xml:space="preserve"> </w:t>
      </w:r>
      <w:r>
        <w:rPr>
          <w:color w:val="211F1F"/>
        </w:rPr>
        <w:t xml:space="preserve">size. All offerors must have an active registration in the System for Award Management (SAM) </w:t>
      </w:r>
      <w:hyperlink r:id="rId5">
        <w:r w:rsidR="000C4EEE">
          <w:rPr>
            <w:color w:val="211F1F"/>
            <w:spacing w:val="-2"/>
          </w:rPr>
          <w:t>www.sam.gov.”</w:t>
        </w:r>
      </w:hyperlink>
    </w:p>
    <w:p w14:paraId="24487DC6" w14:textId="77777777" w:rsidR="000C4EEE" w:rsidRDefault="000C4EEE">
      <w:pPr>
        <w:pStyle w:val="BodyText"/>
        <w:spacing w:before="39"/>
      </w:pPr>
    </w:p>
    <w:p w14:paraId="24487DC7" w14:textId="77777777" w:rsidR="000C4EEE" w:rsidRDefault="00C81BA0">
      <w:pPr>
        <w:pStyle w:val="BodyText"/>
        <w:ind w:left="100" w:right="229"/>
        <w:jc w:val="both"/>
      </w:pPr>
      <w:r>
        <w:rPr>
          <w:color w:val="211F1F"/>
        </w:rPr>
        <w:t>A determination by</w:t>
      </w:r>
      <w:r>
        <w:rPr>
          <w:color w:val="211F1F"/>
          <w:spacing w:val="-1"/>
        </w:rPr>
        <w:t xml:space="preserve"> </w:t>
      </w:r>
      <w:r>
        <w:rPr>
          <w:color w:val="211F1F"/>
        </w:rPr>
        <w:t>the Government not to compete this proposed contract based upon responses to this notice is solely within the discretion of the Government. The information received will normally be considered solely for the purposes of determining whether to proceed on a non- competitive basis or to conduct a competitive procurement.</w:t>
      </w:r>
    </w:p>
    <w:p w14:paraId="24487DC8" w14:textId="77777777" w:rsidR="000C4EEE" w:rsidRDefault="000C4EEE">
      <w:pPr>
        <w:pStyle w:val="BodyText"/>
        <w:spacing w:before="11"/>
      </w:pPr>
    </w:p>
    <w:p w14:paraId="24487DC9" w14:textId="02150AFD" w:rsidR="000C4EEE" w:rsidRDefault="00C81BA0">
      <w:pPr>
        <w:pStyle w:val="BodyText"/>
        <w:ind w:left="100"/>
        <w:rPr>
          <w:color w:val="211F1F"/>
        </w:rPr>
      </w:pPr>
      <w:r>
        <w:rPr>
          <w:color w:val="211F1F"/>
        </w:rPr>
        <w:t>All</w:t>
      </w:r>
      <w:r>
        <w:rPr>
          <w:color w:val="211F1F"/>
          <w:spacing w:val="-4"/>
        </w:rPr>
        <w:t xml:space="preserve"> </w:t>
      </w:r>
      <w:r>
        <w:rPr>
          <w:color w:val="211F1F"/>
        </w:rPr>
        <w:t>responses</w:t>
      </w:r>
      <w:r>
        <w:rPr>
          <w:color w:val="211F1F"/>
          <w:spacing w:val="-4"/>
        </w:rPr>
        <w:t xml:space="preserve"> </w:t>
      </w:r>
      <w:r>
        <w:rPr>
          <w:color w:val="211F1F"/>
        </w:rPr>
        <w:t>to</w:t>
      </w:r>
      <w:r>
        <w:rPr>
          <w:color w:val="211F1F"/>
          <w:spacing w:val="-3"/>
        </w:rPr>
        <w:t xml:space="preserve"> </w:t>
      </w:r>
      <w:r>
        <w:rPr>
          <w:color w:val="211F1F"/>
        </w:rPr>
        <w:t>this</w:t>
      </w:r>
      <w:r>
        <w:rPr>
          <w:color w:val="211F1F"/>
          <w:spacing w:val="-4"/>
        </w:rPr>
        <w:t xml:space="preserve"> </w:t>
      </w:r>
      <w:r>
        <w:rPr>
          <w:color w:val="211F1F"/>
        </w:rPr>
        <w:t>notice</w:t>
      </w:r>
      <w:r>
        <w:rPr>
          <w:color w:val="211F1F"/>
          <w:spacing w:val="-3"/>
        </w:rPr>
        <w:t xml:space="preserve"> </w:t>
      </w:r>
      <w:r>
        <w:rPr>
          <w:color w:val="211F1F"/>
        </w:rPr>
        <w:t>(NICHD-</w:t>
      </w:r>
      <w:r w:rsidR="00334434" w:rsidRPr="00334434">
        <w:rPr>
          <w:color w:val="211F1F"/>
        </w:rPr>
        <w:t>75N94025Q00058</w:t>
      </w:r>
      <w:r>
        <w:rPr>
          <w:color w:val="211F1F"/>
        </w:rPr>
        <w:t>)</w:t>
      </w:r>
      <w:r>
        <w:rPr>
          <w:color w:val="211F1F"/>
          <w:spacing w:val="-3"/>
        </w:rPr>
        <w:t xml:space="preserve"> </w:t>
      </w:r>
      <w:r>
        <w:rPr>
          <w:color w:val="211F1F"/>
        </w:rPr>
        <w:t>shall</w:t>
      </w:r>
      <w:r>
        <w:rPr>
          <w:color w:val="211F1F"/>
          <w:spacing w:val="-2"/>
        </w:rPr>
        <w:t xml:space="preserve"> </w:t>
      </w:r>
      <w:r>
        <w:rPr>
          <w:color w:val="211F1F"/>
        </w:rPr>
        <w:t>be</w:t>
      </w:r>
      <w:r>
        <w:rPr>
          <w:color w:val="211F1F"/>
          <w:spacing w:val="-3"/>
        </w:rPr>
        <w:t xml:space="preserve"> </w:t>
      </w:r>
      <w:r>
        <w:rPr>
          <w:color w:val="211F1F"/>
        </w:rPr>
        <w:t>submitted</w:t>
      </w:r>
      <w:r>
        <w:rPr>
          <w:color w:val="211F1F"/>
          <w:spacing w:val="-4"/>
        </w:rPr>
        <w:t xml:space="preserve"> </w:t>
      </w:r>
      <w:r>
        <w:rPr>
          <w:color w:val="211F1F"/>
        </w:rPr>
        <w:t>electronically</w:t>
      </w:r>
      <w:r>
        <w:rPr>
          <w:color w:val="211F1F"/>
          <w:spacing w:val="-3"/>
        </w:rPr>
        <w:t xml:space="preserve"> </w:t>
      </w:r>
      <w:r>
        <w:rPr>
          <w:color w:val="211F1F"/>
        </w:rPr>
        <w:t>by</w:t>
      </w:r>
      <w:r>
        <w:rPr>
          <w:color w:val="211F1F"/>
          <w:spacing w:val="-3"/>
        </w:rPr>
        <w:t xml:space="preserve"> </w:t>
      </w:r>
      <w:r w:rsidR="00C82BC7">
        <w:rPr>
          <w:color w:val="211F1F"/>
        </w:rPr>
        <w:t>9</w:t>
      </w:r>
      <w:r>
        <w:rPr>
          <w:color w:val="211F1F"/>
        </w:rPr>
        <w:t>:00</w:t>
      </w:r>
      <w:r>
        <w:rPr>
          <w:color w:val="211F1F"/>
          <w:spacing w:val="-4"/>
        </w:rPr>
        <w:t xml:space="preserve"> </w:t>
      </w:r>
      <w:r>
        <w:rPr>
          <w:color w:val="211F1F"/>
        </w:rPr>
        <w:t>AM</w:t>
      </w:r>
      <w:r>
        <w:rPr>
          <w:color w:val="211F1F"/>
          <w:spacing w:val="-4"/>
        </w:rPr>
        <w:t xml:space="preserve"> </w:t>
      </w:r>
      <w:r>
        <w:rPr>
          <w:color w:val="211F1F"/>
        </w:rPr>
        <w:t xml:space="preserve">Eastern Standard Time, on </w:t>
      </w:r>
      <w:r w:rsidR="00F06FD2">
        <w:rPr>
          <w:color w:val="211F1F"/>
        </w:rPr>
        <w:t>April 8</w:t>
      </w:r>
      <w:r>
        <w:rPr>
          <w:color w:val="211F1F"/>
        </w:rPr>
        <w:t>, 202</w:t>
      </w:r>
      <w:r w:rsidR="00F06FD2">
        <w:rPr>
          <w:color w:val="211F1F"/>
        </w:rPr>
        <w:t>5</w:t>
      </w:r>
      <w:r>
        <w:rPr>
          <w:color w:val="211F1F"/>
        </w:rPr>
        <w:t>.</w:t>
      </w:r>
    </w:p>
    <w:p w14:paraId="6E4648DE" w14:textId="77777777" w:rsidR="00446982" w:rsidRDefault="00446982">
      <w:pPr>
        <w:pStyle w:val="BodyText"/>
        <w:ind w:left="100"/>
      </w:pPr>
    </w:p>
    <w:p w14:paraId="24487DCA" w14:textId="77777777" w:rsidR="000C4EEE" w:rsidRDefault="000C4EEE">
      <w:pPr>
        <w:pStyle w:val="BodyText"/>
        <w:spacing w:before="14"/>
      </w:pPr>
    </w:p>
    <w:p w14:paraId="24487DCB" w14:textId="77777777" w:rsidR="000C4EEE" w:rsidRDefault="00C81BA0">
      <w:pPr>
        <w:ind w:left="100"/>
        <w:rPr>
          <w:b/>
          <w:sz w:val="24"/>
        </w:rPr>
      </w:pPr>
      <w:bookmarkStart w:id="7" w:name="Assessment_of_Capability"/>
      <w:bookmarkEnd w:id="7"/>
      <w:r>
        <w:rPr>
          <w:b/>
          <w:color w:val="211F1F"/>
          <w:sz w:val="24"/>
          <w:u w:val="single" w:color="211F1F"/>
        </w:rPr>
        <w:lastRenderedPageBreak/>
        <w:t>Assessment</w:t>
      </w:r>
      <w:r>
        <w:rPr>
          <w:b/>
          <w:color w:val="211F1F"/>
          <w:spacing w:val="-4"/>
          <w:sz w:val="24"/>
          <w:u w:val="single" w:color="211F1F"/>
        </w:rPr>
        <w:t xml:space="preserve"> </w:t>
      </w:r>
      <w:r>
        <w:rPr>
          <w:b/>
          <w:color w:val="211F1F"/>
          <w:sz w:val="24"/>
          <w:u w:val="single" w:color="211F1F"/>
        </w:rPr>
        <w:t>of</w:t>
      </w:r>
      <w:r>
        <w:rPr>
          <w:b/>
          <w:color w:val="211F1F"/>
          <w:spacing w:val="-32"/>
          <w:sz w:val="24"/>
          <w:u w:val="single" w:color="211F1F"/>
        </w:rPr>
        <w:t xml:space="preserve"> </w:t>
      </w:r>
      <w:r>
        <w:rPr>
          <w:b/>
          <w:color w:val="211F1F"/>
          <w:spacing w:val="-2"/>
          <w:sz w:val="24"/>
          <w:u w:val="single" w:color="211F1F"/>
        </w:rPr>
        <w:t>Capability</w:t>
      </w:r>
    </w:p>
    <w:p w14:paraId="24487DCC" w14:textId="361B66B9" w:rsidR="000C4EEE" w:rsidRDefault="00C81BA0">
      <w:pPr>
        <w:pStyle w:val="BodyText"/>
        <w:spacing w:before="10"/>
        <w:ind w:left="100"/>
      </w:pPr>
      <w:r>
        <w:rPr>
          <w:color w:val="211F1F"/>
        </w:rPr>
        <w:t>The</w:t>
      </w:r>
      <w:r>
        <w:rPr>
          <w:color w:val="211F1F"/>
          <w:spacing w:val="-3"/>
        </w:rPr>
        <w:t xml:space="preserve"> </w:t>
      </w:r>
      <w:r>
        <w:rPr>
          <w:color w:val="211F1F"/>
        </w:rPr>
        <w:t>Offeror</w:t>
      </w:r>
      <w:r>
        <w:rPr>
          <w:color w:val="211F1F"/>
          <w:spacing w:val="-3"/>
        </w:rPr>
        <w:t xml:space="preserve"> </w:t>
      </w:r>
      <w:r>
        <w:rPr>
          <w:color w:val="211F1F"/>
        </w:rPr>
        <w:t>will</w:t>
      </w:r>
      <w:r>
        <w:rPr>
          <w:color w:val="211F1F"/>
          <w:spacing w:val="-3"/>
        </w:rPr>
        <w:t xml:space="preserve"> </w:t>
      </w:r>
      <w:r>
        <w:rPr>
          <w:color w:val="211F1F"/>
        </w:rPr>
        <w:t>be</w:t>
      </w:r>
      <w:r>
        <w:rPr>
          <w:color w:val="211F1F"/>
          <w:spacing w:val="-3"/>
        </w:rPr>
        <w:t xml:space="preserve"> </w:t>
      </w:r>
      <w:r>
        <w:rPr>
          <w:color w:val="211F1F"/>
        </w:rPr>
        <w:t>evaluated</w:t>
      </w:r>
      <w:r>
        <w:rPr>
          <w:color w:val="211F1F"/>
          <w:spacing w:val="-3"/>
        </w:rPr>
        <w:t xml:space="preserve"> </w:t>
      </w:r>
      <w:r>
        <w:rPr>
          <w:color w:val="211F1F"/>
        </w:rPr>
        <w:t>on</w:t>
      </w:r>
      <w:r>
        <w:rPr>
          <w:color w:val="211F1F"/>
          <w:spacing w:val="-4"/>
        </w:rPr>
        <w:t xml:space="preserve"> </w:t>
      </w:r>
      <w:r>
        <w:rPr>
          <w:color w:val="211F1F"/>
        </w:rPr>
        <w:t>their</w:t>
      </w:r>
      <w:r>
        <w:rPr>
          <w:color w:val="211F1F"/>
          <w:spacing w:val="-3"/>
        </w:rPr>
        <w:t xml:space="preserve"> </w:t>
      </w:r>
      <w:r>
        <w:rPr>
          <w:color w:val="211F1F"/>
        </w:rPr>
        <w:t>capability</w:t>
      </w:r>
      <w:r>
        <w:rPr>
          <w:color w:val="211F1F"/>
          <w:spacing w:val="-3"/>
        </w:rPr>
        <w:t xml:space="preserve"> </w:t>
      </w:r>
      <w:r>
        <w:rPr>
          <w:color w:val="211F1F"/>
        </w:rPr>
        <w:t>to</w:t>
      </w:r>
      <w:r>
        <w:rPr>
          <w:color w:val="211F1F"/>
          <w:spacing w:val="-3"/>
        </w:rPr>
        <w:t xml:space="preserve"> </w:t>
      </w:r>
      <w:r>
        <w:rPr>
          <w:color w:val="211F1F"/>
        </w:rPr>
        <w:t>provide</w:t>
      </w:r>
      <w:r>
        <w:rPr>
          <w:color w:val="211F1F"/>
          <w:spacing w:val="-3"/>
        </w:rPr>
        <w:t xml:space="preserve"> </w:t>
      </w:r>
      <w:r>
        <w:rPr>
          <w:color w:val="211F1F"/>
        </w:rPr>
        <w:t>the</w:t>
      </w:r>
      <w:r>
        <w:rPr>
          <w:color w:val="211F1F"/>
          <w:spacing w:val="-3"/>
        </w:rPr>
        <w:t xml:space="preserve"> </w:t>
      </w:r>
      <w:r>
        <w:rPr>
          <w:color w:val="211F1F"/>
        </w:rPr>
        <w:t>product</w:t>
      </w:r>
      <w:r>
        <w:rPr>
          <w:color w:val="211F1F"/>
          <w:spacing w:val="-3"/>
        </w:rPr>
        <w:t xml:space="preserve"> </w:t>
      </w:r>
      <w:r>
        <w:rPr>
          <w:color w:val="211F1F"/>
        </w:rPr>
        <w:t>to</w:t>
      </w:r>
      <w:r>
        <w:rPr>
          <w:color w:val="211F1F"/>
          <w:spacing w:val="-3"/>
        </w:rPr>
        <w:t xml:space="preserve"> </w:t>
      </w:r>
      <w:r>
        <w:rPr>
          <w:color w:val="211F1F"/>
        </w:rPr>
        <w:t>the</w:t>
      </w:r>
      <w:r>
        <w:rPr>
          <w:color w:val="211F1F"/>
          <w:spacing w:val="-3"/>
        </w:rPr>
        <w:t xml:space="preserve"> </w:t>
      </w:r>
      <w:proofErr w:type="gramStart"/>
      <w:r>
        <w:rPr>
          <w:color w:val="211F1F"/>
        </w:rPr>
        <w:t>specifications</w:t>
      </w:r>
      <w:r>
        <w:rPr>
          <w:color w:val="211F1F"/>
          <w:spacing w:val="-3"/>
        </w:rPr>
        <w:t xml:space="preserve"> </w:t>
      </w:r>
      <w:r>
        <w:rPr>
          <w:color w:val="211F1F"/>
        </w:rPr>
        <w:t>as</w:t>
      </w:r>
      <w:proofErr w:type="gramEnd"/>
      <w:r>
        <w:rPr>
          <w:color w:val="211F1F"/>
        </w:rPr>
        <w:t xml:space="preserve"> stated on the notice.</w:t>
      </w:r>
    </w:p>
    <w:p w14:paraId="24487DCD" w14:textId="77777777" w:rsidR="000C4EEE" w:rsidRDefault="000C4EEE">
      <w:pPr>
        <w:pStyle w:val="BodyText"/>
        <w:spacing w:before="18"/>
      </w:pPr>
    </w:p>
    <w:p w14:paraId="24487DCE" w14:textId="1642190E" w:rsidR="000C4EEE" w:rsidRDefault="00C81BA0">
      <w:pPr>
        <w:pStyle w:val="ListParagraph"/>
        <w:numPr>
          <w:ilvl w:val="0"/>
          <w:numId w:val="1"/>
        </w:numPr>
        <w:tabs>
          <w:tab w:val="left" w:pos="939"/>
        </w:tabs>
        <w:rPr>
          <w:rFonts w:ascii="Calibri"/>
          <w:sz w:val="24"/>
        </w:rPr>
      </w:pPr>
      <w:r>
        <w:rPr>
          <w:rFonts w:ascii="Calibri"/>
          <w:color w:val="211F1F"/>
          <w:sz w:val="24"/>
        </w:rPr>
        <w:t>NIDDK</w:t>
      </w:r>
      <w:r>
        <w:rPr>
          <w:rFonts w:ascii="Calibri"/>
          <w:color w:val="211F1F"/>
          <w:spacing w:val="-3"/>
          <w:sz w:val="24"/>
        </w:rPr>
        <w:t xml:space="preserve"> </w:t>
      </w:r>
      <w:r>
        <w:rPr>
          <w:rFonts w:ascii="Calibri"/>
          <w:color w:val="211F1F"/>
          <w:sz w:val="24"/>
        </w:rPr>
        <w:t>shall</w:t>
      </w:r>
      <w:r>
        <w:rPr>
          <w:rFonts w:ascii="Calibri"/>
          <w:color w:val="211F1F"/>
          <w:spacing w:val="-2"/>
          <w:sz w:val="24"/>
        </w:rPr>
        <w:t xml:space="preserve"> </w:t>
      </w:r>
      <w:r>
        <w:rPr>
          <w:rFonts w:ascii="Calibri"/>
          <w:color w:val="211F1F"/>
          <w:sz w:val="24"/>
        </w:rPr>
        <w:t>be</w:t>
      </w:r>
      <w:r>
        <w:rPr>
          <w:rFonts w:ascii="Calibri"/>
          <w:color w:val="211F1F"/>
          <w:spacing w:val="-2"/>
          <w:sz w:val="24"/>
        </w:rPr>
        <w:t xml:space="preserve"> </w:t>
      </w:r>
      <w:r>
        <w:rPr>
          <w:rFonts w:ascii="Calibri"/>
          <w:color w:val="211F1F"/>
          <w:sz w:val="24"/>
        </w:rPr>
        <w:t>granted</w:t>
      </w:r>
      <w:r>
        <w:rPr>
          <w:rFonts w:ascii="Calibri"/>
          <w:color w:val="211F1F"/>
          <w:spacing w:val="-3"/>
          <w:sz w:val="24"/>
        </w:rPr>
        <w:t xml:space="preserve"> </w:t>
      </w:r>
      <w:r>
        <w:rPr>
          <w:rFonts w:ascii="Calibri"/>
          <w:color w:val="211F1F"/>
          <w:sz w:val="24"/>
        </w:rPr>
        <w:t>GraphPad</w:t>
      </w:r>
      <w:r>
        <w:rPr>
          <w:rFonts w:ascii="Calibri"/>
          <w:color w:val="211F1F"/>
          <w:spacing w:val="-3"/>
          <w:sz w:val="24"/>
        </w:rPr>
        <w:t xml:space="preserve"> </w:t>
      </w:r>
      <w:r>
        <w:rPr>
          <w:rFonts w:ascii="Calibri"/>
          <w:color w:val="211F1F"/>
          <w:sz w:val="24"/>
        </w:rPr>
        <w:t>Prism</w:t>
      </w:r>
      <w:r>
        <w:rPr>
          <w:rFonts w:ascii="Calibri"/>
          <w:color w:val="211F1F"/>
          <w:spacing w:val="-2"/>
          <w:sz w:val="24"/>
        </w:rPr>
        <w:t xml:space="preserve"> license subscription.</w:t>
      </w:r>
    </w:p>
    <w:p w14:paraId="24487DCF" w14:textId="77777777" w:rsidR="000C4EEE" w:rsidRDefault="000C4EEE">
      <w:pPr>
        <w:pStyle w:val="BodyText"/>
        <w:spacing w:before="44"/>
      </w:pPr>
    </w:p>
    <w:p w14:paraId="24487DD0" w14:textId="0C882B5C" w:rsidR="000C4EEE" w:rsidRDefault="00C81BA0">
      <w:pPr>
        <w:pStyle w:val="ListParagraph"/>
        <w:numPr>
          <w:ilvl w:val="0"/>
          <w:numId w:val="1"/>
        </w:numPr>
        <w:tabs>
          <w:tab w:val="left" w:pos="940"/>
        </w:tabs>
        <w:ind w:left="940" w:right="268" w:hanging="840"/>
        <w:rPr>
          <w:sz w:val="24"/>
        </w:rPr>
      </w:pPr>
      <w:r>
        <w:rPr>
          <w:rFonts w:ascii="Calibri" w:hAnsi="Calibri"/>
          <w:color w:val="211F1F"/>
          <w:sz w:val="24"/>
        </w:rPr>
        <w:t>NIDDK</w:t>
      </w:r>
      <w:r>
        <w:rPr>
          <w:rFonts w:ascii="Calibri" w:hAnsi="Calibri"/>
          <w:color w:val="211F1F"/>
          <w:spacing w:val="-11"/>
          <w:sz w:val="24"/>
        </w:rPr>
        <w:t xml:space="preserve"> </w:t>
      </w:r>
      <w:r>
        <w:rPr>
          <w:rFonts w:ascii="Calibri" w:hAnsi="Calibri"/>
          <w:color w:val="211F1F"/>
          <w:sz w:val="24"/>
        </w:rPr>
        <w:t>shall</w:t>
      </w:r>
      <w:r>
        <w:rPr>
          <w:rFonts w:ascii="Calibri" w:hAnsi="Calibri"/>
          <w:color w:val="211F1F"/>
          <w:spacing w:val="-8"/>
          <w:sz w:val="24"/>
        </w:rPr>
        <w:t xml:space="preserve"> </w:t>
      </w:r>
      <w:r>
        <w:rPr>
          <w:rFonts w:ascii="Calibri" w:hAnsi="Calibri"/>
          <w:color w:val="211F1F"/>
          <w:sz w:val="24"/>
        </w:rPr>
        <w:t>be</w:t>
      </w:r>
      <w:r>
        <w:rPr>
          <w:rFonts w:ascii="Calibri" w:hAnsi="Calibri"/>
          <w:color w:val="211F1F"/>
          <w:spacing w:val="-9"/>
          <w:sz w:val="24"/>
        </w:rPr>
        <w:t xml:space="preserve"> </w:t>
      </w:r>
      <w:r>
        <w:rPr>
          <w:rFonts w:ascii="Calibri" w:hAnsi="Calibri"/>
          <w:color w:val="211F1F"/>
          <w:sz w:val="24"/>
        </w:rPr>
        <w:t>given</w:t>
      </w:r>
      <w:r>
        <w:rPr>
          <w:rFonts w:ascii="Calibri" w:hAnsi="Calibri"/>
          <w:color w:val="211F1F"/>
          <w:spacing w:val="-10"/>
          <w:sz w:val="24"/>
        </w:rPr>
        <w:t xml:space="preserve"> </w:t>
      </w:r>
      <w:r>
        <w:rPr>
          <w:rFonts w:ascii="Calibri" w:hAnsi="Calibri"/>
          <w:color w:val="211F1F"/>
          <w:sz w:val="24"/>
        </w:rPr>
        <w:t>access</w:t>
      </w:r>
      <w:r>
        <w:rPr>
          <w:rFonts w:ascii="Calibri" w:hAnsi="Calibri"/>
          <w:color w:val="211F1F"/>
          <w:spacing w:val="-12"/>
          <w:sz w:val="24"/>
        </w:rPr>
        <w:t xml:space="preserve"> </w:t>
      </w:r>
      <w:r>
        <w:rPr>
          <w:rFonts w:ascii="Calibri" w:hAnsi="Calibri"/>
          <w:color w:val="211F1F"/>
          <w:sz w:val="24"/>
        </w:rPr>
        <w:t>to</w:t>
      </w:r>
      <w:r>
        <w:rPr>
          <w:rFonts w:ascii="Calibri" w:hAnsi="Calibri"/>
          <w:color w:val="211F1F"/>
          <w:spacing w:val="-9"/>
          <w:sz w:val="24"/>
        </w:rPr>
        <w:t xml:space="preserve"> </w:t>
      </w:r>
      <w:r>
        <w:rPr>
          <w:rFonts w:ascii="Calibri" w:hAnsi="Calibri"/>
          <w:color w:val="211F1F"/>
          <w:sz w:val="24"/>
        </w:rPr>
        <w:t>assign</w:t>
      </w:r>
      <w:r>
        <w:rPr>
          <w:rFonts w:ascii="Calibri" w:hAnsi="Calibri"/>
          <w:color w:val="211F1F"/>
          <w:spacing w:val="-8"/>
          <w:sz w:val="24"/>
        </w:rPr>
        <w:t xml:space="preserve"> </w:t>
      </w:r>
      <w:r>
        <w:rPr>
          <w:rFonts w:ascii="Calibri" w:hAnsi="Calibri"/>
          <w:color w:val="211F1F"/>
          <w:sz w:val="24"/>
        </w:rPr>
        <w:t>licenses</w:t>
      </w:r>
      <w:r>
        <w:rPr>
          <w:rFonts w:ascii="Calibri" w:hAnsi="Calibri"/>
          <w:color w:val="211F1F"/>
          <w:spacing w:val="-11"/>
          <w:sz w:val="24"/>
        </w:rPr>
        <w:t xml:space="preserve"> </w:t>
      </w:r>
      <w:r>
        <w:rPr>
          <w:rFonts w:ascii="Calibri" w:hAnsi="Calibri"/>
          <w:color w:val="211F1F"/>
          <w:sz w:val="24"/>
        </w:rPr>
        <w:t>to</w:t>
      </w:r>
      <w:r>
        <w:rPr>
          <w:rFonts w:ascii="Calibri" w:hAnsi="Calibri"/>
          <w:color w:val="211F1F"/>
          <w:spacing w:val="-13"/>
          <w:sz w:val="24"/>
        </w:rPr>
        <w:t xml:space="preserve"> </w:t>
      </w:r>
      <w:r>
        <w:rPr>
          <w:rFonts w:ascii="Calibri" w:hAnsi="Calibri"/>
          <w:color w:val="211F1F"/>
          <w:sz w:val="24"/>
        </w:rPr>
        <w:t>NIDDK</w:t>
      </w:r>
      <w:r>
        <w:rPr>
          <w:rFonts w:ascii="Calibri" w:hAnsi="Calibri"/>
          <w:color w:val="211F1F"/>
          <w:spacing w:val="-10"/>
          <w:sz w:val="24"/>
        </w:rPr>
        <w:t xml:space="preserve"> </w:t>
      </w:r>
      <w:r>
        <w:rPr>
          <w:rFonts w:ascii="Calibri" w:hAnsi="Calibri"/>
          <w:color w:val="211F1F"/>
          <w:sz w:val="24"/>
        </w:rPr>
        <w:t>Computer</w:t>
      </w:r>
      <w:r>
        <w:rPr>
          <w:rFonts w:ascii="Calibri" w:hAnsi="Calibri"/>
          <w:color w:val="211F1F"/>
          <w:spacing w:val="-14"/>
          <w:sz w:val="24"/>
        </w:rPr>
        <w:t xml:space="preserve"> </w:t>
      </w:r>
      <w:r>
        <w:rPr>
          <w:rFonts w:ascii="Calibri" w:hAnsi="Calibri"/>
          <w:color w:val="211F1F"/>
          <w:sz w:val="24"/>
        </w:rPr>
        <w:t>Technology</w:t>
      </w:r>
      <w:r>
        <w:rPr>
          <w:rFonts w:ascii="Calibri" w:hAnsi="Calibri"/>
          <w:color w:val="211F1F"/>
          <w:spacing w:val="-7"/>
          <w:sz w:val="24"/>
        </w:rPr>
        <w:t xml:space="preserve"> </w:t>
      </w:r>
      <w:r>
        <w:rPr>
          <w:rFonts w:ascii="Calibri" w:hAnsi="Calibri"/>
          <w:color w:val="211F1F"/>
          <w:sz w:val="24"/>
        </w:rPr>
        <w:t>Branch</w:t>
      </w:r>
      <w:r>
        <w:rPr>
          <w:rFonts w:ascii="Calibri" w:hAnsi="Calibri"/>
          <w:color w:val="211F1F"/>
          <w:spacing w:val="-9"/>
          <w:sz w:val="24"/>
        </w:rPr>
        <w:t xml:space="preserve"> </w:t>
      </w:r>
      <w:r>
        <w:rPr>
          <w:rFonts w:ascii="Calibri" w:hAnsi="Calibri"/>
          <w:color w:val="211F1F"/>
          <w:sz w:val="24"/>
        </w:rPr>
        <w:t xml:space="preserve">(CTB) staff via GraphPad’s Prism Group Subscription Account management interface. </w:t>
      </w:r>
      <w:r>
        <w:rPr>
          <w:sz w:val="24"/>
        </w:rPr>
        <w:t>Confirmation of access to the licensing will be confirmed via the vendor’s online portal: (</w:t>
      </w:r>
      <w:r w:rsidR="00FB3E29" w:rsidRPr="00FB3E29">
        <w:rPr>
          <w:color w:val="0000FF"/>
          <w:sz w:val="24"/>
          <w:u w:val="single" w:color="0000FF"/>
        </w:rPr>
        <w:t>https://www.graphpad.com/myaccount/subscription/?subscriptionID=2677424</w:t>
      </w:r>
      <w:r w:rsidR="00A76843">
        <w:rPr>
          <w:sz w:val="24"/>
        </w:rPr>
        <w:t xml:space="preserve">) </w:t>
      </w:r>
      <w:r>
        <w:rPr>
          <w:sz w:val="24"/>
        </w:rPr>
        <w:t>upon</w:t>
      </w:r>
      <w:r>
        <w:rPr>
          <w:spacing w:val="40"/>
          <w:sz w:val="24"/>
        </w:rPr>
        <w:t xml:space="preserve"> </w:t>
      </w:r>
      <w:r>
        <w:rPr>
          <w:sz w:val="24"/>
        </w:rPr>
        <w:t>receipt of notification from the vendor that the licenses are available.</w:t>
      </w:r>
    </w:p>
    <w:sectPr w:rsidR="000C4EEE">
      <w:pgSz w:w="12240" w:h="15840"/>
      <w:pgMar w:top="900" w:right="1100" w:bottom="28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0C8"/>
    <w:multiLevelType w:val="hybridMultilevel"/>
    <w:tmpl w:val="0CCE848A"/>
    <w:lvl w:ilvl="0" w:tplc="43DA6BAC">
      <w:start w:val="1"/>
      <w:numFmt w:val="decimal"/>
      <w:lvlText w:val="%1."/>
      <w:lvlJc w:val="left"/>
      <w:pPr>
        <w:ind w:left="939" w:hanging="839"/>
        <w:jc w:val="left"/>
      </w:pPr>
      <w:rPr>
        <w:rFonts w:ascii="Calibri" w:eastAsia="Calibri" w:hAnsi="Calibri" w:cs="Calibri" w:hint="default"/>
        <w:b w:val="0"/>
        <w:bCs w:val="0"/>
        <w:i w:val="0"/>
        <w:iCs w:val="0"/>
        <w:color w:val="211F1F"/>
        <w:spacing w:val="-1"/>
        <w:w w:val="100"/>
        <w:sz w:val="24"/>
        <w:szCs w:val="24"/>
        <w:lang w:val="en-US" w:eastAsia="en-US" w:bidi="ar-SA"/>
      </w:rPr>
    </w:lvl>
    <w:lvl w:ilvl="1" w:tplc="01B00EB2">
      <w:numFmt w:val="bullet"/>
      <w:lvlText w:val="•"/>
      <w:lvlJc w:val="left"/>
      <w:pPr>
        <w:ind w:left="1848" w:hanging="839"/>
      </w:pPr>
      <w:rPr>
        <w:rFonts w:hint="default"/>
        <w:lang w:val="en-US" w:eastAsia="en-US" w:bidi="ar-SA"/>
      </w:rPr>
    </w:lvl>
    <w:lvl w:ilvl="2" w:tplc="2D6E5076">
      <w:numFmt w:val="bullet"/>
      <w:lvlText w:val="•"/>
      <w:lvlJc w:val="left"/>
      <w:pPr>
        <w:ind w:left="2756" w:hanging="839"/>
      </w:pPr>
      <w:rPr>
        <w:rFonts w:hint="default"/>
        <w:lang w:val="en-US" w:eastAsia="en-US" w:bidi="ar-SA"/>
      </w:rPr>
    </w:lvl>
    <w:lvl w:ilvl="3" w:tplc="57B65F26">
      <w:numFmt w:val="bullet"/>
      <w:lvlText w:val="•"/>
      <w:lvlJc w:val="left"/>
      <w:pPr>
        <w:ind w:left="3664" w:hanging="839"/>
      </w:pPr>
      <w:rPr>
        <w:rFonts w:hint="default"/>
        <w:lang w:val="en-US" w:eastAsia="en-US" w:bidi="ar-SA"/>
      </w:rPr>
    </w:lvl>
    <w:lvl w:ilvl="4" w:tplc="BD8E8C80">
      <w:numFmt w:val="bullet"/>
      <w:lvlText w:val="•"/>
      <w:lvlJc w:val="left"/>
      <w:pPr>
        <w:ind w:left="4572" w:hanging="839"/>
      </w:pPr>
      <w:rPr>
        <w:rFonts w:hint="default"/>
        <w:lang w:val="en-US" w:eastAsia="en-US" w:bidi="ar-SA"/>
      </w:rPr>
    </w:lvl>
    <w:lvl w:ilvl="5" w:tplc="9D14AB9E">
      <w:numFmt w:val="bullet"/>
      <w:lvlText w:val="•"/>
      <w:lvlJc w:val="left"/>
      <w:pPr>
        <w:ind w:left="5480" w:hanging="839"/>
      </w:pPr>
      <w:rPr>
        <w:rFonts w:hint="default"/>
        <w:lang w:val="en-US" w:eastAsia="en-US" w:bidi="ar-SA"/>
      </w:rPr>
    </w:lvl>
    <w:lvl w:ilvl="6" w:tplc="6FB60F7A">
      <w:numFmt w:val="bullet"/>
      <w:lvlText w:val="•"/>
      <w:lvlJc w:val="left"/>
      <w:pPr>
        <w:ind w:left="6388" w:hanging="839"/>
      </w:pPr>
      <w:rPr>
        <w:rFonts w:hint="default"/>
        <w:lang w:val="en-US" w:eastAsia="en-US" w:bidi="ar-SA"/>
      </w:rPr>
    </w:lvl>
    <w:lvl w:ilvl="7" w:tplc="F9609D9E">
      <w:numFmt w:val="bullet"/>
      <w:lvlText w:val="•"/>
      <w:lvlJc w:val="left"/>
      <w:pPr>
        <w:ind w:left="7296" w:hanging="839"/>
      </w:pPr>
      <w:rPr>
        <w:rFonts w:hint="default"/>
        <w:lang w:val="en-US" w:eastAsia="en-US" w:bidi="ar-SA"/>
      </w:rPr>
    </w:lvl>
    <w:lvl w:ilvl="8" w:tplc="21B0CDDA">
      <w:numFmt w:val="bullet"/>
      <w:lvlText w:val="•"/>
      <w:lvlJc w:val="left"/>
      <w:pPr>
        <w:ind w:left="8204" w:hanging="839"/>
      </w:pPr>
      <w:rPr>
        <w:rFonts w:hint="default"/>
        <w:lang w:val="en-US" w:eastAsia="en-US" w:bidi="ar-SA"/>
      </w:rPr>
    </w:lvl>
  </w:abstractNum>
  <w:num w:numId="1" w16cid:durableId="82386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EEE"/>
    <w:rsid w:val="000C4EEE"/>
    <w:rsid w:val="00311B13"/>
    <w:rsid w:val="00334434"/>
    <w:rsid w:val="003E02F2"/>
    <w:rsid w:val="0042624B"/>
    <w:rsid w:val="00446982"/>
    <w:rsid w:val="00484314"/>
    <w:rsid w:val="004D5682"/>
    <w:rsid w:val="007F6AE4"/>
    <w:rsid w:val="008A4F51"/>
    <w:rsid w:val="008A66E1"/>
    <w:rsid w:val="00A76843"/>
    <w:rsid w:val="00C81BA0"/>
    <w:rsid w:val="00C82BC7"/>
    <w:rsid w:val="00CA7E94"/>
    <w:rsid w:val="00F06FD2"/>
    <w:rsid w:val="00F54338"/>
    <w:rsid w:val="00FA4515"/>
    <w:rsid w:val="00FB3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7D95"/>
  <w15:docId w15:val="{CE0D76A6-39FA-48A4-81E3-B4DE4220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2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39" w:hanging="840"/>
    </w:pPr>
    <w:rPr>
      <w:rFonts w:ascii="Times New Roman" w:eastAsia="Times New Roman" w:hAnsi="Times New Roman" w:cs="Times New Roman"/>
    </w:rPr>
  </w:style>
  <w:style w:type="paragraph" w:customStyle="1" w:styleId="TableParagraph">
    <w:name w:val="Table Paragraph"/>
    <w:basedOn w:val="Normal"/>
    <w:uiPriority w:val="1"/>
    <w:qFormat/>
    <w:pPr>
      <w:ind w:left="112"/>
    </w:pPr>
  </w:style>
  <w:style w:type="paragraph" w:styleId="Revision">
    <w:name w:val="Revision"/>
    <w:hidden/>
    <w:uiPriority w:val="99"/>
    <w:semiHidden/>
    <w:rsid w:val="0042624B"/>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42624B"/>
    <w:rPr>
      <w:sz w:val="16"/>
      <w:szCs w:val="16"/>
    </w:rPr>
  </w:style>
  <w:style w:type="paragraph" w:styleId="CommentText">
    <w:name w:val="annotation text"/>
    <w:basedOn w:val="Normal"/>
    <w:link w:val="CommentTextChar"/>
    <w:uiPriority w:val="99"/>
    <w:unhideWhenUsed/>
    <w:rsid w:val="0042624B"/>
    <w:rPr>
      <w:sz w:val="20"/>
      <w:szCs w:val="20"/>
    </w:rPr>
  </w:style>
  <w:style w:type="character" w:customStyle="1" w:styleId="CommentTextChar">
    <w:name w:val="Comment Text Char"/>
    <w:basedOn w:val="DefaultParagraphFont"/>
    <w:link w:val="CommentText"/>
    <w:uiPriority w:val="99"/>
    <w:rsid w:val="0042624B"/>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42624B"/>
    <w:rPr>
      <w:b/>
      <w:bCs/>
    </w:rPr>
  </w:style>
  <w:style w:type="character" w:customStyle="1" w:styleId="CommentSubjectChar">
    <w:name w:val="Comment Subject Char"/>
    <w:basedOn w:val="CommentTextChar"/>
    <w:link w:val="CommentSubject"/>
    <w:uiPriority w:val="99"/>
    <w:semiHidden/>
    <w:rsid w:val="0042624B"/>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am.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8</TotalTime>
  <Pages>3</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(Notice of Intent) Synopsis</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Intent) Synopsis</dc:title>
  <dc:subject>Exhibit #3 to SOP</dc:subject>
  <dc:creator>Griffin, Verne (NIH/NICHD) [E]</dc:creator>
  <cp:keywords>Heart, Lung, Blood, Pre-solicitation Non-competitive (Notice of Intent) Synopsis</cp:keywords>
  <cp:lastModifiedBy>Griffin, Verne (NIH/NICHD) [E]</cp:lastModifiedBy>
  <cp:revision>2</cp:revision>
  <dcterms:created xsi:type="dcterms:W3CDTF">2025-04-07T15:08:00Z</dcterms:created>
  <dcterms:modified xsi:type="dcterms:W3CDTF">2025-04-07T15:08:00Z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2023-03-22T00:00:00Z</vt:filetime>
  </property>
  <property fmtid="{D5CDD505-2E9C-101B-9397-08002B2CF9AE}" pid="3" name="Creator">
    <vt:lpwstr>Acrobat PDFMaker 23 for Word</vt:lpwstr>
  </property>
  <property fmtid="{D5CDD505-2E9C-101B-9397-08002B2CF9AE}" pid="4" name="LastSaved">
    <vt:filetime>2025-04-04T00:00:00Z</vt:filetime>
  </property>
  <property fmtid="{D5CDD505-2E9C-101B-9397-08002B2CF9AE}" pid="5" name="Producer">
    <vt:lpwstr>Adobe PDF Library 23.1.125</vt:lpwstr>
  </property>
  <property fmtid="{D5CDD505-2E9C-101B-9397-08002B2CF9AE}" pid="6" name="SourceModified">
    <vt:lpwstr/>
  </property>
</Properties>
</file>