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 L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CORPORATE EXPERIENCE TEMPLATE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45"/>
        <w:gridCol w:w="5305"/>
        <w:tblGridChange w:id="0">
          <w:tblGrid>
            <w:gridCol w:w="4045"/>
            <w:gridCol w:w="530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Corporate Experience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Awarding Agency: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Program/Project Title: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Contract number: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Contract vehicle (e.g., IDIQ, GSA Schedule, GWAC):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Contract ceiling per year and in total: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amount of funding applied per year and in total: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contractor personnel supporting the effort: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List of labor categories: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Contractor’s role – prime or subcontractor and percentage and type of work performed: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Period of performance (include month/year for base and all option periods):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Contract type (e.g., FFP, T&amp;M, CPFF):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 level of work: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Organization supported: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2"/>
            <w:shd w:fill="dbe5f1" w:val="clear"/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 of the work performed including the services provided, how it relates to the RFP (Tasks and Subtasks of Section C), and relevance in terms of size, scope, and/or complexity.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2"/>
            <w:shd w:fill="dbe5f1" w:val="clear"/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Roles and Responsibilities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 of the offeror’s roles and responsibilities and how it relates to the RFP requirements.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Version 12/10/2024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Version 10/31/2025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12700</wp:posOffset>
          </wp:positionV>
          <wp:extent cx="531495" cy="45720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149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5238750</wp:posOffset>
          </wp:positionH>
          <wp:positionV relativeFrom="paragraph">
            <wp:posOffset>9525</wp:posOffset>
          </wp:positionV>
          <wp:extent cx="628650" cy="36195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36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Jt5HH4mRelJNskdwNlV8RwuCyQ==">CgMxLjA4AHIhMU9PemF4LWctWVIxdGdRWWFoenNNYlMwVC1VTm83dlls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