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720" w:right="720" w:bottom="720" w:left="720" w:header="360" w:footer="360"/>
          <w:cols w:space="720"/>
        </w:sectPr>
      </w:pP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247;mso-position-horizontal-relative:page;mso-position-vertical-relative:page;position:absolute;top:806;width:11722" o:connectortype="straight" strokeweight="1.9pt"/>
            <v:shapetype id="_x0000_t202" coordsize="21600,21600" o:spt="202" path="m,l,21600r21600,l21600,xe">
              <v:stroke joinstyle="miter"/>
              <v:path gradientshapeok="t" o:connecttype="rect"/>
            </v:shapetype>
            <v:shape id="_x0000_s1027" type="#_x0000_t202" style="height:152;left:247;mso-position-horizontal-relative:page;mso-position-vertical-relative:page;position:absolute;top:68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247;mso-position-horizontal-relative:page;mso-position-vertical-relative:page;position:absolute;top:1233;width:11731" o:connectortype="straight" strokeweight="0.5pt"/>
            <v:shape id="_x0000_s1029" type="#_x0000_t202" style="height:152;left:247;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247;mso-position-horizontal-relative:page;mso-position-vertical-relative:page;position:absolute;top:1857;width:11731" o:connectortype="straight" strokeweight="0.5pt"/>
            <v:shape id="_x0000_s1031" type="#_x0000_t202" style="height:152;left:247;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247;mso-position-horizontal-relative:page;mso-position-vertical-relative:page;position:absolute;top:3489;width:11731" o:connectortype="straight" strokeweight="0.5pt"/>
            <v:shape id="_x0000_s1033" type="#_x0000_t202" style="height:152;left:247;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247;mso-position-horizontal-relative:page;mso-position-vertical-relative:page;position:absolute;top:5745;width:11731" o:connectortype="straight" strokeweight="0.5pt"/>
            <v:shape id="_x0000_s1035" type="#_x0000_t202" style="height:152;left:247;mso-position-horizontal-relative:page;mso-position-vertical-relative:page;position:absolute;top:56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247;mso-position-horizontal-relative:page;mso-position-vertical-relative:page;position:absolute;top:6014;width:11736" o:connectortype="straight" strokeweight="0.5pt"/>
            <v:shape id="_x0000_s1037" type="#_x0000_t202" style="height:152;left:247;mso-position-horizontal-relative:page;mso-position-vertical-relative:page;position:absolute;top:590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247;mso-position-horizontal-relative:page;mso-position-vertical-relative:page;position:absolute;top:7727;width:11736" o:connectortype="straight" strokeweight="0.5pt"/>
            <v:shape id="_x0000_s1039" type="#_x0000_t202" style="height:152;left:247;mso-position-horizontal-relative:page;mso-position-vertical-relative:page;position:absolute;top:762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247;mso-position-horizontal-relative:page;mso-position-vertical-relative:page;position:absolute;top:8241;width:11741" o:connectortype="straight" strokeweight="0.5pt"/>
            <v:shape id="_x0000_s1041" type="#_x0000_t202" style="height:152;left:247;mso-position-horizontal-relative:page;mso-position-vertical-relative:page;position:absolute;top:81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247;mso-position-horizontal-relative:page;mso-position-vertical-relative:page;position:absolute;top:8673;width:11741" o:connectortype="straight" strokeweight="0.5pt"/>
            <v:shape id="_x0000_s1043" type="#_x0000_t202" style="height:152;left:247;mso-position-horizontal-relative:page;mso-position-vertical-relative:page;position:absolute;top:85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247;mso-position-horizontal-relative:page;mso-position-vertical-relative:page;position:absolute;top:9167;width:11741" o:connectortype="straight" strokeweight="0.5pt"/>
            <v:shape id="_x0000_s1045" type="#_x0000_t202" style="height:152;left:247;mso-position-horizontal-relative:page;mso-position-vertical-relative:page;position:absolute;top:906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247;mso-position-horizontal-relative:page;mso-position-vertical-relative:page;position:absolute;top:9662;width:11741" o:connectortype="straight" strokeweight="0.5pt"/>
            <v:shape id="_x0000_s1047" type="#_x0000_t202" style="height:152;left:247;mso-position-horizontal-relative:page;mso-position-vertical-relative:page;position:absolute;top:95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247;mso-position-horizontal-relative:page;mso-position-vertical-relative:page;position:absolute;top:10142;width:11746" o:connectortype="straight" strokeweight="0.5pt"/>
            <v:shape id="_x0000_s1049" type="#_x0000_t202" style="height:152;left:247;mso-position-horizontal-relative:page;mso-position-vertical-relative:page;position:absolute;top:1003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0;left:247;mso-position-horizontal-relative:page;mso-position-vertical-relative:page;position:absolute;top:10636;width:11741" o:connectortype="straight" strokeweight="0.5pt"/>
            <v:shape id="_x0000_s1051" type="#_x0000_t202" style="height:152;left:247;mso-position-horizontal-relative:page;mso-position-vertical-relative:page;position:absolute;top:105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0;left:247;mso-position-horizontal-relative:page;mso-position-vertical-relative:page;position:absolute;top:11039;width:11741" o:connectortype="straight" strokeweight="0.5pt"/>
            <v:shape id="_x0000_s1053" type="#_x0000_t202" style="height:152;left:247;mso-position-horizontal-relative:page;mso-position-vertical-relative:page;position:absolute;top:1093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0;left:247;mso-position-horizontal-relative:page;mso-position-vertical-relative:page;position:absolute;top:13593;width:11746" o:connectortype="straight" strokeweight="0.5pt"/>
            <v:shape id="_x0000_s1055" type="#_x0000_t202" style="height:152;left:247;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247;mso-position-horizontal-relative:page;mso-position-vertical-relative:page;position:absolute;top:14308;width:11746" o:connectortype="straight" strokeweight="0.5pt"/>
            <v:shape id="_x0000_s1057" type="#_x0000_t202" style="height:152;left:247;mso-position-horizontal-relative:page;mso-position-vertical-relative:page;position:absolute;top:14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height:0;left:247;mso-position-horizontal-relative:page;mso-position-vertical-relative:page;position:absolute;top:15023;width:11746" o:connectortype="straight" strokeweight="1.9pt"/>
            <v:shape id="_x0000_s1059" type="#_x0000_t202" style="height:152;left:247;mso-position-horizontal-relative:page;mso-position-vertical-relative:page;position:absolute;top:1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height:446;left:6403;mso-position-horizontal-relative:page;mso-position-vertical-relative:page;position:absolute;top:787;width:0" o:connectortype="straight" strokeweight="1.7pt"/>
            <v:shape id="_x0000_s1061" type="#_x0000_t32" style="height:446;left:8429;mso-position-horizontal-relative:page;mso-position-vertical-relative:page;position:absolute;top:787;width:0" o:connectortype="straight" strokeweight="0.25pt"/>
            <v:shape id="_x0000_s1062" type="#_x0000_t32" style="height:408;left:10394;mso-position-horizontal-relative:page;mso-position-vertical-relative:page;position:absolute;top:820;width:0" o:connectortype="straight"/>
            <v:shape id="_x0000_s1063" type="#_x0000_t202" style="height:152;left:10394;mso-position-horizontal-relative:page;mso-position-vertical-relative:page;position:absolute;top:7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height:216;left:11042;mso-position-horizontal-relative:page;mso-position-vertical-relative:page;position:absolute;top:1017;width:0" o:connectortype="straight"/>
            <v:shape id="_x0000_s1065" type="#_x0000_t202" style="height:152;left:11042;mso-position-horizontal-relative:page;mso-position-vertical-relative:page;position:absolute;top: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height:922;left:4082;mso-position-horizontal-relative:page;mso-position-vertical-relative:page;position:absolute;top:1228;width:0" o:connectortype="straight"/>
            <v:shape id="_x0000_s1067" type="#_x0000_t202" style="height:152;left:4082;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height:2261;left:6046;mso-position-horizontal-relative:page;mso-position-vertical-relative:page;position:absolute;top:1228;width:0" o:connectortype="straight"/>
            <v:shape id="_x0000_s1069" type="#_x0000_t202" style="height:152;left:6046;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height:614;left:9842;mso-position-horizontal-relative:page;mso-position-vertical-relative:page;position:absolute;top:1243;width:0" o:connectortype="straight"/>
            <v:shape id="_x0000_s1071" type="#_x0000_t202" style="height:152;left:9842;mso-position-horizontal-relative:page;mso-position-vertical-relative:page;position:absolute;top:11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88;left:10255;mso-position-horizontal-relative:page;mso-position-vertical-relative:page;position:absolute;top:1852;width:0" o:connectortype="straight"/>
            <v:shape id="_x0000_s1073" type="#_x0000_t202" style="height:152;left:10255;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4082;mso-position-horizontal-relative:page;mso-position-vertical-relative:page;position:absolute;top:2145;width:1968" o:connectortype="straight" strokeweight="0.5pt"/>
            <v:shape id="_x0000_s1075" type="#_x0000_t202" style="height:152;left:4082;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0;left:10255;mso-position-horizontal-relative:page;mso-position-vertical-relative:page;position:absolute;top:2145;width:1723" o:connectortype="straight" strokeweight="0.5pt"/>
            <v:shape id="_x0000_s1077" type="#_x0000_t202" style="height:152;left:10255;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height:2266;left:7860;mso-position-horizontal-relative:page;mso-position-vertical-relative:page;position:absolute;top:3484;width:0" o:connectortype="straight"/>
            <v:shape id="_x0000_s1079" type="#_x0000_t202" style="height:152;left:7860;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height:2256;left:8234;mso-position-horizontal-relative:page;mso-position-vertical-relative:page;position:absolute;top:3484;width:0" o:connectortype="straight"/>
            <v:shape id="_x0000_s1081" type="#_x0000_t202" style="height:152;left:8234;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height:0;left:7860;mso-position-horizontal-relative:page;mso-position-vertical-relative:page;position:absolute;top:3758;width:389" o:connectortype="straight" strokeweight="0.5pt"/>
            <v:shape id="_x0000_s1083" type="#_x0000_t202" style="height:152;left:7860;mso-position-horizontal-relative:page;mso-position-vertical-relative:page;position:absolute;top:365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height:0;left:7860;mso-position-horizontal-relative:page;mso-position-vertical-relative:page;position:absolute;top:4550;width:4128" o:connectortype="straight" strokeweight="0.5pt"/>
            <v:shape id="_x0000_s1085" type="#_x0000_t202" style="height:152;left:7860;mso-position-horizontal-relative:page;mso-position-vertical-relative:page;position:absolute;top:444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height:0;left:8239;mso-position-horizontal-relative:page;mso-position-vertical-relative:page;position:absolute;top:4022;width:3730" o:connectortype="straight" strokeweight="0.5pt"/>
            <v:shape id="_x0000_s1087" type="#_x0000_t202" style="height:152;left:8239;mso-position-horizontal-relative:page;mso-position-vertical-relative:page;position:absolute;top:3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height:0;left:8239;mso-position-horizontal-relative:page;mso-position-vertical-relative:page;position:absolute;top:5222;width:3734" o:connectortype="straight" strokeweight="0.5pt"/>
            <v:shape id="_x0000_s1089" type="#_x0000_t202" style="height:152;left:8239;mso-position-horizontal-relative:page;mso-position-vertical-relative:page;position:absolute;top:51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0;left:252;mso-position-horizontal-relative:page;mso-position-vertical-relative:page;position:absolute;top:5519;width:7598" o:connectortype="straight" strokeweight="0.5pt"/>
            <v:shape id="_x0000_s1092"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height:211;left:4087;mso-position-horizontal-relative:page;mso-position-vertical-relative:page;position:absolute;top:5529;width:0" o:connectortype="straight"/>
            <v:shape id="_x0000_s1094" type="#_x0000_t202" style="height:152;left:4087;mso-position-horizontal-relative:page;mso-position-vertical-relative:page;position:absolute;top:542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height:1968;left:641;mso-position-horizontal-relative:page;mso-position-vertical-relative:page;position:absolute;top:8673;width:0" o:connectortype="straight"/>
            <v:shape id="_x0000_s1096" type="#_x0000_t202" style="height:152;left:641;mso-position-horizontal-relative:page;mso-position-vertical-relative:page;position:absolute;top:857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height:0;left:247;mso-position-horizontal-relative:page;mso-position-vertical-relative:page;position:absolute;top:8918;width:389" o:connectortype="straight" strokeweight="0.5pt"/>
            <v:shape id="_x0000_s1098" type="#_x0000_t202" style="height:152;left:247;mso-position-horizontal-relative:page;mso-position-vertical-relative:page;position:absolute;top:88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height:706;left:4538;mso-position-horizontal-relative:page;mso-position-vertical-relative:page;position:absolute;top:14308;width:0" o:connectortype="straight"/>
            <v:shape id="_x0000_s1100" type="#_x0000_t202" style="height:152;left:4538;mso-position-horizontal-relative:page;mso-position-vertical-relative:page;position:absolute;top:1420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height:1435;left:5995;mso-position-horizontal-relative:page;mso-position-vertical-relative:page;position:absolute;top:13588;width:0" o:connectortype="straight" strokeweight="1.7pt"/>
            <v:shape id="_x0000_s1102" type="#_x0000_t202" style="height:152;left:5978;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height:691;left:10198;mso-position-horizontal-relative:page;mso-position-vertical-relative:page;position:absolute;top:14313;width:0" o:connectortype="straight"/>
            <v:shape id="_x0000_s1104" type="#_x0000_t202" style="height:152;left:10198;mso-position-horizontal-relative:page;mso-position-vertical-relative:page;position:absolute;top:142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height:0;left:247;mso-position-horizontal-relative:page;mso-position-vertical-relative:page;position:absolute;top:6105;width:211" o:connectortype="straight" strokeweight="0.5pt"/>
            <v:shape id="_x0000_s1106"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height:211;left:463;mso-position-horizontal-relative:page;mso-position-vertical-relative:page;position:absolute;top:6100;width:0" o:connectortype="straight"/>
            <v:shape id="_x0000_s1108" type="#_x0000_t202" style="height:152;left:463;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0;left:247;mso-position-horizontal-relative:page;mso-position-vertical-relative:page;position:absolute;top:6316;width:211" o:connectortype="straight" strokeweight="0.5pt"/>
            <v:shape id="_x0000_s1111"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211;left:247;mso-position-horizontal-relative:page;mso-position-vertical-relative:page;position:absolute;top:6100;width:0" o:connectortype="straight"/>
            <v:shape id="_x0000_s1113"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0;left:9017;mso-position-horizontal-relative:page;mso-position-vertical-relative:page;position:absolute;top:6105;width:206" o:connectortype="straight" strokeweight="0.5pt"/>
            <v:shape id="_x0000_s1115"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211;left:9228;mso-position-horizontal-relative:page;mso-position-vertical-relative:page;position:absolute;top:6100;width:0" o:connectortype="straight"/>
            <v:shape id="_x0000_s1117" type="#_x0000_t202" style="height:152;left:92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0;left:9017;mso-position-horizontal-relative:page;mso-position-vertical-relative:page;position:absolute;top:6316;width:206" o:connectortype="straight" strokeweight="0.5pt"/>
            <v:shape id="_x0000_s1119" type="#_x0000_t202" style="height:152;left:90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211;left:9017;mso-position-horizontal-relative:page;mso-position-vertical-relative:page;position:absolute;top:6100;width:0" o:connectortype="straight"/>
            <v:shape id="_x0000_s1121"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0;left:10217;mso-position-horizontal-relative:page;mso-position-vertical-relative:page;position:absolute;top:6105;width:206" o:connectortype="straight" strokeweight="0.5pt"/>
            <v:shape id="_x0000_s1123"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211;left:10428;mso-position-horizontal-relative:page;mso-position-vertical-relative:page;position:absolute;top:6100;width:0" o:connectortype="straight"/>
            <v:shape id="_x0000_s1125" type="#_x0000_t202" style="height:152;left:104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0;left:10217;mso-position-horizontal-relative:page;mso-position-vertical-relative:page;position:absolute;top:6316;width:206" o:connectortype="straight" strokeweight="0.5pt"/>
            <v:shape id="_x0000_s1127" type="#_x0000_t202" style="height:152;left:102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211;left:10217;mso-position-horizontal-relative:page;mso-position-vertical-relative:page;position:absolute;top:6100;width:0" o:connectortype="straight"/>
            <v:shape id="_x0000_s1129"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0;left:2854;mso-position-horizontal-relative:page;mso-position-vertical-relative:page;position:absolute;top:10766;width:221" o:connectortype="straight" strokeweight="0.5pt"/>
            <v:shape id="_x0000_s1131"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221;left:3079;mso-position-horizontal-relative:page;mso-position-vertical-relative:page;position:absolute;top:10761;width:0" o:connectortype="straight"/>
            <v:shape id="_x0000_s1133" type="#_x0000_t202" style="height:152;left:3079;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2854;mso-position-horizontal-relative:page;mso-position-vertical-relative:page;position:absolute;top:10987;width:221" o:connectortype="straight" strokeweight="0.5pt"/>
            <v:shape id="_x0000_s1135" type="#_x0000_t202" style="height:152;left:2854;mso-position-horizontal-relative:page;mso-position-vertical-relative:page;position:absolute;top:108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21;left:2854;mso-position-horizontal-relative:page;mso-position-vertical-relative:page;position:absolute;top:10761;width:0" o:connectortype="straight"/>
            <v:shape id="_x0000_s1137"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3665;mso-position-horizontal-relative:page;mso-position-vertical-relative:page;position:absolute;top:10766;width:221" o:connectortype="straight" strokeweight="0.5pt"/>
            <v:shape id="_x0000_s1139" type="#_x0000_t202" style="height:152;left:3665;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26;left:3890;mso-position-horizontal-relative:page;mso-position-vertical-relative:page;position:absolute;top:10761;width:0" o:connectortype="straight"/>
            <v:shape id="_x0000_s1141" type="#_x0000_t202" style="height:152;left:3890;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height:0;left:3665;mso-position-horizontal-relative:page;mso-position-vertical-relative:page;position:absolute;top:10991;width:221" o:connectortype="straight" strokeweight="0.5pt"/>
            <v:shape id="_x0000_s1143" type="#_x0000_t32" style="height:226;left:3665;mso-position-horizontal-relative:page;mso-position-vertical-relative:page;position:absolute;top:10761;width:0" o:connectortype="straight"/>
            <v:shape id="_x0000_s1144" type="#_x0000_t32" style="height:216;left:7949;mso-position-horizontal-relative:page;mso-position-vertical-relative:page;position:absolute;top:4113;width:0" o:connectortype="straight" strokeweight="0.25pt"/>
            <v:shape id="_x0000_s1145" type="#_x0000_t32" style="height:216;left:8155;mso-position-horizontal-relative:page;mso-position-vertical-relative:page;position:absolute;top:4113;width:0" o:connectortype="straight" strokeweight="0.25pt"/>
            <v:shape id="_x0000_s1146" type="#_x0000_t32" style="height:0;left:7946;mso-position-horizontal-relative:page;mso-position-vertical-relative:page;position:absolute;top:4118;width:211" o:connectortype="straight" strokeweight="0.5pt"/>
            <v:shape id="_x0000_s1147" type="#_x0000_t32" style="height:0;left:7946;mso-position-horizontal-relative:page;mso-position-vertical-relative:page;position:absolute;top:4324;width:211" o:connectortype="straight" strokeweight="0.5pt"/>
            <v:shape id="_x0000_s1148" type="#_x0000_t32" style="height:216;left:7949;mso-position-horizontal-relative:page;mso-position-vertical-relative:page;position:absolute;top:4929;width:0" o:connectortype="straight" strokeweight="0.25pt"/>
            <v:shape id="_x0000_s1149" type="#_x0000_t32" style="height:216;left:8155;mso-position-horizontal-relative:page;mso-position-vertical-relative:page;position:absolute;top:4929;width:0" o:connectortype="straight" strokeweight="0.25pt"/>
            <v:shape id="_x0000_s1150" type="#_x0000_t32" style="height:0;left:7946;mso-position-horizontal-relative:page;mso-position-vertical-relative:page;position:absolute;top:4934;width:211" o:connectortype="straight" strokeweight="0.5pt"/>
            <v:shape id="_x0000_s1151" type="#_x0000_t32" style="height:0;left:7946;mso-position-horizontal-relative:page;mso-position-vertical-relative:page;position:absolute;top:5150;width:211" o:connectortype="straight" strokeweight="0.5pt"/>
            <v:shape id="_x0000_s1152" type="#_x0000_t32" style="height:206;left:341;mso-position-horizontal-relative:page;mso-position-vertical-relative:page;position:absolute;top:8947;width:0" o:connectortype="straight" strokeweight="0.25pt"/>
            <v:shape id="_x0000_s1153" type="#_x0000_t32" style="height:206;left:547;mso-position-horizontal-relative:page;mso-position-vertical-relative:page;position:absolute;top:8947;width:0" o:connectortype="straight" strokeweight="0.25pt"/>
            <v:shape id="_x0000_s1154" type="#_x0000_t32" style="height:0;left:338;mso-position-horizontal-relative:page;mso-position-vertical-relative:page;position:absolute;top:8942;width:211" o:connectortype="straight" strokeweight="0.5pt"/>
            <v:shape id="_x0000_s1155" type="#_x0000_t32" style="height:0;left:338;mso-position-horizontal-relative:page;mso-position-vertical-relative:page;position:absolute;top:9158;width:211" o:connectortype="straight" strokeweight="0.5pt"/>
            <v:shape id="_x0000_s1156" type="#_x0000_t32" style="height:216;left:341;mso-position-horizontal-relative:page;mso-position-vertical-relative:page;position:absolute;top:9345;width:0" o:connectortype="straight" strokeweight="0.25pt"/>
            <v:shape id="_x0000_s1157" type="#_x0000_t32" style="height:216;left:547;mso-position-horizontal-relative:page;mso-position-vertical-relative:page;position:absolute;top:9345;width:0" o:connectortype="straight" strokeweight="0.25pt"/>
            <v:shape id="_x0000_s1158" type="#_x0000_t32" style="height:0;left:338;mso-position-horizontal-relative:page;mso-position-vertical-relative:page;position:absolute;top:9350;width:211" o:connectortype="straight" strokeweight="0.5pt"/>
            <v:shape id="_x0000_s1159" type="#_x0000_t32" style="height:0;left:338;mso-position-horizontal-relative:page;mso-position-vertical-relative:page;position:absolute;top:9566;width:211" o:connectortype="straight" strokeweight="0.5pt"/>
            <v:shape id="_x0000_s1160" type="#_x0000_t32" style="height:216;left:341;mso-position-horizontal-relative:page;mso-position-vertical-relative:page;position:absolute;top:9825;width:0" o:connectortype="straight" strokeweight="0.25pt"/>
            <v:shape id="_x0000_s1161" type="#_x0000_t32" style="height:216;left:547;mso-position-horizontal-relative:page;mso-position-vertical-relative:page;position:absolute;top:9825;width:0" o:connectortype="straight" strokeweight="0.25pt"/>
            <v:shape id="_x0000_s1162" type="#_x0000_t32" style="height:0;left:338;mso-position-horizontal-relative:page;mso-position-vertical-relative:page;position:absolute;top:9830;width:211" o:connectortype="straight" strokeweight="0.5pt"/>
            <v:shape id="_x0000_s1163" type="#_x0000_t32" style="height:0;left:338;mso-position-horizontal-relative:page;mso-position-vertical-relative:page;position:absolute;top:10046;width:211" o:connectortype="straight" strokeweight="0.5pt"/>
            <v:shape id="_x0000_s1164" type="#_x0000_t32" style="height:216;left:341;mso-position-horizontal-relative:page;mso-position-vertical-relative:page;position:absolute;top:10305;width:0" o:connectortype="straight" strokeweight="0.25pt"/>
            <v:shape id="_x0000_s1165" type="#_x0000_t32" style="height:216;left:547;mso-position-horizontal-relative:page;mso-position-vertical-relative:page;position:absolute;top:10305;width:0" o:connectortype="straight" strokeweight="0.25pt"/>
            <v:shape id="_x0000_s1166" type="#_x0000_t32" style="height:0;left:338;mso-position-horizontal-relative:page;mso-position-vertical-relative:page;position:absolute;top:10310;width:211" o:connectortype="straight" strokeweight="0.5pt"/>
            <v:shape id="_x0000_s1167" type="#_x0000_t32" style="height:0;left:338;mso-position-horizontal-relative:page;mso-position-vertical-relative:page;position:absolute;top:10526;width:211" o:connectortype="straight" strokeweight="0.5pt"/>
            <v:shape id="_x0000_s1168" type="#_x0000_t32" style="height:0;left:6362;mso-position-horizontal-relative:page;mso-position-vertical-relative:page;position:absolute;top:14774;width:3701" o:connectortype="straight" strokeweight="0.5pt"/>
            <v:shape id="_x0000_s1169" type="#_x0000_t202" style="height:152;left:6362;mso-position-horizontal-relative:page;mso-position-vertical-relative:page;position:absolute;top:1466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height:0;left:415;mso-position-horizontal-relative:page;mso-position-vertical-relative:page;position:absolute;top:14774;width:3998" o:connectortype="straight" strokeweight="0.5pt"/>
            <v:shape id="_x0000_s1171" type="#_x0000_t202" style="height:152;left:9938;mso-position-horizontal-relative:page;mso-position-vertical-relative:page;position:absolute;top:1305;width:1934" filled="f" stroked="f">
              <v:textbox inset="0,0,0,0">
                <w:txbxContent>
                  <w:p>
                    <w:pPr>
                      <w:spacing w:before="0"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height:152;left:9799;mso-position-horizontal-relative:page;mso-position-vertical-relative:page;position:absolute;top:1905;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3" type="#_x0000_t202" style="height:152;left:6089;mso-position-horizontal-relative:page;mso-position-vertical-relative:page;position:absolute;top:1953;width:1216" filled="f" stroked="f">
              <v:textbox inset="0,0,0,0">
                <w:txbxContent>
                  <w:p>
                    <w:pPr>
                      <w:spacing w:before="0"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height:152;left:305;mso-position-horizontal-relative:page;mso-position-vertical-relative:page;position:absolute;top:1305;width:2286" filled="f" stroked="f">
              <v:textbox inset="0,0,0,0">
                <w:txbxContent>
                  <w:p>
                    <w:pPr>
                      <w:spacing w:before="0"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height:152;left:3622;mso-position-horizontal-relative:page;mso-position-vertical-relative:page;position:absolute;top:187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6" type="#_x0000_t202" style="height:152;left:305;mso-position-horizontal-relative:page;mso-position-vertical-relative:page;position:absolute;top:1953;width:782" filled="f" stroked="f">
              <v:textbox inset="0,0,0,0">
                <w:txbxContent>
                  <w:p>
                    <w:pPr>
                      <w:spacing w:before="0"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height:152;left:305;mso-position-horizontal-relative:page;mso-position-vertical-relative:page;position:absolute;top:3561;width:2374" filled="f" stroked="f">
              <v:textbox inset="0,0,0,0">
                <w:txbxContent>
                  <w:p>
                    <w:pPr>
                      <w:spacing w:before="0"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height:152;left:6089;mso-position-horizontal-relative:page;mso-position-vertical-relative:page;position:absolute;top:1305;width:2406" filled="f" stroked="f">
              <v:textbox inset="0,0,0,0">
                <w:txbxContent>
                  <w:p>
                    <w:pPr>
                      <w:spacing w:before="0"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height:152;left:4140;mso-position-horizontal-relative:page;mso-position-vertical-relative:page;position:absolute;top:1305;width:1135" filled="f" stroked="f">
              <v:textbox inset="0,0,0,0">
                <w:txbxContent>
                  <w:p>
                    <w:pPr>
                      <w:spacing w:before="0"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height:152;left:8268;mso-position-horizontal-relative:page;mso-position-vertical-relative:page;position:absolute;top:3547;width:2513" filled="f" stroked="f">
              <v:textbox inset="0,0,0,0">
                <w:txbxContent>
                  <w:p>
                    <w:pPr>
                      <w:spacing w:before="0"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height:152;left:8292;mso-position-horizontal-relative:page;mso-position-vertical-relative:page;position:absolute;top:4147;width:637" filled="f" stroked="f">
              <v:textbox inset="0,0,0,0">
                <w:txbxContent>
                  <w:p>
                    <w:pPr>
                      <w:spacing w:before="0"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height:152;left:10447;mso-position-horizontal-relative:page;mso-position-vertical-relative:page;position:absolute;top:883;width:1323"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height:152;left:8292;mso-position-horizontal-relative:page;mso-position-vertical-relative:page;position:absolute;top:4627;width:2953" filled="f" stroked="f">
              <v:textbox inset="0,0,0,0">
                <w:txbxContent>
                  <w:p>
                    <w:pPr>
                      <w:spacing w:before="0"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height:152;left:8292;mso-position-horizontal-relative:page;mso-position-vertical-relative:page;position:absolute;top:5289;width:700" filled="f" stroked="f">
              <v:textbox inset="0,0,0,0">
                <w:txbxContent>
                  <w:p>
                    <w:pPr>
                      <w:spacing w:before="0"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height:152;left:6530;mso-position-horizontal-relative:page;mso-position-vertical-relative:page;position:absolute;top:883;width:511" filled="f" stroked="f">
              <v:textbox inset="0,0,0,0">
                <w:txbxContent>
                  <w:p>
                    <w:pPr>
                      <w:spacing w:before="0" w:after="0" w:line="240" w:lineRule="auto"/>
                      <w:rPr>
                        <w:rFonts w:ascii="Arial" w:hAnsi="Arial" w:cs="Arial"/>
                        <w:sz w:val="11"/>
                        <w:szCs w:val="11"/>
                      </w:rPr>
                    </w:pPr>
                    <w:r>
                      <w:rPr>
                        <w:rFonts w:ascii="Arial" w:hAnsi="Arial" w:cs="Arial"/>
                        <w:sz w:val="11"/>
                        <w:szCs w:val="11"/>
                      </w:rPr>
                      <w:t>BPA NO.</w:t>
                    </w:r>
                  </w:p>
                </w:txbxContent>
              </v:textbox>
            </v:shape>
            <v:shape id="_x0000_s1186" type="#_x0000_t202" style="height:152;left:8474;mso-position-horizontal-relative:page;mso-position-vertical-relative:page;position:absolute;top:883;width:1311" filled="f" stroked="f">
              <v:textbox inset="0,0,0,0">
                <w:txbxContent>
                  <w:p>
                    <w:pPr>
                      <w:spacing w:before="0"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height:152;left:4126;mso-position-horizontal-relative:page;mso-position-vertical-relative:page;position:absolute;top:5596;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height:152;left:290;mso-position-horizontal-relative:page;mso-position-vertical-relative:page;position:absolute;top:559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89" type="#_x0000_t202" style="height:201;left:290;mso-position-horizontal-relative:page;mso-position-vertical-relative:page;position:absolute;top:6343;width:10619" filled="f" stroked="f">
              <v:textbox inset="0,0,0,0">
                <w:txbxContent>
                  <w:p>
                    <w:pPr>
                      <w:spacing w:before="0"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height:201;left:545;mso-position-horizontal-relative:page;mso-position-vertical-relative:page;position:absolute;top:6118;width:8077" filled="f" stroked="f">
              <v:textbox inset="0,0,0,0">
                <w:txbxContent>
                  <w:p>
                    <w:pPr>
                      <w:spacing w:before="0"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height:251;left:290;mso-position-horizontal-relative:page;mso-position-vertical-relative:page;position:absolute;top:10744;width:154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height:201;left:9266;mso-position-horizontal-relative:page;mso-position-vertical-relative:page;position:absolute;top:6118;width:898" filled="f" stroked="f">
              <v:textbox inset="0,0,0,0">
                <w:txbxContent>
                  <w:p>
                    <w:pPr>
                      <w:spacing w:before="0"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height:201;left:290;mso-position-horizontal-relative:page;mso-position-vertical-relative:page;position:absolute;top:6583;width:10782" filled="f" stroked="f">
              <v:textbox inset="0,0,0,0">
                <w:txbxContent>
                  <w:p>
                    <w:pPr>
                      <w:spacing w:before="0"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height:201;left:290;mso-position-horizontal-relative:page;mso-position-vertical-relative:page;position:absolute;top:6775;width:11150" filled="f" stroked="f">
              <v:textbox inset="0,0,0,0">
                <w:txbxContent>
                  <w:p>
                    <w:pPr>
                      <w:spacing w:before="0"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height:201;left:290;mso-position-horizontal-relative:page;mso-position-vertical-relative:page;position:absolute;top:6967;width:11207" filled="f" stroked="f">
              <v:textbox inset="0,0,0,0">
                <w:txbxContent>
                  <w:p>
                    <w:pPr>
                      <w:spacing w:before="0"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height:201;left:10466;mso-position-horizontal-relative:page;mso-position-vertical-relative:page;position:absolute;top:6118;width:1156" filled="f" stroked="f">
              <v:textbox inset="0,0,0,0">
                <w:txbxContent>
                  <w:p>
                    <w:pPr>
                      <w:spacing w:before="0"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height:152;left:290;mso-position-horizontal-relative:page;mso-position-vertical-relative:page;position:absolute;top:7790;width:2570" filled="f" stroked="f">
              <v:textbox inset="0,0,0,0">
                <w:txbxContent>
                  <w:p>
                    <w:pPr>
                      <w:spacing w:before="0"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height:152;left:10673;mso-position-horizontal-relative:page;mso-position-vertical-relative:page;position:absolute;top:15105;width:832" filled="f" stroked="f">
              <v:textbox inset="0,0,0,0">
                <w:txbxContent>
                  <w:p>
                    <w:pPr>
                      <w:spacing w:before="0"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height:201;left:3958;mso-position-horizontal-relative:page;mso-position-vertical-relative:page;position:absolute;top:10779;width:5922" filled="f" stroked="f">
              <v:textbox inset="0,0,0,0">
                <w:txbxContent>
                  <w:p>
                    <w:pPr>
                      <w:spacing w:before="0"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height:201;left:3142;mso-position-horizontal-relative:page;mso-position-vertical-relative:page;position:absolute;top:10779;width:477" filled="f" stroked="f">
              <v:textbox inset="0,0,0,0">
                <w:txbxContent>
                  <w:p>
                    <w:pPr>
                      <w:spacing w:before="0" w:after="0" w:line="240" w:lineRule="auto"/>
                      <w:rPr>
                        <w:rFonts w:ascii="Arial" w:hAnsi="Arial" w:cs="Arial"/>
                        <w:sz w:val="15"/>
                        <w:szCs w:val="15"/>
                      </w:rPr>
                    </w:pPr>
                    <w:r>
                      <w:rPr>
                        <w:rFonts w:ascii="Arial" w:hAnsi="Arial" w:cs="Arial"/>
                        <w:sz w:val="15"/>
                        <w:szCs w:val="15"/>
                      </w:rPr>
                      <w:t>is not,</w:t>
                    </w:r>
                  </w:p>
                </w:txbxContent>
              </v:textbox>
            </v:shape>
            <v:shape id="_x0000_s1201" type="#_x0000_t202" style="height:152;left:694;mso-position-horizontal-relative:page;mso-position-vertical-relative:page;position:absolute;top:8750;width:9173" filled="f" stroked="f">
              <v:textbox inset="0,0,0,0">
                <w:txbxContent>
                  <w:p>
                    <w:pPr>
                      <w:spacing w:before="0"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height:152;left:4610;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height:152;left:694;mso-position-horizontal-relative:page;mso-position-vertical-relative:page;position:absolute;top:9244;width:591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height:152;left:694;mso-position-horizontal-relative:page;mso-position-vertical-relative:page;position:absolute;top:9393;width:4112" filled="f" stroked="f">
              <v:textbox inset="0,0,0,0">
                <w:txbxContent>
                  <w:p>
                    <w:pPr>
                      <w:spacing w:before="0"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height:201;left:290;mso-position-horizontal-relative:page;mso-position-vertical-relative:page;position:absolute;top:7169;width:11098" filled="f" stroked="f">
              <v:textbox inset="0,0,0,0">
                <w:txbxContent>
                  <w:p>
                    <w:pPr>
                      <w:spacing w:before="0"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height:201;left:290;mso-position-horizontal-relative:page;mso-position-vertical-relative:page;position:absolute;top:7361;width:10876" filled="f" stroked="f">
              <v:textbox inset="0,0,0,0">
                <w:txbxContent>
                  <w:p>
                    <w:pPr>
                      <w:spacing w:before="0"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height:201;left:290;mso-position-horizontal-relative:page;mso-position-vertical-relative:page;position:absolute;top:7553;width:2564" filled="f" stroked="f">
              <v:textbox inset="0,0,0,0">
                <w:txbxContent>
                  <w:p>
                    <w:pPr>
                      <w:spacing w:before="0"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height:152;left:694;mso-position-horizontal-relative:page;mso-position-vertical-relative:page;position:absolute;top:9724;width:4905" filled="f" stroked="f">
              <v:textbox inset="0,0,0,0">
                <w:txbxContent>
                  <w:p>
                    <w:pPr>
                      <w:spacing w:before="0"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height:152;left:694;mso-position-horizontal-relative:page;mso-position-vertical-relative:page;position:absolute;top:10204;width:593" filled="f" stroked="f">
              <v:textbox inset="0,0,0,0">
                <w:txbxContent>
                  <w:p>
                    <w:pPr>
                      <w:spacing w:before="0"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height:201;left:1942;mso-position-horizontal-relative:page;mso-position-vertical-relative:page;position:absolute;top:10779;width:786" filled="f" stroked="f">
              <v:textbox inset="0,0,0,0">
                <w:txbxContent>
                  <w:p>
                    <w:pPr>
                      <w:spacing w:before="0"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height:152;left:10212;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height:152;left:286;mso-position-horizontal-relative:page;mso-position-vertical-relative:page;position:absolute;top:11116;width:2821" filled="f" stroked="f">
              <v:textbox inset="0,0,0,0">
                <w:txbxContent>
                  <w:p>
                    <w:pPr>
                      <w:spacing w:before="0"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height:152;left:6041;mso-position-horizontal-relative:page;mso-position-vertical-relative:page;position:absolute;top:14371;width:1947" filled="f" stroked="f">
              <v:textbox inset="0,0,0,0">
                <w:txbxContent>
                  <w:p>
                    <w:pPr>
                      <w:spacing w:before="0"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height:152;left:319;mso-position-horizontal-relative:page;mso-position-vertical-relative:page;position:absolute;top:13382;width:8554" filled="f" stroked="f">
              <v:textbox inset="0,0,0,0">
                <w:txbxContent>
                  <w:p>
                    <w:pPr>
                      <w:spacing w:before="0"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height:152;left:290;mso-position-horizontal-relative:page;mso-position-vertical-relative:page;position:absolute;top:13665;width:1909" filled="f" stroked="f">
              <v:textbox inset="0,0,0,0">
                <w:txbxContent>
                  <w:p>
                    <w:pPr>
                      <w:spacing w:before="0"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height:152;left:6041;mso-position-horizontal-relative:page;mso-position-vertical-relative:page;position:absolute;top:13665;width:2834" filled="f" stroked="f">
              <v:textbox inset="0,0,0,0">
                <w:txbxContent>
                  <w:p>
                    <w:pPr>
                      <w:spacing w:before="0"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height:152;left:305;mso-position-horizontal-relative:page;mso-position-vertical-relative:page;position:absolute;top:14385;width:1701" filled="f" stroked="f">
              <v:textbox inset="0,0,0,0">
                <w:txbxContent>
                  <w:p>
                    <w:pPr>
                      <w:spacing w:before="0"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height:152;left:9415;mso-position-horizontal-relative:page;mso-position-vertical-relative:page;position:absolute;top:15105;width:119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height:152;left:305;mso-position-horizontal-relative:page;mso-position-vertical-relative:page;position:absolute;top:15101;width:1877"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height:152;left:9415;mso-position-horizontal-relative:page;mso-position-vertical-relative:page;position:absolute;top:15245;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height:152;left:2388;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height:152;left:9026;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height:152;left:3185;mso-position-horizontal-relative:page;mso-position-vertical-relative:page;position:absolute;top:11116;width:4989" filled="f" stroked="f">
              <v:textbox inset="0,0,0,0">
                <w:txbxContent>
                  <w:p>
                    <w:pPr>
                      <w:spacing w:before="0"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height:152;left:2796;mso-position-horizontal-relative:page;mso-position-vertical-relative:page;position:absolute;top:3561;width:2331" filled="f" stroked="f">
              <v:textbox inset="0,0,0,0">
                <w:txbxContent>
                  <w:p>
                    <w:pPr>
                      <w:spacing w:before="0"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height:152;left:7346;mso-position-horizontal-relative:page;mso-position-vertical-relative:page;position:absolute;top:1953;width:1078" filled="f" stroked="f">
              <v:textbox inset="0,0,0,0">
                <w:txbxContent>
                  <w:p>
                    <w:pPr>
                      <w:spacing w:before="0"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height:152;left:1289;mso-position-horizontal-relative:page;mso-position-vertical-relative:page;position:absolute;top:10204;width:2193" filled="f" stroked="f">
              <v:textbox inset="0,0,0,0">
                <w:txbxContent>
                  <w:p>
                    <w:pPr>
                      <w:spacing w:before="0"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height:152;left:6727;mso-position-horizontal-relative:page;mso-position-vertical-relative:page;position:absolute;top:9244;width:2986" filled="f" stroked="f">
              <v:textbox inset="0,0,0,0">
                <w:txbxContent>
                  <w:p>
                    <w:pPr>
                      <w:spacing w:before="0"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height:152;left:2954;mso-position-horizontal-relative:page;mso-position-vertical-relative:page;position:absolute;top:7790;width:637" filled="f" stroked="f">
              <v:textbox inset="0,0,0,0">
                <w:txbxContent>
                  <w:p>
                    <w:pPr>
                      <w:spacing w:before="0"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height:152;left:8940;mso-position-horizontal-relative:page;mso-position-vertical-relative:page;position:absolute;top:4147;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height:152;left:9012;mso-position-horizontal-relative:page;mso-position-vertical-relative:page;position:absolute;top:5289;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height:152;left:7961;mso-position-horizontal-relative:page;mso-position-vertical-relative:page;position:absolute;top:3566;width:203" filled="f" stroked="f">
              <v:textbox inset="0,0,0,0">
                <w:txbxContent>
                  <w:p>
                    <w:pPr>
                      <w:spacing w:before="0" w:after="0" w:line="240" w:lineRule="auto"/>
                      <w:rPr>
                        <w:rFonts w:ascii="Arial" w:hAnsi="Arial" w:cs="Arial"/>
                        <w:sz w:val="11"/>
                        <w:szCs w:val="11"/>
                      </w:rPr>
                    </w:pPr>
                    <w:r>
                      <w:rPr>
                        <w:rFonts w:ascii="Arial" w:hAnsi="Arial" w:cs="Arial"/>
                        <w:sz w:val="11"/>
                        <w:szCs w:val="11"/>
                      </w:rPr>
                      <w:t>(X)</w:t>
                    </w:r>
                  </w:p>
                </w:txbxContent>
              </v:textbox>
            </v:shape>
            <v:shape id="_x0000_s1232" type="#_x0000_t202" style="height:152;left:252;mso-position-horizontal-relative:page;mso-position-vertical-relative:page;position:absolute;top:8687;width:448" filled="f" stroked="f">
              <v:textbox inset="0,0,0,0">
                <w:txbxContent>
                  <w:p>
                    <w:pPr>
                      <w:spacing w:before="0" w:after="0" w:line="240" w:lineRule="auto"/>
                      <w:rPr>
                        <w:rFonts w:ascii="Arial" w:hAnsi="Arial" w:cs="Arial"/>
                        <w:sz w:val="11"/>
                        <w:szCs w:val="11"/>
                      </w:rPr>
                    </w:pPr>
                    <w:r>
                      <w:rPr>
                        <w:rFonts w:ascii="Arial" w:hAnsi="Arial" w:cs="Arial"/>
                        <w:sz w:val="11"/>
                        <w:szCs w:val="11"/>
                      </w:rPr>
                      <w:t>CHECK</w:t>
                    </w:r>
                  </w:p>
                </w:txbxContent>
              </v:textbox>
            </v:shape>
            <v:shape id="_x0000_s1233" type="#_x0000_t202" style="height:152;left:300;mso-position-horizontal-relative:page;mso-position-vertical-relative:page;position:absolute;top:8793;width:297" filled="f" stroked="f">
              <v:textbox inset="0,0,0,0">
                <w:txbxContent>
                  <w:p>
                    <w:pPr>
                      <w:spacing w:before="0" w:after="0" w:line="240" w:lineRule="auto"/>
                      <w:rPr>
                        <w:rFonts w:ascii="Arial" w:hAnsi="Arial" w:cs="Arial"/>
                        <w:sz w:val="11"/>
                        <w:szCs w:val="11"/>
                      </w:rPr>
                    </w:pPr>
                    <w:r>
                      <w:rPr>
                        <w:rFonts w:ascii="Arial" w:hAnsi="Arial" w:cs="Arial"/>
                        <w:sz w:val="11"/>
                        <w:szCs w:val="11"/>
                      </w:rPr>
                      <w:t>ONE</w:t>
                    </w:r>
                  </w:p>
                </w:txbxContent>
              </v:textbox>
            </v:shape>
            <v:shape id="_x0000_s1234" type="#_x0000_t202" style="height:226;left:2402;mso-position-horizontal-relative:page;mso-position-vertical-relative:page;position:absolute;top:8254;width:659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height:226;left:2748;mso-position-horizontal-relative:page;mso-position-vertical-relative:page;position:absolute;top:8470;width:5947"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height:226;left:2858;mso-position-horizontal-relative:page;mso-position-vertical-relative:page;position:absolute;top:5782;width:585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height:251;left:305;mso-position-horizontal-relative:page;mso-position-vertical-relative:page;position:absolute;top:928;width:6079"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height:152;left:1274;mso-position-horizontal-relative:page;mso-position-vertical-relative:page;position:absolute;top:14793;width:2042"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height:152;left:7260;mso-position-horizontal-relative:page;mso-position-vertical-relative:page;position:absolute;top:14793;width:1714"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height:216;left:6098;mso-position-horizontal-relative:page;mso-position-vertical-relative:page;position:absolute;top:483;width:6003" filled="f" stroked="f">
              <v:textbox inset="0,0,0,0">
                <w:txbxContent>
                  <w:p>
                    <w:pPr>
                      <w:spacing w:before="0" w:after="0" w:line="240" w:lineRule="auto"/>
                      <w:jc w:val="right"/>
                      <w:rPr>
                        <w:rFonts w:ascii="Courier New" w:hAnsi="Courier New" w:cs="Courier New"/>
                        <w:sz w:val="16"/>
                        <w:szCs w:val="16"/>
                      </w:rPr>
                    </w:pPr>
                  </w:p>
                </w:txbxContent>
              </v:textbox>
            </v:shape>
            <v:shape id="_x0000_s1241" type="#_x0000_t202" style="height:216;left:10418;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height:216;left:11066;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41</w:t>
                    </w:r>
                  </w:p>
                </w:txbxContent>
              </v:textbox>
            </v:shape>
            <v:shape id="_x0000_s1243" type="#_x0000_t202" style="height:216;left:6530;mso-position-horizontal-relative:page;mso-position-vertical-relative:page;position:absolute;top:1035;width:2541" filled="f" stroked="f">
              <v:textbox inset="0,0,0,0">
                <w:txbxContent>
                  <w:p>
                    <w:pPr>
                      <w:spacing w:before="0" w:after="0" w:line="240" w:lineRule="auto"/>
                      <w:rPr>
                        <w:rFonts w:ascii="Courier New" w:hAnsi="Courier New" w:cs="Courier New"/>
                        <w:sz w:val="16"/>
                        <w:szCs w:val="16"/>
                      </w:rPr>
                    </w:pPr>
                  </w:p>
                </w:txbxContent>
              </v:textbox>
            </v:shape>
            <v:shape id="_x0000_s1244" type="#_x0000_t202" style="height:216;left:8474;mso-position-horizontal-relative:page;mso-position-vertical-relative:page;position:absolute;top:1035;width:2046" filled="f" stroked="f">
              <v:textbox inset="0,0,0,0">
                <w:txbxContent>
                  <w:p>
                    <w:pPr>
                      <w:spacing w:before="0" w:after="0" w:line="240" w:lineRule="auto"/>
                      <w:rPr>
                        <w:rFonts w:ascii="Courier New" w:hAnsi="Courier New" w:cs="Courier New"/>
                        <w:sz w:val="16"/>
                        <w:szCs w:val="16"/>
                      </w:rPr>
                    </w:pPr>
                  </w:p>
                </w:txbxContent>
              </v:textbox>
            </v:shape>
            <v:shape id="_x0000_s1245" type="#_x0000_t202" style="height:216;left:434;mso-position-horizontal-relative:page;mso-position-vertical-relative:page;position:absolute;top:1491;width:662"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height:216;left:4154;mso-position-horizontal-relative:page;mso-position-vertical-relative:page;position:absolute;top:1457;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04-20-2026</w:t>
                    </w:r>
                  </w:p>
                </w:txbxContent>
              </v:textbox>
            </v:shape>
            <v:shape id="_x0000_s1247" type="#_x0000_t202" style="height:216;left:4154;mso-position-horizontal-relative:page;mso-position-vertical-relative:page;position:absolute;top:1611;width:1552" filled="f" stroked="f">
              <v:textbox inset="0,0,0,0">
                <w:txbxContent>
                  <w:p>
                    <w:pPr>
                      <w:spacing w:before="0" w:after="0" w:line="240" w:lineRule="auto"/>
                      <w:rPr>
                        <w:rFonts w:ascii="Courier New" w:hAnsi="Courier New" w:cs="Courier New"/>
                        <w:sz w:val="16"/>
                        <w:szCs w:val="16"/>
                      </w:rPr>
                    </w:pPr>
                  </w:p>
                </w:txbxContent>
              </v:textbox>
            </v:shape>
            <v:shape id="_x0000_s1248" type="#_x0000_t202" style="height:216;left:6146;mso-position-horizontal-relative:page;mso-position-vertical-relative:page;position:absolute;top:1467;width:2541" filled="f" stroked="f">
              <v:textbox inset="0,0,0,0">
                <w:txbxContent>
                  <w:p>
                    <w:pPr>
                      <w:spacing w:before="0" w:after="0" w:line="240" w:lineRule="auto"/>
                      <w:rPr>
                        <w:rFonts w:ascii="Courier New" w:hAnsi="Courier New" w:cs="Courier New"/>
                        <w:sz w:val="16"/>
                        <w:szCs w:val="16"/>
                      </w:rPr>
                    </w:pPr>
                  </w:p>
                </w:txbxContent>
              </v:textbox>
            </v:shape>
            <v:shape id="_x0000_s1249" type="#_x0000_t202" style="height:216;left:6146;mso-position-horizontal-relative:page;mso-position-vertical-relative:page;position:absolute;top:1683;width:2541" filled="f" stroked="f">
              <v:textbox inset="0,0,0,0">
                <w:txbxContent>
                  <w:p>
                    <w:pPr>
                      <w:spacing w:before="0" w:after="0" w:line="240" w:lineRule="auto"/>
                      <w:rPr>
                        <w:rFonts w:ascii="Courier New" w:hAnsi="Courier New" w:cs="Courier New"/>
                        <w:sz w:val="16"/>
                        <w:szCs w:val="16"/>
                      </w:rPr>
                    </w:pPr>
                  </w:p>
                </w:txbxContent>
              </v:textbox>
            </v:shape>
            <v:shape id="_x0000_s1250" type="#_x0000_t202" style="height:216;left:9986;mso-position-horizontal-relative:page;mso-position-vertical-relative:page;position:absolute;top:1491;width:2046" filled="f" stroked="f">
              <v:textbox inset="0,0,0,0">
                <w:txbxContent>
                  <w:p>
                    <w:pPr>
                      <w:spacing w:before="0" w:after="0" w:line="240" w:lineRule="auto"/>
                      <w:rPr>
                        <w:rFonts w:ascii="Courier New" w:hAnsi="Courier New" w:cs="Courier New"/>
                        <w:sz w:val="16"/>
                        <w:szCs w:val="16"/>
                      </w:rPr>
                    </w:pPr>
                  </w:p>
                </w:txbxContent>
              </v:textbox>
            </v:shape>
            <v:shape id="_x0000_s1251" type="#_x0000_t202" style="height:216;left:4130;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36C250</w:t>
                    </w:r>
                  </w:p>
                </w:txbxContent>
              </v:textbox>
            </v:shape>
            <v:shape id="_x0000_s1252" type="#_x0000_t202" style="height:216;left:57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height:216;left:57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10</w:t>
                    </w:r>
                  </w:p>
                </w:txbxContent>
              </v:textbox>
            </v:shape>
            <v:shape id="_x0000_s1254" type="#_x0000_t202" style="height:216;left:57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8888 Keystone Crossing</w:t>
                    </w:r>
                  </w:p>
                </w:txbxContent>
              </v:textbox>
            </v:shape>
            <v:shape id="_x0000_s1255" type="#_x0000_t202" style="height:216;left:57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Suite 325</w:t>
                    </w:r>
                  </w:p>
                </w:txbxContent>
              </v:textbox>
            </v:shape>
            <v:shape id="_x0000_s1256" type="#_x0000_t202" style="height:216;left:57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Indianapolis</w:t>
                    </w:r>
                    <w:r>
                      <w:rPr>
                        <w:rFonts w:ascii="Courier New" w:hAnsi="Courier New" w:cs="Courier New"/>
                        <w:sz w:val="16"/>
                        <w:szCs w:val="16"/>
                      </w:rPr>
                      <w:t xml:space="preserve"> </w:t>
                    </w:r>
                    <w:r>
                      <w:rPr>
                        <w:rFonts w:ascii="Courier New" w:hAnsi="Courier New" w:cs="Courier New"/>
                        <w:sz w:val="16"/>
                        <w:szCs w:val="16"/>
                      </w:rPr>
                      <w:t>IN</w:t>
                    </w:r>
                    <w:r>
                      <w:rPr>
                        <w:rFonts w:ascii="Courier New" w:hAnsi="Courier New" w:cs="Courier New"/>
                        <w:sz w:val="16"/>
                        <w:szCs w:val="16"/>
                      </w:rPr>
                      <w:t xml:space="preserve"> </w:t>
                    </w:r>
                    <w:r>
                      <w:rPr>
                        <w:rFonts w:ascii="Courier New" w:hAnsi="Courier New" w:cs="Courier New"/>
                        <w:sz w:val="16"/>
                        <w:szCs w:val="16"/>
                      </w:rPr>
                      <w:t>46240</w:t>
                    </w:r>
                  </w:p>
                </w:txbxContent>
              </v:textbox>
            </v:shape>
            <v:shape id="_x0000_s1257" type="#_x0000_t202" style="height:216;left:578;mso-position-horizontal-relative:page;mso-position-vertical-relative:page;position:absolute;top:3051;width:4025" filled="f" stroked="f">
              <v:textbox inset="0,0,0,0">
                <w:txbxContent>
                  <w:p>
                    <w:pPr>
                      <w:spacing w:before="0" w:after="0" w:line="240" w:lineRule="auto"/>
                      <w:rPr>
                        <w:rFonts w:ascii="Courier New" w:hAnsi="Courier New" w:cs="Courier New"/>
                        <w:sz w:val="16"/>
                        <w:szCs w:val="16"/>
                      </w:rPr>
                    </w:pPr>
                  </w:p>
                </w:txbxContent>
              </v:textbox>
            </v:shape>
            <v:shape id="_x0000_s1258" type="#_x0000_t202" style="height:216;left:578;mso-position-horizontal-relative:page;mso-position-vertical-relative:page;position:absolute;top:3219;width:4025" filled="f" stroked="f">
              <v:textbox inset="0,0,0,0">
                <w:txbxContent>
                  <w:p>
                    <w:pPr>
                      <w:spacing w:before="0" w:after="0" w:line="240" w:lineRule="auto"/>
                      <w:rPr>
                        <w:rFonts w:ascii="Courier New" w:hAnsi="Courier New" w:cs="Courier New"/>
                        <w:sz w:val="16"/>
                        <w:szCs w:val="16"/>
                      </w:rPr>
                    </w:pPr>
                  </w:p>
                </w:txbxContent>
              </v:textbox>
            </v:shape>
            <v:shape id="_x0000_s1259" type="#_x0000_t202" style="height:216;left:10298;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36C250</w:t>
                    </w:r>
                  </w:p>
                </w:txbxContent>
              </v:textbox>
            </v:shape>
            <v:shape id="_x0000_s1260" type="#_x0000_t202" style="height:216;left:633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height:216;left:633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10</w:t>
                    </w:r>
                  </w:p>
                </w:txbxContent>
              </v:textbox>
            </v:shape>
            <v:shape id="_x0000_s1262" type="#_x0000_t202" style="height:216;left:633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8888 Keystone Crossing</w:t>
                    </w:r>
                  </w:p>
                </w:txbxContent>
              </v:textbox>
            </v:shape>
            <v:shape id="_x0000_s1263" type="#_x0000_t202" style="height:216;left:633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Suite 325</w:t>
                    </w:r>
                  </w:p>
                </w:txbxContent>
              </v:textbox>
            </v:shape>
            <v:shape id="_x0000_s1264" type="#_x0000_t202" style="height:216;left:633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Indianapolis</w:t>
                    </w:r>
                    <w:r>
                      <w:rPr>
                        <w:rFonts w:ascii="Courier New" w:hAnsi="Courier New" w:cs="Courier New"/>
                        <w:sz w:val="16"/>
                        <w:szCs w:val="16"/>
                      </w:rPr>
                      <w:t xml:space="preserve"> </w:t>
                    </w:r>
                    <w:r>
                      <w:rPr>
                        <w:rFonts w:ascii="Courier New" w:hAnsi="Courier New" w:cs="Courier New"/>
                        <w:sz w:val="16"/>
                        <w:szCs w:val="16"/>
                      </w:rPr>
                      <w:t>IN</w:t>
                    </w:r>
                    <w:r>
                      <w:rPr>
                        <w:rFonts w:ascii="Courier New" w:hAnsi="Courier New" w:cs="Courier New"/>
                        <w:sz w:val="16"/>
                        <w:szCs w:val="16"/>
                      </w:rPr>
                      <w:t xml:space="preserve"> </w:t>
                    </w:r>
                    <w:r>
                      <w:rPr>
                        <w:rFonts w:ascii="Courier New" w:hAnsi="Courier New" w:cs="Courier New"/>
                        <w:sz w:val="16"/>
                        <w:szCs w:val="16"/>
                      </w:rPr>
                      <w:t>46240</w:t>
                    </w:r>
                  </w:p>
                </w:txbxContent>
              </v:textbox>
            </v:shape>
            <v:shape id="_x0000_s1265" type="#_x0000_t202" style="height:216;left:434;mso-position-horizontal-relative:page;mso-position-vertical-relative:page;position:absolute;top:379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height:216;left:434;mso-position-horizontal-relative:page;mso-position-vertical-relative:page;position:absolute;top:3963;width:6003" filled="f" stroked="f">
              <v:textbox inset="0,0,0,0">
                <w:txbxContent>
                  <w:p>
                    <w:pPr>
                      <w:spacing w:before="0" w:after="0" w:line="240" w:lineRule="auto"/>
                      <w:rPr>
                        <w:rFonts w:ascii="Courier New" w:hAnsi="Courier New" w:cs="Courier New"/>
                        <w:sz w:val="16"/>
                        <w:szCs w:val="16"/>
                      </w:rPr>
                    </w:pPr>
                  </w:p>
                </w:txbxContent>
              </v:textbox>
            </v:shape>
            <v:shape id="_x0000_s1267" type="#_x0000_t202" style="height:216;left:434;mso-position-horizontal-relative:page;mso-position-vertical-relative:page;position:absolute;top:4131;width:11937" filled="f" stroked="f">
              <v:textbox inset="0,0,0,0">
                <w:txbxContent>
                  <w:p>
                    <w:pPr>
                      <w:spacing w:before="0" w:after="0" w:line="240" w:lineRule="auto"/>
                      <w:rPr>
                        <w:rFonts w:ascii="Courier New" w:hAnsi="Courier New" w:cs="Courier New"/>
                        <w:sz w:val="16"/>
                        <w:szCs w:val="16"/>
                      </w:rPr>
                    </w:pPr>
                  </w:p>
                </w:txbxContent>
              </v:textbox>
            </v:shape>
            <v:shape id="_x0000_s1268" type="#_x0000_t202" style="height:216;left:434;mso-position-horizontal-relative:page;mso-position-vertical-relative:page;position:absolute;top:4299;width:14904" filled="f" stroked="f">
              <v:textbox inset="0,0,0,0">
                <w:txbxContent>
                  <w:p>
                    <w:pPr>
                      <w:spacing w:before="0" w:after="0" w:line="240" w:lineRule="auto"/>
                      <w:rPr>
                        <w:rFonts w:ascii="Courier New" w:hAnsi="Courier New" w:cs="Courier New"/>
                        <w:sz w:val="16"/>
                        <w:szCs w:val="16"/>
                      </w:rPr>
                    </w:pPr>
                  </w:p>
                </w:txbxContent>
              </v:textbox>
            </v:shape>
            <v:shape id="_x0000_s1269" type="#_x0000_t202" style="height:216;left:434;mso-position-horizontal-relative:page;mso-position-vertical-relative:page;position:absolute;top:4467;width:14904" filled="f" stroked="f">
              <v:textbox inset="0,0,0,0">
                <w:txbxContent>
                  <w:p>
                    <w:pPr>
                      <w:spacing w:before="0" w:after="0" w:line="240" w:lineRule="auto"/>
                      <w:rPr>
                        <w:rFonts w:ascii="Courier New" w:hAnsi="Courier New" w:cs="Courier New"/>
                        <w:sz w:val="16"/>
                        <w:szCs w:val="16"/>
                      </w:rPr>
                    </w:pPr>
                  </w:p>
                </w:txbxContent>
              </v:textbox>
            </v:shape>
            <v:shape id="_x0000_s1270" type="#_x0000_t202" style="height:216;left:434;mso-position-horizontal-relative:page;mso-position-vertical-relative:page;position:absolute;top:4635;width:14904" filled="f" stroked="f">
              <v:textbox inset="0,0,0,0">
                <w:txbxContent>
                  <w:p>
                    <w:pPr>
                      <w:spacing w:before="0" w:after="0" w:line="240" w:lineRule="auto"/>
                      <w:rPr>
                        <w:rFonts w:ascii="Courier New" w:hAnsi="Courier New" w:cs="Courier New"/>
                        <w:sz w:val="16"/>
                        <w:szCs w:val="16"/>
                      </w:rPr>
                    </w:pPr>
                  </w:p>
                </w:txbxContent>
              </v:textbox>
            </v:shape>
            <v:shape id="_x0000_s1271" type="#_x0000_t202" style="height:216;left:434;mso-position-horizontal-relative:page;mso-position-vertical-relative:page;position:absolute;top:4803;width:14904" filled="f" stroked="f">
              <v:textbox inset="0,0,0,0">
                <w:txbxContent>
                  <w:p>
                    <w:pPr>
                      <w:spacing w:before="0" w:after="0" w:line="240" w:lineRule="auto"/>
                      <w:rPr>
                        <w:rFonts w:ascii="Courier New" w:hAnsi="Courier New" w:cs="Courier New"/>
                        <w:sz w:val="16"/>
                        <w:szCs w:val="16"/>
                      </w:rPr>
                    </w:pPr>
                  </w:p>
                </w:txbxContent>
              </v:textbox>
            </v:shape>
            <v:shape id="_x0000_s1272" type="#_x0000_t202" style="height:216;left:434;mso-position-horizontal-relative:page;mso-position-vertical-relative:page;position:absolute;top:4971;width:14608"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p>
                </w:txbxContent>
              </v:textbox>
            </v:shape>
            <v:shape id="_x0000_s1273" type="#_x0000_t202" style="height:216;left:434;mso-position-horizontal-relative:page;mso-position-vertical-relative:page;position:absolute;top:5139;width:4025" filled="f" stroked="f">
              <v:textbox inset="0,0,0,0">
                <w:txbxContent>
                  <w:p>
                    <w:pPr>
                      <w:spacing w:before="0" w:after="0" w:line="240" w:lineRule="auto"/>
                      <w:rPr>
                        <w:rFonts w:ascii="Courier New" w:hAnsi="Courier New" w:cs="Courier New"/>
                        <w:sz w:val="16"/>
                        <w:szCs w:val="16"/>
                      </w:rPr>
                    </w:pPr>
                  </w:p>
                </w:txbxContent>
              </v:textbox>
            </v:shape>
            <v:shape id="_x0000_s1274" type="#_x0000_t202" style="height:216;left:434;mso-position-horizontal-relative:page;mso-position-vertical-relative:page;position:absolute;top:5307;width:4025" filled="f" stroked="f">
              <v:textbox inset="0,0,0,0">
                <w:txbxContent>
                  <w:p>
                    <w:pPr>
                      <w:spacing w:before="0" w:after="0" w:line="240" w:lineRule="auto"/>
                      <w:rPr>
                        <w:rFonts w:ascii="Courier New" w:hAnsi="Courier New" w:cs="Courier New"/>
                        <w:sz w:val="16"/>
                        <w:szCs w:val="16"/>
                      </w:rPr>
                    </w:pPr>
                  </w:p>
                </w:txbxContent>
              </v:textbox>
            </v:shape>
            <v:shape id="_x0000_s1275" type="#_x0000_t202" style="height:216;left:818;mso-position-horizontal-relative:page;mso-position-vertical-relative:page;position:absolute;top:5547;width:563" filled="f" stroked="f">
              <v:textbox inset="0,0,0,0">
                <w:txbxContent>
                  <w:p>
                    <w:pPr>
                      <w:spacing w:before="0" w:after="0" w:line="240" w:lineRule="auto"/>
                      <w:jc w:val="right"/>
                      <w:rPr>
                        <w:rFonts w:ascii="Courier New" w:hAnsi="Courier New" w:cs="Courier New"/>
                        <w:sz w:val="16"/>
                        <w:szCs w:val="16"/>
                      </w:rPr>
                    </w:pPr>
                  </w:p>
                </w:txbxContent>
              </v:textbox>
            </v:shape>
            <v:shape id="_x0000_s1276" type="#_x0000_t202" style="height:216;left:5042;mso-position-horizontal-relative:page;mso-position-vertical-relative:page;position:absolute;top:5547;width:1255" filled="f" stroked="f">
              <v:textbox inset="0,0,0,0">
                <w:txbxContent>
                  <w:p>
                    <w:pPr>
                      <w:spacing w:before="0" w:after="0" w:line="240" w:lineRule="auto"/>
                      <w:rPr>
                        <w:rFonts w:ascii="Courier New" w:hAnsi="Courier New" w:cs="Courier New"/>
                        <w:sz w:val="16"/>
                        <w:szCs w:val="16"/>
                      </w:rPr>
                    </w:pPr>
                  </w:p>
                </w:txbxContent>
              </v:textbox>
            </v:shape>
            <v:shape id="_x0000_s1277" type="#_x0000_t202" style="height:216;left:8258;mso-position-horizontal-relative:page;mso-position-vertical-relative:page;position:absolute;top:3795;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36C25026Q0413</w:t>
                    </w:r>
                  </w:p>
                </w:txbxContent>
              </v:textbox>
            </v:shape>
            <v:shape id="_x0000_s1278" type="#_x0000_t202" style="height:216;left:8258;mso-position-horizontal-relative:page;mso-position-vertical-relative:page;position:absolute;top:4275;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03-27-2026</w:t>
                    </w:r>
                  </w:p>
                </w:txbxContent>
              </v:textbox>
            </v:shape>
            <v:shape id="_x0000_s1279" type="#_x0000_t202" style="height:216;left:8258;mso-position-horizontal-relative:page;mso-position-vertical-relative:page;position:absolute;top:4755;width:511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height:216;left:8258;mso-position-horizontal-relative:page;mso-position-vertical-relative:page;position:absolute;top:4995;width:563" filled="f" stroked="f">
              <v:textbox inset="0,0,0,0">
                <w:txbxContent>
                  <w:p>
                    <w:pPr>
                      <w:spacing w:before="0" w:after="0" w:line="240" w:lineRule="auto"/>
                      <w:rPr>
                        <w:rFonts w:ascii="Courier New" w:hAnsi="Courier New" w:cs="Courier New"/>
                        <w:sz w:val="16"/>
                        <w:szCs w:val="16"/>
                      </w:rPr>
                    </w:pPr>
                  </w:p>
                </w:txbxContent>
              </v:textbox>
            </v:shape>
            <v:shape id="_x0000_s1281" type="#_x0000_t202" style="height:216;left:8738;mso-position-horizontal-relative:page;mso-position-vertical-relative:page;position:absolute;top:4995;width:2046" filled="f" stroked="f">
              <v:textbox inset="0,0,0,0">
                <w:txbxContent>
                  <w:p>
                    <w:pPr>
                      <w:spacing w:before="0" w:after="0" w:line="240" w:lineRule="auto"/>
                      <w:rPr>
                        <w:rFonts w:ascii="Courier New" w:hAnsi="Courier New" w:cs="Courier New"/>
                        <w:sz w:val="16"/>
                        <w:szCs w:val="16"/>
                      </w:rPr>
                    </w:pPr>
                  </w:p>
                </w:txbxContent>
              </v:textbox>
            </v:shape>
            <v:shape id="_x0000_s1282" type="#_x0000_t202" style="height:216;left:8258;mso-position-horizontal-relative:page;mso-position-vertical-relative:page;position:absolute;top:5523;width:1057" filled="f" stroked="f">
              <v:textbox inset="0,0,0,0">
                <w:txbxContent>
                  <w:p>
                    <w:pPr>
                      <w:spacing w:before="0" w:after="0" w:line="240" w:lineRule="auto"/>
                      <w:rPr>
                        <w:rFonts w:ascii="Courier New" w:hAnsi="Courier New" w:cs="Courier New"/>
                        <w:sz w:val="16"/>
                        <w:szCs w:val="16"/>
                      </w:rPr>
                    </w:pPr>
                  </w:p>
                </w:txbxContent>
              </v:textbox>
            </v:shape>
            <v:shape id="_x0000_s1283" type="#_x0000_t202" style="height:216;left:7970;mso-position-horizontal-relative:page;mso-position-vertical-relative:page;position:absolute;top:4131;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height:216;left:7970;mso-position-horizontal-relative:page;mso-position-vertical-relative:page;position:absolute;top:4947;width:167" filled="f" stroked="f">
              <v:textbox inset="0,0,0,0">
                <w:txbxContent>
                  <w:p>
                    <w:pPr>
                      <w:spacing w:before="0" w:after="0" w:line="240" w:lineRule="auto"/>
                      <w:rPr>
                        <w:rFonts w:ascii="Courier New" w:hAnsi="Courier New" w:cs="Courier New"/>
                        <w:sz w:val="16"/>
                        <w:szCs w:val="16"/>
                      </w:rPr>
                    </w:pPr>
                  </w:p>
                </w:txbxContent>
              </v:textbox>
            </v:shape>
            <v:shape id="_x0000_s1285" type="#_x0000_t202" style="height:216;left:29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height:216;left:90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7" type="#_x0000_t202" style="height:216;left:102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p>
                </w:txbxContent>
              </v:textbox>
            </v:shape>
            <v:shape id="_x0000_s1288" type="#_x0000_t202" style="height:216;left:3842;mso-position-horizontal-relative:page;mso-position-vertical-relative:page;position:absolute;top:6569;width:26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289" type="#_x0000_t202" style="height:216;left:3026;mso-position-horizontal-relative:page;mso-position-vertical-relative:page;position:absolute;top:7539;width:817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04-27-2026 13:30 EDT</w:t>
                    </w:r>
                  </w:p>
                </w:txbxContent>
              </v:textbox>
            </v:shape>
            <v:shape id="_x0000_s1290" type="#_x0000_t202" style="height:216;left:362;mso-position-horizontal-relative:page;mso-position-vertical-relative:page;position:absolute;top:7947;width:303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_x0000_s1291" type="#_x0000_t202" style="height:216;left:3842;mso-position-horizontal-relative:page;mso-position-vertical-relative:page;position:absolute;top:7731;width:6003" filled="f" stroked="f">
              <v:textbox inset="0,0,0,0">
                <w:txbxContent>
                  <w:p>
                    <w:pPr>
                      <w:spacing w:before="0" w:after="0" w:line="240" w:lineRule="auto"/>
                      <w:rPr>
                        <w:rFonts w:ascii="Courier New" w:hAnsi="Courier New" w:cs="Courier New"/>
                        <w:sz w:val="16"/>
                        <w:szCs w:val="16"/>
                      </w:rPr>
                    </w:pPr>
                  </w:p>
                </w:txbxContent>
              </v:textbox>
            </v:shape>
            <v:shape id="_x0000_s1292" type="#_x0000_t202" style="height:216;left:3842;mso-position-horizontal-relative:page;mso-position-vertical-relative:page;position:absolute;top:7899;width:6003" filled="f" stroked="f">
              <v:textbox inset="0,0,0,0">
                <w:txbxContent>
                  <w:p>
                    <w:pPr>
                      <w:spacing w:before="0" w:after="0" w:line="240" w:lineRule="auto"/>
                      <w:rPr>
                        <w:rFonts w:ascii="Courier New" w:hAnsi="Courier New" w:cs="Courier New"/>
                        <w:sz w:val="16"/>
                        <w:szCs w:val="16"/>
                      </w:rPr>
                    </w:pPr>
                  </w:p>
                </w:txbxContent>
              </v:textbox>
            </v:shape>
            <v:shape id="_x0000_s1293" type="#_x0000_t202" style="height:216;left:3842;mso-position-horizontal-relative:page;mso-position-vertical-relative:page;position:absolute;top:8067;width:6003" filled="f" stroked="f">
              <v:textbox inset="0,0,0,0">
                <w:txbxContent>
                  <w:p>
                    <w:pPr>
                      <w:spacing w:before="0" w:after="0" w:line="240" w:lineRule="auto"/>
                      <w:rPr>
                        <w:rFonts w:ascii="Courier New" w:hAnsi="Courier New" w:cs="Courier New"/>
                        <w:sz w:val="16"/>
                        <w:szCs w:val="16"/>
                      </w:rPr>
                    </w:pPr>
                  </w:p>
                </w:txbxContent>
              </v:textbox>
            </v:shape>
            <v:shape id="_x0000_s1294" type="#_x0000_t202" style="height:216;left:362;mso-position-horizontal-relative:page;mso-position-vertical-relative:page;position:absolute;top:8955;width:167" filled="f" stroked="f">
              <v:textbox inset="0,0,0,0">
                <w:txbxContent>
                  <w:p>
                    <w:pPr>
                      <w:spacing w:before="0" w:after="0" w:line="240" w:lineRule="auto"/>
                      <w:rPr>
                        <w:rFonts w:ascii="Courier New" w:hAnsi="Courier New" w:cs="Courier New"/>
                        <w:sz w:val="16"/>
                        <w:szCs w:val="16"/>
                      </w:rPr>
                    </w:pPr>
                  </w:p>
                </w:txbxContent>
              </v:textbox>
            </v:shape>
            <v:shape id="_x0000_s1295" type="#_x0000_t202" style="height:216;left:362;mso-position-horizontal-relative:page;mso-position-vertical-relative:page;position:absolute;top:9363;width:167" filled="f" stroked="f">
              <v:textbox inset="0,0,0,0">
                <w:txbxContent>
                  <w:p>
                    <w:pPr>
                      <w:spacing w:before="0" w:after="0" w:line="240" w:lineRule="auto"/>
                      <w:rPr>
                        <w:rFonts w:ascii="Courier New" w:hAnsi="Courier New" w:cs="Courier New"/>
                        <w:sz w:val="16"/>
                        <w:szCs w:val="16"/>
                      </w:rPr>
                    </w:pPr>
                  </w:p>
                </w:txbxContent>
              </v:textbox>
            </v:shape>
            <v:shape id="_x0000_s1296" type="#_x0000_t202" style="height:216;left:362;mso-position-horizontal-relative:page;mso-position-vertical-relative:page;position:absolute;top:9843;width:167" filled="f" stroked="f">
              <v:textbox inset="0,0,0,0">
                <w:txbxContent>
                  <w:p>
                    <w:pPr>
                      <w:spacing w:before="0" w:after="0" w:line="240" w:lineRule="auto"/>
                      <w:rPr>
                        <w:rFonts w:ascii="Courier New" w:hAnsi="Courier New" w:cs="Courier New"/>
                        <w:sz w:val="16"/>
                        <w:szCs w:val="16"/>
                      </w:rPr>
                    </w:pPr>
                  </w:p>
                </w:txbxContent>
              </v:textbox>
            </v:shape>
            <v:shape id="_x0000_s1297" type="#_x0000_t202" style="height:216;left:362;mso-position-horizontal-relative:page;mso-position-vertical-relative:page;position:absolute;top:10323;width:167" filled="f" stroked="f">
              <v:textbox inset="0,0,0,0">
                <w:txbxContent>
                  <w:p>
                    <w:pPr>
                      <w:spacing w:before="0" w:after="0" w:line="240" w:lineRule="auto"/>
                      <w:rPr>
                        <w:rFonts w:ascii="Courier New" w:hAnsi="Courier New" w:cs="Courier New"/>
                        <w:sz w:val="16"/>
                        <w:szCs w:val="16"/>
                      </w:rPr>
                    </w:pPr>
                  </w:p>
                </w:txbxContent>
              </v:textbox>
            </v:shape>
            <v:shape id="_x0000_s1298" type="#_x0000_t202" style="height:216;left:770;mso-position-horizontal-relative:page;mso-position-vertical-relative:page;position:absolute;top:8955;width:6003" filled="f" stroked="f">
              <v:textbox inset="0,0,0,0">
                <w:txbxContent>
                  <w:p>
                    <w:pPr>
                      <w:spacing w:before="0" w:after="0" w:line="240" w:lineRule="auto"/>
                      <w:rPr>
                        <w:rFonts w:ascii="Courier New" w:hAnsi="Courier New" w:cs="Courier New"/>
                        <w:sz w:val="16"/>
                        <w:szCs w:val="16"/>
                      </w:rPr>
                    </w:pPr>
                  </w:p>
                </w:txbxContent>
              </v:textbox>
            </v:shape>
            <v:shape id="_x0000_s1299" type="#_x0000_t202" style="height:216;left:5858;mso-position-horizontal-relative:page;mso-position-vertical-relative:page;position:absolute;top:9747;width:6003" filled="f" stroked="f">
              <v:textbox inset="0,0,0,0">
                <w:txbxContent>
                  <w:p>
                    <w:pPr>
                      <w:spacing w:before="0" w:after="0" w:line="240" w:lineRule="auto"/>
                      <w:rPr>
                        <w:rFonts w:ascii="Courier New" w:hAnsi="Courier New" w:cs="Courier New"/>
                        <w:sz w:val="16"/>
                        <w:szCs w:val="16"/>
                      </w:rPr>
                    </w:pPr>
                  </w:p>
                </w:txbxContent>
              </v:textbox>
            </v:shape>
            <v:shape id="_x0000_s1300" type="#_x0000_t202" style="height:216;left:5858;mso-position-horizontal-relative:page;mso-position-vertical-relative:page;position:absolute;top:9915;width:6003" filled="f" stroked="f">
              <v:textbox inset="0,0,0,0">
                <w:txbxContent>
                  <w:p>
                    <w:pPr>
                      <w:spacing w:before="0" w:after="0" w:line="240" w:lineRule="auto"/>
                      <w:rPr>
                        <w:rFonts w:ascii="Courier New" w:hAnsi="Courier New" w:cs="Courier New"/>
                        <w:sz w:val="16"/>
                        <w:szCs w:val="16"/>
                      </w:rPr>
                    </w:pPr>
                  </w:p>
                </w:txbxContent>
              </v:textbox>
            </v:shape>
            <v:shape id="_x0000_s1301" type="#_x0000_t202" style="height:216;left:3722;mso-position-horizontal-relative:page;mso-position-vertical-relative:page;position:absolute;top:10179;width:6003" filled="f" stroked="f">
              <v:textbox inset="0,0,0,0">
                <w:txbxContent>
                  <w:p>
                    <w:pPr>
                      <w:spacing w:before="0" w:after="0" w:line="240" w:lineRule="auto"/>
                      <w:rPr>
                        <w:rFonts w:ascii="Courier New" w:hAnsi="Courier New" w:cs="Courier New"/>
                        <w:sz w:val="16"/>
                        <w:szCs w:val="16"/>
                      </w:rPr>
                    </w:pPr>
                  </w:p>
                </w:txbxContent>
              </v:textbox>
            </v:shape>
            <v:shape id="_x0000_s1302" type="#_x0000_t202" style="height:216;left:3722;mso-position-horizontal-relative:page;mso-position-vertical-relative:page;position:absolute;top:10395;width:6003" filled="f" stroked="f">
              <v:textbox inset="0,0,0,0">
                <w:txbxContent>
                  <w:p>
                    <w:pPr>
                      <w:spacing w:before="0" w:after="0" w:line="240" w:lineRule="auto"/>
                      <w:rPr>
                        <w:rFonts w:ascii="Courier New" w:hAnsi="Courier New" w:cs="Courier New"/>
                        <w:sz w:val="16"/>
                        <w:szCs w:val="16"/>
                      </w:rPr>
                    </w:pPr>
                  </w:p>
                </w:txbxContent>
              </v:textbox>
            </v:shape>
            <v:shape id="_x0000_s1303" type="#_x0000_t202" style="height:216;left:2906;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4" type="#_x0000_t202" style="height:216;left:3722;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height:216;left:6890;mso-position-horizontal-relative:page;mso-position-vertical-relative:page;position:absolute;top:10731;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height:216;left:266;mso-position-horizontal-relative:page;mso-position-vertical-relative:page;position:absolute;top:1135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The purpose of this solicitation amendment is to extend the deadline of the solicitation.</w:t>
                    </w:r>
                  </w:p>
                </w:txbxContent>
              </v:textbox>
            </v:shape>
            <v:shape id="_x0000_s1307" type="#_x0000_t202" style="height:216;left:266;mso-position-horizontal-relative:page;mso-position-vertical-relative:page;position:absolute;top:1152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8" type="#_x0000_t202" style="height:216;left:266;mso-position-horizontal-relative:page;mso-position-vertical-relative:page;position:absolute;top:1169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The solicitation deadline is hereby change to 4/27/2026. All responses are due by 1:30 EST by email to</w:t>
                    </w:r>
                  </w:p>
                </w:txbxContent>
              </v:textbox>
            </v:shape>
            <v:shape id="_x0000_s1309" type="#_x0000_t202" style="height:216;left:266;mso-position-horizontal-relative:page;mso-position-vertical-relative:page;position:absolute;top:1185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Venkatlekhith.Muntha@VA.gov                                 </w:t>
                    </w:r>
                  </w:p>
                </w:txbxContent>
              </v:textbox>
            </v:shape>
            <v:shape id="_x0000_s1310" type="#_x0000_t202" style="height:216;left:266;mso-position-horizontal-relative:page;mso-position-vertical-relative:page;position:absolute;top:1202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height:216;left:266;mso-position-horizontal-relative:page;mso-position-vertical-relative:page;position:absolute;top:1219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All offerors must provide all items required in the Quote Preparation Instructions. If you wish to submit a revised</w:t>
                    </w:r>
                  </w:p>
                </w:txbxContent>
              </v:textbox>
            </v:shape>
            <v:shape id="_x0000_s1312" type="#_x0000_t202" style="height:216;left:266;mso-position-horizontal-relative:page;mso-position-vertical-relative:page;position:absolute;top:1236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quote, please resubmit the entire package with all updated documents included. Partial updates or standalone revised</w:t>
                    </w:r>
                  </w:p>
                </w:txbxContent>
              </v:textbox>
            </v:shape>
            <v:shape id="_x0000_s1313" type="#_x0000_t202" style="height:216;left:266;mso-position-horizontal-relative:page;mso-position-vertical-relative:page;position:absolute;top:1253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documents will not be accepted.                             </w:t>
                    </w:r>
                  </w:p>
                </w:txbxContent>
              </v:textbox>
            </v:shape>
            <v:shape id="_x0000_s1314" type="#_x0000_t202" style="height:216;left:266;mso-position-horizontal-relative:page;mso-position-vertical-relative:page;position:absolute;top:1269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height:216;left:266;mso-position-horizontal-relative:page;mso-position-vertical-relative:page;position:absolute;top:1286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height:216;left:578;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p>
                </w:txbxContent>
              </v:textbox>
            </v:shape>
            <v:shape id="_x0000_s1317" type="#_x0000_t202" style="height:216;left:578;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p>
                </w:txbxContent>
              </v:textbox>
            </v:shape>
            <v:shape id="_x0000_s1318" type="#_x0000_t202" style="height:216;left:6314;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Joshua Kovar</w:t>
                    </w:r>
                  </w:p>
                </w:txbxContent>
              </v:textbox>
            </v:shape>
            <v:shape id="_x0000_s1319" type="#_x0000_t202" style="height:216;left:6314;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height:216;left:9698;mso-position-horizontal-relative:page;mso-position-vertical-relative:page;position:absolute;top:13827;width:3036" filled="f" stroked="f">
              <v:textbox inset="0,0,0,0">
                <w:txbxContent>
                  <w:p>
                    <w:pPr>
                      <w:spacing w:before="0" w:after="0" w:line="240" w:lineRule="auto"/>
                      <w:rPr>
                        <w:rFonts w:ascii="Courier New" w:hAnsi="Courier New" w:cs="Courier New"/>
                        <w:sz w:val="16"/>
                        <w:szCs w:val="16"/>
                      </w:rPr>
                    </w:pPr>
                  </w:p>
                </w:txbxContent>
              </v:textbox>
            </v:shape>
            <v:shape id="_x0000_s1321" type="#_x0000_t202" style="height:216;left:10298;mso-position-horizontal-relative:page;mso-position-vertical-relative:page;position:absolute;top:14739;width:1057" filled="f" stroked="f">
              <v:textbox inset="0,0,0,0">
                <w:txbxContent>
                  <w:p>
                    <w:pPr>
                      <w:spacing w:before="0" w:after="0" w:line="240" w:lineRule="auto"/>
                      <w:rPr>
                        <w:rFonts w:ascii="Courier New" w:hAnsi="Courier New" w:cs="Courier New"/>
                        <w:sz w:val="16"/>
                        <w:szCs w:val="16"/>
                      </w:rPr>
                    </w:pPr>
                  </w:p>
                </w:txbxContent>
              </v:textbox>
            </v:shape>
            <v:shape id="_x0000_s1322" type="#_x0000_t202" style="height:216;left:225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shape id="_x0000_s1323" type="#_x0000_t202" style="height:216;left:801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group>
        </w:pict>
      </w:r>
    </w:p>
    <w:p>
      <w:pPr>
        <w:pStyle w:val="NoSpacing"/>
        <w:pageBreakBefore/>
      </w:pPr>
    </w:p>
    <w:p>
      <w:pPr>
        <w:pStyle w:val="NoSpacing"/>
      </w:pPr>
      <w:r>
        <w:t xml:space="preserve">                         CONTINUATION PAGE</w:t>
      </w:r>
    </w:p>
    <w:p/>
    <w:p/>
    <w:p w:rsidR="00B5560F" w:rsidRPr="00926CBA" w:rsidP="00B5560F">
      <w:pPr>
        <w:keepNext/>
        <w:keepLines/>
        <w:outlineLvl w:val="1"/>
        <w:rPr>
          <w:rFonts w:eastAsia="Times New Roman" w:cstheme="minorHAnsi"/>
          <w:b/>
          <w:bCs/>
          <w:color w:val="4F81BD"/>
          <w:szCs w:val="20"/>
        </w:rPr>
      </w:pPr>
      <w:bookmarkStart w:id="0" w:name="_Toc225510018"/>
      <w:r>
        <w:t>E.4</w:t>
      </w:r>
      <w:r w:rsidRPr="00926CBA">
        <w:rPr>
          <w:rFonts w:cstheme="minorHAnsi"/>
          <w:szCs w:val="20"/>
        </w:rPr>
        <w:t xml:space="preserve"> </w:t>
      </w:r>
      <w:r w:rsidRPr="00926CBA">
        <w:rPr>
          <w:rFonts w:eastAsia="Times New Roman" w:cstheme="minorHAnsi"/>
          <w:color w:val="4F81BD"/>
          <w:sz w:val="28"/>
          <w:szCs w:val="28"/>
        </w:rPr>
        <w:t>QUOTE PREPARATION INSTRUCTIONS</w:t>
      </w:r>
      <w:bookmarkEnd w:id="0"/>
    </w:p>
    <w:p w:rsidR="00B5560F" w:rsidRPr="00926CBA" w:rsidP="00B5560F">
      <w:pPr>
        <w:spacing w:line="240" w:lineRule="auto"/>
        <w:rPr>
          <w:rFonts w:eastAsia="Calibri" w:cstheme="minorHAnsi"/>
          <w:szCs w:val="20"/>
        </w:rPr>
      </w:pPr>
      <w:r w:rsidRPr="00926CBA">
        <w:rPr>
          <w:rFonts w:eastAsia="Calibri" w:cstheme="minorHAnsi"/>
          <w:szCs w:val="20"/>
        </w:rPr>
        <w:t>To ensure timely and equitable evaluation of quotes, offerors must follow the instructions contained herein for quote submissions. Quotes must be complete, self-sufficient, and respond directly to the requirements of this solicitation.</w:t>
      </w:r>
    </w:p>
    <w:p w:rsidR="00B5560F" w:rsidRPr="00926CBA" w:rsidP="00B5560F">
      <w:pPr>
        <w:spacing w:line="240" w:lineRule="auto"/>
        <w:rPr>
          <w:rFonts w:eastAsia="Calibri" w:cstheme="minorHAnsi"/>
          <w:b/>
          <w:bCs/>
          <w:color w:val="000000"/>
          <w:szCs w:val="20"/>
        </w:rPr>
      </w:pPr>
      <w:r w:rsidRPr="00926CBA">
        <w:rPr>
          <w:rFonts w:eastAsia="Calibri" w:cstheme="minorHAnsi"/>
          <w:b/>
          <w:bCs/>
          <w:color w:val="000000"/>
          <w:szCs w:val="20"/>
        </w:rPr>
        <w:t>FAILURE TO PROVIDE ANY OF THE INFORMATION REQUESTED IN THIS SECTION MAY RESULT IN YOUR QUOTE BEING EXCLUDED FROM FURTHER CONSIDERATION FOR AWARD.</w:t>
      </w:r>
    </w:p>
    <w:p w:rsidR="00B5560F" w:rsidRPr="00926CBA" w:rsidP="00B5560F">
      <w:pPr>
        <w:spacing w:line="240" w:lineRule="auto"/>
        <w:rPr>
          <w:rFonts w:eastAsia="Calibri" w:cstheme="minorHAnsi"/>
          <w:iCs/>
          <w:color w:val="0070C0"/>
          <w:szCs w:val="20"/>
        </w:rPr>
      </w:pPr>
      <w:r w:rsidRPr="00926CBA">
        <w:rPr>
          <w:rFonts w:eastAsia="Calibri" w:cstheme="minorHAnsi"/>
          <w:szCs w:val="20"/>
        </w:rPr>
        <w:t>All quoters shall submit the following:</w:t>
      </w:r>
      <w:r w:rsidRPr="00926CBA">
        <w:rPr>
          <w:rFonts w:eastAsia="Calibri" w:cstheme="minorHAnsi"/>
          <w:iCs/>
          <w:szCs w:val="20"/>
        </w:rPr>
        <w:t xml:space="preserve"> </w:t>
      </w:r>
    </w:p>
    <w:p w:rsidR="00B5560F" w:rsidRPr="00926CBA" w:rsidP="00B5560F">
      <w:pPr>
        <w:numPr>
          <w:ilvl w:val="0"/>
          <w:numId w:val="1"/>
        </w:numPr>
        <w:spacing w:line="240" w:lineRule="auto"/>
        <w:contextualSpacing/>
        <w:rPr>
          <w:rFonts w:eastAsia="Calibri" w:cstheme="minorHAnsi"/>
          <w:color w:val="000000"/>
          <w:szCs w:val="20"/>
        </w:rPr>
      </w:pPr>
      <w:r w:rsidRPr="00926CBA">
        <w:rPr>
          <w:rFonts w:eastAsia="Calibri" w:cstheme="minorHAnsi"/>
          <w:color w:val="000000"/>
          <w:szCs w:val="20"/>
        </w:rPr>
        <w:t xml:space="preserve">Administrative Items: </w:t>
      </w:r>
    </w:p>
    <w:p w:rsidR="00B5560F" w:rsidRPr="00926CBA" w:rsidP="00B5560F">
      <w:pPr>
        <w:numPr>
          <w:ilvl w:val="1"/>
          <w:numId w:val="1"/>
        </w:numPr>
        <w:spacing w:line="240" w:lineRule="auto"/>
        <w:contextualSpacing/>
        <w:rPr>
          <w:rFonts w:eastAsia="Calibri" w:cstheme="minorHAnsi"/>
          <w:color w:val="000000"/>
          <w:szCs w:val="20"/>
        </w:rPr>
      </w:pPr>
      <w:r w:rsidRPr="00926CBA">
        <w:rPr>
          <w:rFonts w:eastAsia="Calibri" w:cstheme="minorHAnsi"/>
          <w:color w:val="000000"/>
          <w:szCs w:val="20"/>
        </w:rPr>
        <w:t>Complete and sign SF 1449 (box 17A) with business name, SAM UEI, Business Address. Sign box 30A, print name in box 30b, and date 30C.</w:t>
      </w:r>
    </w:p>
    <w:p w:rsidR="00B5560F" w:rsidRPr="00926CBA" w:rsidP="00B5560F">
      <w:pPr>
        <w:spacing w:line="240" w:lineRule="auto"/>
        <w:ind w:left="1440"/>
        <w:contextualSpacing/>
        <w:rPr>
          <w:rFonts w:eastAsia="Calibri" w:cstheme="minorHAnsi"/>
          <w:color w:val="000000"/>
          <w:szCs w:val="20"/>
        </w:rPr>
      </w:pPr>
    </w:p>
    <w:p w:rsidR="00B5560F" w:rsidRPr="00926CBA" w:rsidP="00B5560F">
      <w:pPr>
        <w:numPr>
          <w:ilvl w:val="1"/>
          <w:numId w:val="1"/>
        </w:numPr>
        <w:spacing w:line="240" w:lineRule="auto"/>
        <w:contextualSpacing/>
        <w:rPr>
          <w:rFonts w:eastAsia="Calibri" w:cstheme="minorHAnsi"/>
          <w:color w:val="000000"/>
          <w:szCs w:val="20"/>
        </w:rPr>
      </w:pPr>
      <w:r w:rsidRPr="00926CBA">
        <w:rPr>
          <w:rFonts w:eastAsia="Calibri" w:cstheme="minorHAnsi"/>
          <w:color w:val="000000"/>
          <w:szCs w:val="20"/>
        </w:rPr>
        <w:t xml:space="preserve">Vendors must acknowledge and concur with any/all amendments individually by signing and returning all amendment SF-30’s individually. It is up to the vendor to monitor and concur with all publicized amendments even after package submission. </w:t>
      </w:r>
      <w:r w:rsidRPr="00926CBA">
        <w:rPr>
          <w:rFonts w:eastAsia="Calibri" w:cstheme="minorHAnsi"/>
          <w:i/>
          <w:iCs/>
          <w:color w:val="000000"/>
          <w:szCs w:val="20"/>
        </w:rPr>
        <w:t>(Failure to individually concur with all solicitation amendments will result in the offeror being immediately excluded for award).</w:t>
      </w:r>
    </w:p>
    <w:p w:rsidR="00B5560F" w:rsidRPr="00926CBA" w:rsidP="00B5560F">
      <w:pPr>
        <w:spacing w:line="240" w:lineRule="auto"/>
        <w:ind w:left="1440"/>
        <w:contextualSpacing/>
        <w:rPr>
          <w:rFonts w:eastAsia="Calibri" w:cstheme="minorHAnsi"/>
          <w:color w:val="000000"/>
          <w:szCs w:val="20"/>
        </w:rPr>
      </w:pPr>
    </w:p>
    <w:p w:rsidR="00B5560F" w:rsidRPr="00926CBA" w:rsidP="00B5560F">
      <w:pPr>
        <w:numPr>
          <w:ilvl w:val="1"/>
          <w:numId w:val="1"/>
        </w:numPr>
        <w:spacing w:line="240" w:lineRule="auto"/>
        <w:contextualSpacing/>
        <w:rPr>
          <w:rFonts w:eastAsia="Calibri" w:cstheme="minorHAnsi"/>
          <w:color w:val="000000"/>
          <w:szCs w:val="20"/>
        </w:rPr>
      </w:pPr>
      <w:r w:rsidRPr="00926CBA">
        <w:rPr>
          <w:rFonts w:eastAsia="Calibri" w:cstheme="minorHAnsi"/>
          <w:color w:val="000000"/>
          <w:szCs w:val="20"/>
        </w:rPr>
        <w:t>Complete B1 Contract Administration Data, 1a, with Company Name, Address, Point of Contact with Phone, and email address.</w:t>
      </w:r>
    </w:p>
    <w:p w:rsidR="00B5560F" w:rsidRPr="00926CBA" w:rsidP="00B5560F">
      <w:pPr>
        <w:spacing w:line="240" w:lineRule="auto"/>
        <w:ind w:left="720"/>
        <w:contextualSpacing/>
        <w:rPr>
          <w:rFonts w:eastAsia="Calibri" w:cstheme="minorHAnsi"/>
          <w:color w:val="000000"/>
          <w:szCs w:val="20"/>
        </w:rPr>
      </w:pPr>
    </w:p>
    <w:p w:rsidR="00B5560F" w:rsidRPr="00926CBA" w:rsidP="00B5560F">
      <w:pPr>
        <w:numPr>
          <w:ilvl w:val="1"/>
          <w:numId w:val="1"/>
        </w:numPr>
        <w:spacing w:line="240" w:lineRule="auto"/>
        <w:contextualSpacing/>
        <w:rPr>
          <w:rFonts w:eastAsia="Calibri" w:cstheme="minorHAnsi"/>
          <w:color w:val="000000"/>
          <w:szCs w:val="20"/>
        </w:rPr>
      </w:pPr>
      <w:r w:rsidRPr="00926CBA">
        <w:rPr>
          <w:rFonts w:eastAsia="Calibri" w:cstheme="minorHAnsi"/>
          <w:color w:val="000000"/>
          <w:szCs w:val="20"/>
        </w:rPr>
        <w:t xml:space="preserve">List of all Vendor Points of Contact that will be used to support this requirement. Please provide full name, email addresses and phone numbers along with their roles (Billing, Sales, Transportation, etc.). </w:t>
      </w:r>
    </w:p>
    <w:p w:rsidR="00B5560F" w:rsidRPr="00926CBA" w:rsidP="00B5560F">
      <w:pPr>
        <w:spacing w:line="240" w:lineRule="auto"/>
        <w:rPr>
          <w:rFonts w:eastAsia="Calibri" w:cstheme="minorHAnsi"/>
          <w:color w:val="000000"/>
          <w:szCs w:val="20"/>
        </w:rPr>
      </w:pPr>
    </w:p>
    <w:p w:rsidR="00B5560F" w:rsidRPr="00926CBA" w:rsidP="00B5560F">
      <w:pPr>
        <w:numPr>
          <w:ilvl w:val="0"/>
          <w:numId w:val="1"/>
        </w:numPr>
        <w:spacing w:line="240" w:lineRule="auto"/>
        <w:contextualSpacing/>
        <w:rPr>
          <w:rFonts w:eastAsia="Calibri" w:cstheme="minorHAnsi"/>
          <w:color w:val="000000"/>
          <w:szCs w:val="20"/>
        </w:rPr>
      </w:pPr>
      <w:r w:rsidRPr="00926CBA">
        <w:rPr>
          <w:rFonts w:eastAsia="Calibri" w:cstheme="minorHAnsi"/>
          <w:color w:val="000000"/>
          <w:szCs w:val="20"/>
        </w:rPr>
        <w:t xml:space="preserve">Pricing items: </w:t>
      </w:r>
    </w:p>
    <w:p w:rsidR="00B5560F" w:rsidRPr="00926CBA" w:rsidP="00B5560F">
      <w:pPr>
        <w:numPr>
          <w:ilvl w:val="1"/>
          <w:numId w:val="1"/>
        </w:numPr>
        <w:spacing w:line="240" w:lineRule="auto"/>
        <w:contextualSpacing/>
        <w:rPr>
          <w:rFonts w:eastAsia="Calibri" w:cstheme="minorHAnsi"/>
          <w:color w:val="000000"/>
          <w:szCs w:val="20"/>
        </w:rPr>
      </w:pPr>
      <w:r w:rsidRPr="00926CBA">
        <w:rPr>
          <w:rFonts w:eastAsia="Calibri" w:cstheme="minorHAnsi"/>
          <w:color w:val="000000"/>
          <w:szCs w:val="20"/>
          <w:u w:val="single"/>
        </w:rPr>
        <w:t xml:space="preserve">Complete the Price-Cost Schedule Section </w:t>
      </w:r>
      <w:r w:rsidRPr="00926CBA">
        <w:rPr>
          <w:rFonts w:eastAsia="Calibri" w:cstheme="minorHAnsi"/>
          <w:color w:val="000000"/>
          <w:szCs w:val="20"/>
        </w:rPr>
        <w:t xml:space="preserve">Pricing shall not be submitted anywhere else in the response. Items marked as NSP are not separately priced and used as placeholders. All CLINS shall be priced for BASE and all Option Years. </w:t>
      </w:r>
    </w:p>
    <w:p w:rsidR="00B5560F" w:rsidRPr="00926CBA" w:rsidP="00B5560F">
      <w:pPr>
        <w:spacing w:line="240" w:lineRule="auto"/>
        <w:rPr>
          <w:rFonts w:eastAsia="Calibri" w:cstheme="minorHAnsi"/>
          <w:color w:val="000000"/>
          <w:szCs w:val="20"/>
        </w:rPr>
      </w:pPr>
    </w:p>
    <w:p w:rsidR="00B5560F" w:rsidRPr="00926CBA" w:rsidP="00B5560F">
      <w:pPr>
        <w:numPr>
          <w:ilvl w:val="0"/>
          <w:numId w:val="1"/>
        </w:numPr>
        <w:spacing w:line="240" w:lineRule="auto"/>
        <w:contextualSpacing/>
        <w:rPr>
          <w:rFonts w:eastAsia="Calibri" w:cstheme="minorHAnsi"/>
          <w:color w:val="000000"/>
          <w:szCs w:val="20"/>
        </w:rPr>
      </w:pPr>
      <w:r w:rsidRPr="00926CBA">
        <w:rPr>
          <w:rFonts w:eastAsia="Calibri" w:cstheme="minorHAnsi"/>
          <w:color w:val="000000"/>
          <w:szCs w:val="20"/>
        </w:rPr>
        <w:t>Technical Items:</w:t>
      </w:r>
    </w:p>
    <w:p w:rsidR="00B5560F" w:rsidRPr="00926CBA" w:rsidP="00B5560F">
      <w:pPr>
        <w:numPr>
          <w:ilvl w:val="1"/>
          <w:numId w:val="1"/>
        </w:numPr>
        <w:spacing w:line="240" w:lineRule="auto"/>
        <w:contextualSpacing/>
        <w:rPr>
          <w:rFonts w:eastAsia="Calibri" w:cstheme="minorHAnsi"/>
          <w:color w:val="000000"/>
          <w:szCs w:val="20"/>
        </w:rPr>
      </w:pPr>
      <w:r w:rsidRPr="00926CBA">
        <w:rPr>
          <w:rFonts w:eastAsia="Calibri" w:cstheme="minorHAnsi"/>
          <w:color w:val="000000"/>
          <w:szCs w:val="20"/>
        </w:rPr>
        <w:t>(Narrative) Provide a detailed narrative that demonstrates overall awareness and understanding of the requirement. How will you meet the specific requirements outlined in the PWS.</w:t>
      </w:r>
    </w:p>
    <w:p w:rsidR="00B5560F" w:rsidRPr="00926CBA" w:rsidP="00B5560F">
      <w:pPr>
        <w:spacing w:line="240" w:lineRule="auto"/>
        <w:ind w:left="1440"/>
        <w:contextualSpacing/>
        <w:rPr>
          <w:rFonts w:eastAsia="Calibri" w:cstheme="minorHAnsi"/>
          <w:color w:val="000000"/>
          <w:szCs w:val="20"/>
        </w:rPr>
      </w:pPr>
    </w:p>
    <w:p w:rsidR="00B5560F" w:rsidRPr="00926CBA" w:rsidP="00B5560F">
      <w:pPr>
        <w:numPr>
          <w:ilvl w:val="1"/>
          <w:numId w:val="1"/>
        </w:numPr>
        <w:contextualSpacing/>
        <w:rPr>
          <w:rFonts w:eastAsia="Calibri" w:cstheme="minorHAnsi"/>
          <w:szCs w:val="20"/>
        </w:rPr>
      </w:pPr>
      <w:r w:rsidRPr="00926CBA">
        <w:rPr>
          <w:rFonts w:eastAsia="Calibri" w:cstheme="minorHAnsi"/>
          <w:szCs w:val="20"/>
        </w:rPr>
        <w:t>Quality Control Plan that indicates how the vendor will respond to issues that may arise regarding performance and steps undertaken to achieve corrections.</w:t>
      </w:r>
    </w:p>
    <w:p w:rsidR="00B5560F" w:rsidRPr="00926CBA" w:rsidP="00B5560F">
      <w:pPr>
        <w:ind w:left="1440"/>
        <w:contextualSpacing/>
        <w:rPr>
          <w:rFonts w:eastAsia="Calibri" w:cstheme="minorHAnsi"/>
          <w:szCs w:val="20"/>
        </w:rPr>
      </w:pPr>
    </w:p>
    <w:p w:rsidR="00B5560F" w:rsidRPr="00926CBA" w:rsidP="00B5560F">
      <w:pPr>
        <w:numPr>
          <w:ilvl w:val="1"/>
          <w:numId w:val="1"/>
        </w:numPr>
        <w:contextualSpacing/>
        <w:rPr>
          <w:rFonts w:eastAsia="Calibri" w:cstheme="minorHAnsi"/>
          <w:szCs w:val="20"/>
        </w:rPr>
      </w:pPr>
      <w:r w:rsidRPr="00926CBA">
        <w:rPr>
          <w:rFonts w:eastAsia="Calibri" w:cstheme="minorHAnsi"/>
          <w:szCs w:val="20"/>
        </w:rPr>
        <w:t xml:space="preserve">Continuity Plan that demonstrates responsibility to the needs of the Medical Centers which plans for common eventualities that may arise. From Section 8, contingency planning </w:t>
      </w:r>
    </w:p>
    <w:p w:rsidR="00B5560F" w:rsidRPr="00926CBA" w:rsidP="00B5560F">
      <w:pPr>
        <w:numPr>
          <w:ilvl w:val="2"/>
          <w:numId w:val="1"/>
        </w:numPr>
        <w:contextualSpacing/>
        <w:rPr>
          <w:rFonts w:eastAsia="Calibri" w:cstheme="minorHAnsi"/>
          <w:szCs w:val="20"/>
        </w:rPr>
      </w:pPr>
      <w:r w:rsidRPr="00926CBA">
        <w:rPr>
          <w:rFonts w:eastAsia="Calibri" w:cstheme="minorHAnsi"/>
          <w:szCs w:val="20"/>
        </w:rPr>
        <w:t>Weather Related</w:t>
      </w:r>
    </w:p>
    <w:p w:rsidR="00B5560F" w:rsidRPr="00926CBA" w:rsidP="00B5560F">
      <w:pPr>
        <w:numPr>
          <w:ilvl w:val="2"/>
          <w:numId w:val="1"/>
        </w:numPr>
        <w:contextualSpacing/>
        <w:rPr>
          <w:rFonts w:eastAsia="Calibri" w:cstheme="minorHAnsi"/>
          <w:szCs w:val="20"/>
        </w:rPr>
      </w:pPr>
      <w:r w:rsidRPr="00926CBA">
        <w:rPr>
          <w:rFonts w:eastAsia="Calibri" w:cstheme="minorHAnsi"/>
          <w:szCs w:val="20"/>
        </w:rPr>
        <w:t>Delivery Related</w:t>
      </w:r>
    </w:p>
    <w:p w:rsidR="00B5560F" w:rsidRPr="00926CBA" w:rsidP="00B5560F">
      <w:pPr>
        <w:numPr>
          <w:ilvl w:val="2"/>
          <w:numId w:val="1"/>
        </w:numPr>
        <w:contextualSpacing/>
        <w:rPr>
          <w:rFonts w:eastAsia="Calibri" w:cstheme="minorHAnsi"/>
          <w:szCs w:val="20"/>
        </w:rPr>
      </w:pPr>
      <w:r w:rsidRPr="00926CBA">
        <w:rPr>
          <w:rFonts w:eastAsia="Calibri" w:cstheme="minorHAnsi"/>
          <w:szCs w:val="20"/>
        </w:rPr>
        <w:t>Equipment Failures</w:t>
      </w:r>
    </w:p>
    <w:p w:rsidR="00B5560F" w:rsidP="00B5560F">
      <w:pPr>
        <w:numPr>
          <w:ilvl w:val="2"/>
          <w:numId w:val="1"/>
        </w:numPr>
        <w:contextualSpacing/>
        <w:rPr>
          <w:rFonts w:eastAsia="Calibri" w:cstheme="minorHAnsi"/>
          <w:szCs w:val="20"/>
        </w:rPr>
      </w:pPr>
      <w:r w:rsidRPr="00926CBA">
        <w:rPr>
          <w:rFonts w:eastAsia="Calibri" w:cstheme="minorHAnsi"/>
          <w:szCs w:val="20"/>
        </w:rPr>
        <w:t xml:space="preserve">Sustainability planning to meet sustainability requirements.  </w:t>
      </w:r>
    </w:p>
    <w:p w:rsidR="00B5560F" w:rsidRPr="00845A32" w:rsidP="00B5560F">
      <w:pPr>
        <w:ind w:left="2160"/>
        <w:contextualSpacing/>
        <w:rPr>
          <w:rFonts w:eastAsia="Calibri" w:cstheme="minorHAnsi"/>
          <w:szCs w:val="20"/>
        </w:rPr>
      </w:pPr>
    </w:p>
    <w:p w:rsidR="00B5560F" w:rsidRPr="00926CBA" w:rsidP="00B5560F">
      <w:pPr>
        <w:numPr>
          <w:ilvl w:val="1"/>
          <w:numId w:val="1"/>
        </w:numPr>
        <w:spacing w:line="240" w:lineRule="auto"/>
        <w:contextualSpacing/>
        <w:rPr>
          <w:rFonts w:eastAsia="Calibri" w:cstheme="minorHAnsi"/>
          <w:color w:val="000000"/>
          <w:szCs w:val="20"/>
        </w:rPr>
      </w:pPr>
      <w:r w:rsidRPr="00926CBA">
        <w:rPr>
          <w:rFonts w:eastAsia="Calibri" w:cstheme="minorHAnsi"/>
          <w:color w:val="000000"/>
          <w:szCs w:val="20"/>
        </w:rPr>
        <w:t xml:space="preserve">Provide a proposed project deployment schedule that identifies project rollout for the location identified in the Performance Work Statement. Provide key milestones and timelines demonstrating a clear and achievable implementation plan.  </w:t>
      </w:r>
    </w:p>
    <w:p w:rsidR="00B5560F" w:rsidRPr="00926CBA" w:rsidP="00B5560F">
      <w:pPr>
        <w:spacing w:line="240" w:lineRule="auto"/>
        <w:ind w:left="1440"/>
        <w:contextualSpacing/>
        <w:rPr>
          <w:rFonts w:eastAsia="Calibri" w:cstheme="minorHAnsi"/>
          <w:color w:val="000000"/>
          <w:szCs w:val="20"/>
        </w:rPr>
      </w:pPr>
    </w:p>
    <w:p w:rsidR="00B5560F" w:rsidRPr="00926CBA" w:rsidP="00B5560F">
      <w:pPr>
        <w:numPr>
          <w:ilvl w:val="1"/>
          <w:numId w:val="1"/>
        </w:numPr>
        <w:spacing w:line="240" w:lineRule="auto"/>
        <w:contextualSpacing/>
        <w:rPr>
          <w:rFonts w:eastAsia="Calibri" w:cstheme="minorHAnsi"/>
          <w:color w:val="000000"/>
          <w:szCs w:val="20"/>
        </w:rPr>
      </w:pPr>
      <w:r w:rsidRPr="00926CBA">
        <w:rPr>
          <w:rFonts w:eastAsia="Calibri" w:cstheme="minorHAnsi"/>
          <w:color w:val="000000"/>
          <w:szCs w:val="20"/>
        </w:rPr>
        <w:t xml:space="preserve">(Narrative) Technical Support Procedures: </w:t>
      </w:r>
    </w:p>
    <w:p w:rsidR="00B5560F" w:rsidRPr="00926CBA" w:rsidP="00B5560F">
      <w:pPr>
        <w:numPr>
          <w:ilvl w:val="2"/>
          <w:numId w:val="1"/>
        </w:numPr>
        <w:spacing w:line="240" w:lineRule="auto"/>
        <w:contextualSpacing/>
        <w:rPr>
          <w:rFonts w:eastAsia="Calibri" w:cstheme="minorHAnsi"/>
          <w:color w:val="000000"/>
          <w:szCs w:val="20"/>
        </w:rPr>
      </w:pPr>
      <w:r w:rsidRPr="00926CBA">
        <w:rPr>
          <w:rFonts w:eastAsia="Calibri" w:cstheme="minorHAnsi"/>
          <w:color w:val="000000"/>
          <w:szCs w:val="20"/>
        </w:rPr>
        <w:t xml:space="preserve">Please provide an example and plans for ensuring support and availability. These should include how your firm will handle common issues, escalation procedures, and response times for both business and after-hours support. Provide names and contact information for the vendor points of technical support and assistance. </w:t>
      </w:r>
    </w:p>
    <w:p w:rsidR="00B5560F" w:rsidRPr="00926CBA" w:rsidP="00B5560F">
      <w:pPr>
        <w:spacing w:line="240" w:lineRule="auto"/>
        <w:ind w:left="1440"/>
        <w:contextualSpacing/>
        <w:rPr>
          <w:rFonts w:eastAsia="Calibri" w:cstheme="minorHAnsi"/>
          <w:color w:val="000000"/>
          <w:szCs w:val="20"/>
        </w:rPr>
      </w:pPr>
    </w:p>
    <w:p w:rsidR="00B5560F" w:rsidRPr="00926CBA" w:rsidP="00B5560F">
      <w:pPr>
        <w:numPr>
          <w:ilvl w:val="1"/>
          <w:numId w:val="1"/>
        </w:numPr>
        <w:contextualSpacing/>
        <w:rPr>
          <w:rFonts w:eastAsia="Calibri" w:cstheme="minorHAnsi"/>
          <w:color w:val="000000"/>
          <w:szCs w:val="20"/>
        </w:rPr>
      </w:pPr>
      <w:r w:rsidRPr="00926CBA">
        <w:rPr>
          <w:rFonts w:eastAsia="Calibri" w:cstheme="minorHAnsi"/>
          <w:color w:val="000000"/>
          <w:szCs w:val="20"/>
        </w:rPr>
        <w:t xml:space="preserve">List all subcontractors (if utilized) for this requirement and describe what they will be performing. </w:t>
      </w:r>
    </w:p>
    <w:p w:rsidR="00B5560F" w:rsidRPr="00926CBA" w:rsidP="00B5560F">
      <w:pPr>
        <w:numPr>
          <w:ilvl w:val="2"/>
          <w:numId w:val="1"/>
        </w:numPr>
        <w:contextualSpacing/>
        <w:rPr>
          <w:rFonts w:eastAsia="Calibri" w:cstheme="minorHAnsi"/>
          <w:color w:val="000000"/>
          <w:szCs w:val="20"/>
        </w:rPr>
      </w:pPr>
      <w:r w:rsidRPr="00926CBA">
        <w:rPr>
          <w:rFonts w:eastAsia="Calibri" w:cstheme="minorHAnsi"/>
          <w:color w:val="000000"/>
          <w:szCs w:val="20"/>
        </w:rPr>
        <w:t xml:space="preserve">Include subcontractors’ qualifications and experience with similar projects. </w:t>
      </w:r>
    </w:p>
    <w:p w:rsidR="00B5560F" w:rsidRPr="00926CBA" w:rsidP="00B5560F">
      <w:pPr>
        <w:ind w:left="1440"/>
        <w:contextualSpacing/>
        <w:rPr>
          <w:rFonts w:eastAsia="Calibri" w:cstheme="minorHAnsi"/>
          <w:color w:val="000000"/>
          <w:szCs w:val="20"/>
        </w:rPr>
      </w:pPr>
      <w:r w:rsidRPr="00926CBA">
        <w:rPr>
          <w:rFonts w:eastAsia="Calibri" w:cstheme="minorHAnsi"/>
          <w:color w:val="000000"/>
          <w:szCs w:val="20"/>
        </w:rPr>
        <w:t xml:space="preserve">If no subcontractors will be used for this requirement, please state “No Subcontractors will be used for this requirement” within your technical response. </w:t>
      </w:r>
    </w:p>
    <w:p w:rsidR="00B5560F" w:rsidRPr="00926CBA" w:rsidP="00B5560F">
      <w:pPr>
        <w:spacing w:line="240" w:lineRule="auto"/>
        <w:ind w:left="1440"/>
        <w:contextualSpacing/>
        <w:rPr>
          <w:rFonts w:eastAsia="Calibri" w:cstheme="minorHAnsi"/>
          <w:color w:val="000000"/>
          <w:szCs w:val="20"/>
        </w:rPr>
      </w:pPr>
    </w:p>
    <w:p w:rsidR="00B5560F" w:rsidRPr="00926CBA" w:rsidP="00B5560F">
      <w:pPr>
        <w:numPr>
          <w:ilvl w:val="0"/>
          <w:numId w:val="1"/>
        </w:numPr>
        <w:spacing w:line="240" w:lineRule="auto"/>
        <w:contextualSpacing/>
        <w:rPr>
          <w:rFonts w:eastAsia="Calibri" w:cstheme="minorHAnsi"/>
          <w:color w:val="000000"/>
          <w:szCs w:val="20"/>
        </w:rPr>
      </w:pPr>
      <w:r w:rsidRPr="00926CBA">
        <w:rPr>
          <w:rFonts w:eastAsia="Calibri" w:cstheme="minorHAnsi"/>
          <w:color w:val="000000"/>
          <w:szCs w:val="20"/>
        </w:rPr>
        <w:t>Past Performance:</w:t>
      </w:r>
    </w:p>
    <w:p w:rsidR="00B5560F" w:rsidRPr="00926CBA" w:rsidP="00B5560F">
      <w:pPr>
        <w:numPr>
          <w:ilvl w:val="1"/>
          <w:numId w:val="1"/>
        </w:numPr>
        <w:spacing w:line="240" w:lineRule="auto"/>
        <w:contextualSpacing/>
        <w:rPr>
          <w:rFonts w:eastAsia="Calibri" w:cstheme="minorHAnsi"/>
          <w:color w:val="000000"/>
          <w:szCs w:val="20"/>
        </w:rPr>
      </w:pPr>
      <w:r w:rsidRPr="00926CBA">
        <w:rPr>
          <w:rFonts w:eastAsia="Calibri" w:cstheme="minorHAnsi"/>
          <w:color w:val="000000"/>
          <w:szCs w:val="20"/>
        </w:rPr>
        <w:t xml:space="preserve">Provide at least 3 references to other similarly sized and scope projects that you have performed in the past 4 years. </w:t>
      </w:r>
    </w:p>
    <w:p w:rsidR="00B5560F" w:rsidRPr="00926CBA" w:rsidP="00B5560F">
      <w:pPr>
        <w:numPr>
          <w:ilvl w:val="2"/>
          <w:numId w:val="1"/>
        </w:numPr>
        <w:spacing w:line="240" w:lineRule="auto"/>
        <w:contextualSpacing/>
        <w:rPr>
          <w:rFonts w:eastAsia="Calibri" w:cstheme="minorHAnsi"/>
          <w:color w:val="000000"/>
          <w:szCs w:val="20"/>
        </w:rPr>
      </w:pPr>
      <w:r w:rsidRPr="00926CBA">
        <w:rPr>
          <w:rFonts w:eastAsia="Calibri" w:cstheme="minorHAnsi"/>
          <w:color w:val="000000"/>
          <w:szCs w:val="20"/>
        </w:rPr>
        <w:t xml:space="preserve">Contract information, including start dates, ultimate completion date, and total contract value. </w:t>
      </w:r>
    </w:p>
    <w:p w:rsidR="00B5560F" w:rsidRPr="00926CBA" w:rsidP="00B5560F">
      <w:pPr>
        <w:numPr>
          <w:ilvl w:val="2"/>
          <w:numId w:val="1"/>
        </w:numPr>
        <w:spacing w:line="240" w:lineRule="auto"/>
        <w:contextualSpacing/>
        <w:rPr>
          <w:rFonts w:eastAsia="Calibri" w:cstheme="minorHAnsi"/>
          <w:color w:val="000000"/>
          <w:szCs w:val="20"/>
        </w:rPr>
      </w:pPr>
      <w:r w:rsidRPr="00926CBA">
        <w:rPr>
          <w:rFonts w:eastAsia="Calibri" w:cstheme="minorHAnsi"/>
          <w:color w:val="000000"/>
          <w:szCs w:val="20"/>
        </w:rPr>
        <w:t>Point of Contact (POC), Contracting Officer, COR, or Technical POC name and contact information including phone number and email address.</w:t>
      </w:r>
    </w:p>
    <w:p w:rsidR="00B5560F" w:rsidP="00B5560F">
      <w:pPr>
        <w:numPr>
          <w:ilvl w:val="2"/>
          <w:numId w:val="1"/>
        </w:numPr>
        <w:spacing w:line="240" w:lineRule="auto"/>
        <w:contextualSpacing/>
        <w:rPr>
          <w:rFonts w:eastAsia="Calibri" w:cstheme="minorHAnsi"/>
          <w:color w:val="000000"/>
          <w:szCs w:val="20"/>
        </w:rPr>
      </w:pPr>
      <w:r w:rsidRPr="00926CBA">
        <w:rPr>
          <w:rFonts w:eastAsia="Calibri" w:cstheme="minorHAnsi"/>
          <w:color w:val="000000"/>
          <w:szCs w:val="20"/>
        </w:rPr>
        <w:t>A brief description and narrative on services performed.</w:t>
      </w:r>
    </w:p>
    <w:p w:rsidR="00B5560F" w:rsidP="00B5560F">
      <w:pPr>
        <w:spacing w:line="240" w:lineRule="auto"/>
        <w:ind w:left="2160"/>
        <w:contextualSpacing/>
        <w:rPr>
          <w:rFonts w:eastAsia="Calibri" w:cstheme="minorHAnsi"/>
          <w:color w:val="000000"/>
          <w:szCs w:val="20"/>
        </w:rPr>
      </w:pPr>
    </w:p>
    <w:p w:rsidR="00B5560F" w:rsidP="00B5560F">
      <w:pPr>
        <w:numPr>
          <w:ilvl w:val="0"/>
          <w:numId w:val="1"/>
        </w:numPr>
        <w:spacing w:line="240" w:lineRule="auto"/>
        <w:contextualSpacing/>
        <w:rPr>
          <w:rFonts w:eastAsia="Calibri" w:cstheme="minorHAnsi"/>
          <w:color w:val="000000"/>
          <w:szCs w:val="20"/>
        </w:rPr>
      </w:pPr>
      <w:r>
        <w:rPr>
          <w:rFonts w:eastAsia="Calibri" w:cstheme="minorHAnsi"/>
          <w:color w:val="000000"/>
          <w:szCs w:val="20"/>
        </w:rPr>
        <w:t>Veterans Involvement:</w:t>
      </w:r>
    </w:p>
    <w:p w:rsidR="00B5560F" w:rsidP="00B5560F">
      <w:pPr>
        <w:numPr>
          <w:ilvl w:val="1"/>
          <w:numId w:val="1"/>
        </w:numPr>
        <w:spacing w:line="240" w:lineRule="auto"/>
        <w:contextualSpacing/>
        <w:rPr>
          <w:rFonts w:eastAsia="Calibri" w:cstheme="minorHAnsi"/>
          <w:color w:val="000000"/>
          <w:szCs w:val="20"/>
        </w:rPr>
      </w:pPr>
      <w:r>
        <w:rPr>
          <w:rFonts w:eastAsia="Calibri" w:cstheme="minorHAnsi"/>
          <w:color w:val="000000"/>
          <w:szCs w:val="20"/>
        </w:rPr>
        <w:t xml:space="preserve">To receive credit for this section all SDVOSB or VOSB concerns must have SBA Certification and not self-reporting SDVOSB/VOSB status. </w:t>
      </w:r>
    </w:p>
    <w:p w:rsidR="00B5560F" w:rsidP="00B5560F">
      <w:pPr>
        <w:numPr>
          <w:ilvl w:val="1"/>
          <w:numId w:val="1"/>
        </w:numPr>
        <w:spacing w:line="240" w:lineRule="auto"/>
        <w:contextualSpacing/>
        <w:rPr>
          <w:rFonts w:eastAsia="Calibri" w:cstheme="minorHAnsi"/>
          <w:color w:val="000000"/>
          <w:szCs w:val="20"/>
        </w:rPr>
      </w:pPr>
      <w:r>
        <w:rPr>
          <w:rFonts w:eastAsia="Calibri" w:cstheme="minorHAnsi"/>
          <w:color w:val="000000"/>
          <w:szCs w:val="20"/>
        </w:rPr>
        <w:t xml:space="preserve">Provide SBA Small Business search screenshot or SBA Certificate that demonstrates either the prime or subcontractor (if utilized) is an SDVOSB or VOSB concern. </w:t>
      </w:r>
    </w:p>
    <w:p w:rsidR="00B5560F" w:rsidRPr="00845A32" w:rsidP="00B5560F">
      <w:pPr>
        <w:numPr>
          <w:ilvl w:val="1"/>
          <w:numId w:val="1"/>
        </w:numPr>
        <w:spacing w:line="240" w:lineRule="auto"/>
        <w:contextualSpacing/>
        <w:rPr>
          <w:rFonts w:eastAsia="Calibri" w:cstheme="minorHAnsi"/>
          <w:color w:val="000000"/>
          <w:szCs w:val="20"/>
        </w:rPr>
      </w:pPr>
      <w:r>
        <w:rPr>
          <w:rFonts w:eastAsia="Calibri" w:cstheme="minorHAnsi"/>
          <w:color w:val="000000"/>
          <w:szCs w:val="20"/>
        </w:rPr>
        <w:t xml:space="preserve">Please state whether offeror is/is not SDVOSB or VOSB concern and is/is not subcontracting to an SDVOSB or VOSB concern. </w:t>
      </w:r>
    </w:p>
    <w:p w:rsidR="00B5560F" w:rsidP="00B5560F"/>
    <w:p w:rsidR="003F5DAD"/>
    <w:p w:rsidR="00242FEF" w:rsidP="00242FEF">
      <w:pPr>
        <w:pStyle w:val="Heading2"/>
      </w:pPr>
      <w:r>
        <w:t>A.1</w:t>
      </w:r>
      <w:r w:rsidR="00BF42E3">
        <w:t xml:space="preserve"> </w:t>
      </w:r>
      <w:r w:rsidR="002C71A2">
        <w:t>PRICE/COST SCHEDULE</w:t>
      </w:r>
    </w:p>
    <w:p w:rsidR="00242FEF" w:rsidP="00242FEF">
      <w:pPr>
        <w:pStyle w:val="Heading3"/>
      </w:pPr>
      <w:r>
        <w:t>ITEM INFORMATION</w:t>
      </w:r>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Preventative Maintenance and Support: All items below are units that are covered under this arrangement and are labelled as the following.  </w:t>
              <w:br/>
              <w:br/>
              <w:t>Equipment | EQ ID # | Make | Model | Serial # | Frequency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0001AA</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17841 | Tennant | 9003538 | 900353-0404991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0001AB</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17842 | Tennant | 9003538 | 900353-1040989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0001AC</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17843 | Tennant | 9003538 | 900353-0405425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0001AD</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17844 | Tennant |  9003538 | 900353-0404994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0001AE</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17845 | Tennant |  9003538 | 900353-0404993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0001AF</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17846 | Tennant | 9003538 | 900353-0404990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0001AG</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17847 | Tennant | 9003538 | 900353-0404998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0001AH</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17848 | Tennant | 9003538 | 90035310405424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0001AJ</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power cord | 18211 | Tennant | 2370 | 100015-0411851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0001AK</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power cord |18212</w:t>
              <w:tab/>
              <w:t>| Tennant</w:t>
              <w:tab/>
              <w:t>| 2370 | 100015-0411853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0001AL</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power cord | 19169 | Tennant | 2370 | 100015-0411863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0001AM</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power cord |19170 | Tennant</w:t>
              <w:tab/>
              <w:t>| 2370 | 100015-0412479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0001AN</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power cord | 20322 | Tennant | 2370 | 10015-10412470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0001AP</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power cord | 20417 |Tennant</w:t>
              <w:tab/>
              <w:t>2370 | 10015-10412471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0001AQ</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Extractor, walk behind | 18058 | Tennant | 1260 | 100055-0406850 | Semi-annual</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0001AR</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Extractor, walk behind | 18059 | Tennant | 1260 | 100055-0405326</w:t>
              <w:tab/>
              <w:t>| Semi-annual</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0001AS</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Vacuum, Wet/Dry | 18062 | Tennant | Typhoon | 608817-0405629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0001AT</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Vacuum, Wet/Dry | 18063 | Tennant | Typhoon| 608817-0406492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0001AU</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Vacuum, Wet/Dry | 18353 | NSS | 800806 | 3868435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0001AV</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Automatic | 18358 | Tennant | T3 |</w:t>
              <w:tab/>
              <w:t>900357-1049248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0001AW</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Extractor, Canister | 18359 | Tennant | EX-CAN-15-HPH | 900762-0491158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0001AX</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Vapor-Steam Cleaner | 18797  | Goodway | GVC-1750V | 00056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0001AY</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Vapor-Steam Cleaner  | 18798 | Goodway | GVC-1750V | 00059</w:t>
              <w:tab/>
              <w:t>|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0001AZ</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Riding | 19191</w:t>
              <w:tab/>
              <w:t>| Tennant</w:t>
              <w:tab/>
              <w:t>| T7</w:t>
              <w:tab/>
              <w:t>| T7-10536795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0001BA</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Riding | 19192</w:t>
              <w:tab/>
              <w:t>| Tennant</w:t>
              <w:tab/>
              <w:t>| T7</w:t>
              <w:tab/>
              <w:t>| T7-10526794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0001BB</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Walk-Behind</w:t>
              <w:tab/>
              <w:t>| 19189 | Tennant</w:t>
              <w:tab/>
              <w:t>T5  | T5-10527323</w:t>
              <w:tab/>
              <w:t>|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0001BC</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Walk-Behind | 19190 | Tennant | T5 | T5-10527322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0001BD</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Carpet Agitator | 20594 | Duplex | Duplex 92 | 47149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0001BE</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Power Washer</w:t>
              <w:tab/>
              <w:t>| 19827 | Goodway | GPW-1400-60 | 002002 | Semi-annual</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0001BF</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Carpet Agitator | 21037 | Duplex | Duplex 92  | 48010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0001BG</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Walk-Behind | 22897 | Tennant | T5 | T5-10655520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0001BH</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Walk-Behind | 23228 | Tennant | T3 | 900357-10663106  | Monthly</w:t>
              <w:br/>
              <w:t>Contract Period: Base</w:t>
              <w:br/>
              <w:t>POP Begin: 05-15-2026</w:t>
              <w:br/>
              <w:t>POP End: 05-14-2027</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Preventative Maintenance and Support: All items below are units that are covered under this arrangement and are labelled as the following.  </w:t>
              <w:br/>
              <w:br/>
              <w:t>Equipment | EQ ID # | Make | Model | Serial # | Frequency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1001AA</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17841 | Tennant | 9003538 | 900353-0404991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1001AB</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17842 | Tennant | </w:t>
              <w:tab/>
              <w:t>9003538 | 900353-1040989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1001AC</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17843 | Tennant | 9003538 |</w:t>
              <w:tab/>
              <w:t>900353-0405425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1001AD</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17844 | Tennant | 9003538</w:t>
              <w:tab/>
              <w:t>900353-0404994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1001AE</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17845 | Tennant  |</w:t>
              <w:tab/>
              <w:t>9003538 | 900353-0404993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1001AF</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17846 | Tennant | </w:t>
              <w:tab/>
              <w:t>9003538 | 900353-0404990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1001AG</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17847 | Tennant | </w:t>
              <w:tab/>
              <w:t>9003538 | 900353-0404998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1001AH</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17848 | Tennant | </w:t>
              <w:tab/>
              <w:t>9003538 | 90035310405424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1001AJ</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18211 | Tennant | </w:t>
              <w:tab/>
              <w:t>2370 | 100015-0411851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1001AK</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18212 | Tennant | </w:t>
              <w:tab/>
              <w:t>2370 | 100015-0411853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1001AL</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19169 | Tennant | </w:t>
              <w:tab/>
              <w:t>2370 | 100015-0411863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1001AM</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19170 | Tennant | </w:t>
              <w:tab/>
              <w:t>2370 | 100015-0412479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1001AN</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power cord | 20322 | Tennant |</w:t>
              <w:tab/>
              <w:t>2370 | 10015-10412470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1001AP</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20417 | Tennant | </w:t>
              <w:tab/>
              <w:t>2370 | 10015-10412471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1001AQ</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Extractor, walk behind | 18058 | Tennant | </w:t>
              <w:tab/>
              <w:t>1260 | 100055-0406850 | Semi-annual</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1001AR</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Extractor, walk behind | 18059 | Tennant |</w:t>
              <w:tab/>
              <w:t>1260 | 100055-0405326 | Semi-annual</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1001AS</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Vacuum, Wet/Dry | 18062 | Tennant |</w:t>
              <w:tab/>
              <w:t>Typhoon</w:t>
              <w:tab/>
              <w:t>| 608817-0405629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1001AT</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Vacuum, Wet/Dry | 18063 | Tennant |</w:t>
              <w:tab/>
              <w:t>Typhoon | 608817-0406492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1001AU</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Vacuum, Wet/Dry | 18353 | NSS | 800806 | </w:t>
              <w:tab/>
              <w:t>3868435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1001AV</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Scrubber, Automatic | 18358 | Tennant | T3 | </w:t>
              <w:tab/>
              <w:t>900357-1049248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1001AW</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Extractor, Canister | 18359 | Tennant | EX-CAN-15-HPH | 900762-0491158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1001AX</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Vapor-Steam Cleaner | 18797</w:t>
              <w:tab/>
              <w:t>| Goodway</w:t>
              <w:tab/>
              <w:t>GVC-1750V | 00056</w:t>
              <w:tab/>
              <w:t>|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1001AY</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Vapor-Steam Cleaner | 18798</w:t>
              <w:tab/>
              <w:t xml:space="preserve">| Goodway | </w:t>
              <w:tab/>
              <w:t>GVC-1750V | 00059</w:t>
              <w:tab/>
              <w:t>|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1001AZ</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Riding | 19191</w:t>
              <w:tab/>
              <w:t>| Tennant</w:t>
              <w:tab/>
              <w:t>| T7</w:t>
              <w:tab/>
              <w:t>| T7-10536795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1001BA</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Riding | 19192</w:t>
              <w:tab/>
              <w:t>| Tennant</w:t>
              <w:tab/>
              <w:t>| T7</w:t>
              <w:tab/>
              <w:t>| T7-10526794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1001BB</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Scrubber, Walk-Behind | 19189 | Tennant | T5 | </w:t>
              <w:tab/>
              <w:t>T5-10527323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1001BC</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Walk-Behind | 19190 | Tennant |T5</w:t>
              <w:tab/>
              <w:t>| T5-10527322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1001BD</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Carpet Agitator | 20594</w:t>
              <w:tab/>
              <w:t>| Duplex</w:t>
              <w:tab/>
              <w:t xml:space="preserve">| Duplex 92 | </w:t>
              <w:tab/>
              <w:t>47149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1001BE</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Power Washer</w:t>
              <w:tab/>
              <w:t>| 19827 | Goodway</w:t>
              <w:tab/>
              <w:t>| GPW-1400-60 | 002002 | Semi-annual</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1001BF</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Carpet Agitator | 21037 | Duplex | Duplex 92 | </w:t>
              <w:tab/>
              <w:t>48010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1001BG</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Walk-Behind | 22897 | Tennant | T5  |</w:t>
              <w:tab/>
              <w:t>T5-10655520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1001BH</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Walk-Behind | 23228 | Tennant | T3 |</w:t>
              <w:tab/>
              <w:t>900357-10663106 | Monthly</w:t>
              <w:br/>
              <w:t>Contract Period: Option 1</w:t>
              <w:br/>
              <w:t>POP Begin: 05-15-2025</w:t>
              <w:br/>
              <w:t>POP End: 05-14-2028</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Preventative Maintenance and Support: All items below are units that are covered under this arrangement and are labelled as the following.  </w:t>
              <w:br/>
              <w:br/>
              <w:t>Equipment | EQ ID # | Make | Model | Serial # | Frequency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2001AA</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17841 | Tennant | </w:t>
              <w:tab/>
              <w:t>9003538</w:t>
              <w:tab/>
              <w:t>| 900353-0404991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2001AB</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17842 | Tennant |</w:t>
              <w:tab/>
              <w:t>9003538</w:t>
              <w:tab/>
              <w:t>| 900353-1040989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2001AC</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17843 | Tennant | </w:t>
              <w:tab/>
              <w:t>9003538 | 900353-0405425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2001AD</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17844 | Tennant |</w:t>
              <w:tab/>
              <w:t>9003538 | 900353-0404994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2001AE</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17845 | Tennant | </w:t>
              <w:tab/>
              <w:t>9003538</w:t>
              <w:tab/>
              <w:t>| 900353-0404993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2001AF</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17846 | Tennant |</w:t>
              <w:tab/>
              <w:t>9003538 | 900353-0404990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2001AG</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17847 | Tennant | </w:t>
              <w:tab/>
              <w:t>9003538 | 900353-0404998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2001AH</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17848 | Tennant | </w:t>
              <w:tab/>
              <w:t>9003538</w:t>
              <w:tab/>
              <w:t>| 90035310405424</w:t>
              <w:tab/>
              <w:t>|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2001AJ</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18211 | Tennant | </w:t>
              <w:tab/>
              <w:t>2370 | 100015-0411851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2001AK</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18212 | Tennant | </w:t>
              <w:tab/>
              <w:t>2370 | 100015-0411853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2001AL</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19169 | Tennant | </w:t>
              <w:tab/>
              <w:t>2370 | 100015-0411863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2001AM</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19170 | Tennant | </w:t>
              <w:tab/>
              <w:t>2370 | 100015-0412479</w:t>
              <w:tab/>
              <w:t>|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2001AP</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20322 | Tennant | </w:t>
              <w:tab/>
              <w:t>2370 | 10015-10412470</w:t>
              <w:tab/>
              <w:t>|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2001AQ</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20417 | Tennant | </w:t>
              <w:tab/>
              <w:t>2370 | 10015-10412471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2001AR</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Extractor, walk behind | 18058 | Tennant | </w:t>
              <w:tab/>
              <w:t>1260 | 100055-0406850 | Semi-annual</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2001AS</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Extractor, walk behind | 18059 | Tennant  |</w:t>
              <w:tab/>
              <w:t>1260 | 100055-0405326</w:t>
              <w:tab/>
              <w:t>| Semi-annual</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2001AT</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Vacuum, Wet/Dry | 18062 | Tennant | </w:t>
              <w:tab/>
              <w:t>Typhoon</w:t>
              <w:tab/>
              <w:t>| 608817-0405629</w:t>
              <w:tab/>
              <w:t>|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2001AU</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Vacuum, Wet/Dry | 18063 | Tennant | </w:t>
              <w:tab/>
              <w:t>Typhoon</w:t>
              <w:tab/>
              <w:t>| 608817-0406492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2001AV</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Vacuum, Wet/Dry | 18353 | NSS | 800806 |</w:t>
              <w:tab/>
              <w:t>3868435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2001AW</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Automatic | 18358</w:t>
              <w:tab/>
              <w:t xml:space="preserve"> | Tennant | T3 | </w:t>
              <w:tab/>
              <w:t>900357-1049248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2001AX</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Extractor, Canister | 18359 | Tennant | EX-CAN-15-HPH | 900762-0491158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2001AY</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Vapor-Steam Cleaner | 18797</w:t>
              <w:tab/>
              <w:t xml:space="preserve">| Goodway | </w:t>
              <w:tab/>
              <w:t>GVC-1750V | 00056</w:t>
              <w:tab/>
              <w:t xml:space="preserve">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2001AZ</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Vapor-Steam Cleaner | 18798</w:t>
              <w:tab/>
              <w:t xml:space="preserve">| Goodway | </w:t>
              <w:tab/>
              <w:t>GVC-1750V | 00059</w:t>
              <w:tab/>
              <w:t>|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2001BA</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Riding | 19191 | Tennant</w:t>
              <w:tab/>
              <w:t>T7 | T7-10536795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2001BB</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Riding | 19192</w:t>
              <w:tab/>
              <w:t>| Tennant</w:t>
              <w:tab/>
              <w:t>| T7</w:t>
              <w:tab/>
              <w:t>| T7-10526794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2001BC</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Scrubber, Walk-Behind | 19189 | Tennant | T5 | </w:t>
              <w:tab/>
              <w:t>T5-10527323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2001BD</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Scrubber, Walk-Behind | 19190 | Tennant | T5 | </w:t>
              <w:tab/>
              <w:t>T5-10527322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2001BE</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Carpet Agitator | 20594</w:t>
              <w:tab/>
              <w:t xml:space="preserve">| Duplex | Duplex 92 | </w:t>
              <w:tab/>
              <w:t>47149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2001BF</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Power Washer | 19827 | Goodway | GPW-1400-60 | 002002 | Semi-annual</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2001BG</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Carpet Agitator | 21037 | Duplex | Duplex 92 | </w:t>
              <w:tab/>
              <w:t>48010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2001BH</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Scrubber, Walk-Behind | 22897 | Tennant | T5 | </w:t>
              <w:tab/>
              <w:t>T5-10655520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2001BJ</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Scrubber, Walk-Behind | 23228 | Tennant | T3 | </w:t>
              <w:tab/>
              <w:t>900357-10663106 | Monthly</w:t>
              <w:br/>
              <w:t>Contract Period: Option 2</w:t>
              <w:br/>
              <w:t>POP Begin: 05-15-2028</w:t>
              <w:br/>
              <w:t>POP End: 05-14-2029</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Preventative Maintenance and Support: All items below are units that are covered under this arrangement and are labelled as the following.  </w:t>
              <w:br/>
              <w:br/>
              <w:t>Equipment | EQ ID # | Make | Model | Serial # | Frequency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3001AA</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17841 | Tennant | </w:t>
              <w:tab/>
              <w:t>9003538 | 900353-0404991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3001AB</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17842 | Tennant | </w:t>
              <w:tab/>
              <w:t>9003538 | 900353-1040989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3001AC</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17843 | Tennant | </w:t>
              <w:tab/>
              <w:t>9003538 | 900353-0405425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3001AD</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17844 | Tennant | </w:t>
              <w:tab/>
              <w:t>9003538 | 900353-0404994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3001AE</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17845 | Tennant | </w:t>
              <w:tab/>
              <w:t>9003538 | 900353-0404993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3001AF</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17846 | Tennant | </w:t>
              <w:tab/>
              <w:t>9003538 | 900353-0404990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3001AG</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17847 | Tennant | </w:t>
              <w:tab/>
              <w:t>9003538 | 900353-0404998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3001AH</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17848 | Tennant | </w:t>
              <w:tab/>
              <w:t>9003538 | 90035310405424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3001AJ</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18211 | Tennant | </w:t>
              <w:tab/>
              <w:t>2370 | 100015-0411851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3001AK</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18212 | Tennant | </w:t>
              <w:tab/>
              <w:t>2370 | 100015-0411853</w:t>
              <w:tab/>
              <w:t>|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3001AL</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19169 | Tennant | </w:t>
              <w:tab/>
              <w:t>2370 | 100015-0411863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3001AM</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19170 | Tennant | </w:t>
              <w:tab/>
              <w:t>2370 | 100015-0412479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3001AN</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20322 | Tennant | </w:t>
              <w:tab/>
              <w:t>2370 | 10015-10412470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3001AP</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20417 | Tennant | </w:t>
              <w:tab/>
              <w:t>2370 | 10015-10412471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3001AQ</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Extractor, walk behind | 18058 | Tennant | </w:t>
              <w:tab/>
              <w:t>1260 | 100055-0406850 | Semi-annual</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3001AR</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Extractor, walk behind | 18059 | Tennant | </w:t>
              <w:tab/>
              <w:t>1260 | 100055-0405326 | Semi-annual</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3001AS</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Vacuum, Wet/Dry | 18062 | Tennant | </w:t>
              <w:tab/>
              <w:t>Typhoon | 608817-0405629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3001AT</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Vacuum, Wet/Dry | 18063 | Tennant |</w:t>
              <w:tab/>
              <w:t>Typhoon</w:t>
              <w:tab/>
              <w:t>| 608817-0406492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3001AU</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Vacuum, Wet/Dry | 18353 | NSS | 800806 | </w:t>
              <w:tab/>
              <w:t>3868435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3001AV</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Scrubber, Automatic | 18358 | Tennant | T3 | </w:t>
              <w:tab/>
              <w:t>900357-1049248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3001AW</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Extractor, Canister | 18359 | Tennant | EX-CAN-15-HPH | 900762-0491158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3001AX</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Vapor-Steam Cleaner | 18797</w:t>
              <w:tab/>
              <w:t>| Goodway |</w:t>
              <w:tab/>
              <w:t>GVC-1750V | 00056</w:t>
              <w:tab/>
              <w:t>|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3001AY</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Vapor-Steam Cleaner | 18798</w:t>
              <w:tab/>
              <w:t>| Goodway |</w:t>
              <w:tab/>
              <w:t>GVC-1750V | 00059</w:t>
              <w:tab/>
              <w:t>|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3001AZ</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Riding | 19191</w:t>
              <w:tab/>
              <w:t>| |Tennant | T7</w:t>
              <w:tab/>
              <w:t>| T7-10536795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3001BA</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Riding | 19192</w:t>
              <w:tab/>
              <w:t xml:space="preserve"> | Tennant | T7</w:t>
              <w:tab/>
              <w:t>| T7-10526794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3001BB</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Walk-Behind | 19189 | Tennant | T5 |</w:t>
              <w:tab/>
              <w:t>T5-10527323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3001BC</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Walk-Behind | 19190 | Tennant | T5 |</w:t>
              <w:tab/>
              <w:t>T5-10527322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3001BD</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Carpet Agitator | 20594 | Duplex | Duplex 92 | </w:t>
              <w:tab/>
              <w:t>47149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3001BE</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Power Washer</w:t>
              <w:tab/>
              <w:t>19827 | Goodway | GPW-1400-60 | 002002 | Semi-annual</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3001BF</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Carpet Agitator | 21037 | Duplex | Duplex 92 | </w:t>
              <w:tab/>
              <w:t>48010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3001BG</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Walk-Behind | 22897 | Tennant | T5  |</w:t>
              <w:tab/>
              <w:t>T5-10655520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3001BH</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Walk-Behind | 23228 | Tennant | T3 |</w:t>
              <w:tab/>
              <w:t>900357-10663106 | Monthly</w:t>
              <w:br/>
              <w:t>Contract Period: Option 3</w:t>
              <w:br/>
              <w:t>POP Begin: 05-15-2029</w:t>
              <w:br/>
              <w:t>POP End: 05-14-2030</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Preventative Maintenance and Support: All items below are units that are covered under this arrangement and are labelled as the following.  </w:t>
              <w:br/>
              <w:br/>
              <w:t>Equipment | EQ ID # | Make | Model | Serial # | Frequency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4001AA</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17841 | Tennant | </w:t>
              <w:tab/>
              <w:t>9003538 | 900353-0404991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4001AB</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Battery | 17842 | Tennant |</w:t>
              <w:tab/>
              <w:t>9003538</w:t>
              <w:tab/>
              <w:t>| 900353-1040989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4001AC</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17843 | Tennant | </w:t>
              <w:tab/>
              <w:t>9003538 | 900353-0405425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4001AD</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17844 | Tennant | </w:t>
              <w:tab/>
              <w:t>9003538 | 900353-0404994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4001AE</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17845 | Tennant | </w:t>
              <w:tab/>
              <w:t>9003538 | 900353-0404993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4001AF</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17846 | Tennant | </w:t>
              <w:tab/>
              <w:t>9003538 | 900353-0404990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4001AG</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17847 | Tennant | </w:t>
              <w:tab/>
              <w:t>9003538 | 900353-0404998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4001AH</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Battery | 17848 | Tennant | </w:t>
              <w:tab/>
              <w:t>9003538 | 90035310405424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4001AJ</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18211 | Tennant | </w:t>
              <w:tab/>
              <w:t>2370 | 100015-0411851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4001AL</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18212 | Tennant | </w:t>
              <w:tab/>
              <w:t>2370 | 100015-0411853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4001AM</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19169 | Tennant | 2370 | </w:t>
              <w:tab/>
              <w:t>100015-0411863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4001AN</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19170 | Tennant | </w:t>
              <w:tab/>
              <w:t>2370 | 100015-0412479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4001AP</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Burnisher, power cord | 20322 | Tennant |</w:t>
              <w:tab/>
              <w:t>2370 | 10015-10412470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4001AQ</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Burnisher, power cord | 20417 | Tennant | </w:t>
              <w:tab/>
              <w:t>2370 | 10015-10412471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4001AR</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Extractor, walk behind | 18058 | Tennant | </w:t>
              <w:tab/>
              <w:t>1260 | 100055-0406850 | Semi-annual</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4001AS</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Extractor, walk behind | 18059 | Tennant | </w:t>
              <w:tab/>
              <w:t>1260 | 100055-0405326 | Semi-annual</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4001AT</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Vacuum, Wet/Dry | 18062 | Tennant | </w:t>
              <w:tab/>
              <w:t>Typhoon</w:t>
              <w:tab/>
              <w:t>| 608817-0405629</w:t>
              <w:tab/>
              <w:t>|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4001AU</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Vacuum, Wet/Dry | 18063 | Tennant | </w:t>
              <w:tab/>
              <w:t>Typhoon</w:t>
              <w:tab/>
              <w:t>| 608817-0406492</w:t>
              <w:tab/>
              <w:t>|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4001AV</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Vacuum, Wet/Dry | 18353 | NSS | 800806 | </w:t>
              <w:tab/>
              <w:t>3868435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4001AW</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Scrubber, Automatic | 18358 | Tennant | </w:t>
              <w:br/>
              <w:t>T3 | 900357-1049248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4001AX</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Extractor, Canister | 18359 | Tennant | EX-CAN-15-HPH | 900762-0491158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4001AY</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Vapor-Steam Cleaner | 18797 | Goodway |</w:t>
              <w:tab/>
              <w:t>GVC-1750V | 00056</w:t>
              <w:tab/>
              <w:t>|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4001AZ</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Vapor-Steam Cleaner | 18798 | Goodway | </w:t>
              <w:tab/>
              <w:t>GVC-1750V | 00059</w:t>
              <w:tab/>
              <w:t>|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4001BA</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Riding | 19191</w:t>
              <w:tab/>
              <w:t>| Tennant</w:t>
              <w:tab/>
              <w:t>| T7</w:t>
              <w:tab/>
              <w:t>| T7-10536795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4001BB</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Riding | 19192</w:t>
              <w:tab/>
              <w:t>| Tennant</w:t>
              <w:tab/>
              <w:t>| T7</w:t>
              <w:tab/>
              <w:t>| T7-10526794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4001BC</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Walk-Behind | 19189 | Tennant | T5</w:t>
              <w:tab/>
              <w:t xml:space="preserve"> | T5-10527323</w:t>
              <w:tab/>
              <w:t>|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4001BD</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Scrubber, Walk-Behind | 19190 | Tennant | T5 |</w:t>
              <w:tab/>
              <w:t>T5-10527322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4001BE</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Carpet Agitator | 20594</w:t>
              <w:tab/>
              <w:t>| Duplex</w:t>
              <w:tab/>
              <w:t>| Duplex 92</w:t>
              <w:tab/>
              <w:t>47149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4001BF</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Power Washer</w:t>
              <w:tab/>
              <w:t>19827 | Goodway | GPW-1400-60 | 002002 | Semi-annual</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4001BG</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Carpet Agitator | 21037 | Duplex | Duplex 92 | </w:t>
              <w:tab/>
              <w:t>48010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4001BH</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Scrubber, Walk-Behind | 22897 | Tennant | T5 | </w:t>
              <w:tab/>
              <w:t>T5-10655520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4001BJ</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Scrubber, Walk-Behind | 23228 | Tennant | T3 | </w:t>
              <w:tab/>
              <w:t>900357-10663106 | Monthly</w:t>
              <w:br/>
              <w:t>Contract Period: Option 4</w:t>
              <w:br/>
              <w:t>POP Begin: 05-15-2030</w:t>
              <w:br/>
              <w:t>POP End: 05-14-2031</w:t>
              <w:br/>
              <w:t>PRINCIPAL NAICS CODE: 811310 - Commercial and Industrial Machinery and Equipment (except Automotive and Electronic) Repair and Maintenance</w:t>
              <w:br/>
              <w:t>PRODUCT/SERVICE CODE: J065 - Maintenance, Repair, and Rebuilding of Equipment - Medical, Dental, and Veterinary Equipment and Supplies</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6D7EFD" w:rsidRPr="006D7EFD" w:rsidP="006D7EFD">
      <w:r w:rsidRPr="006D7EFD">
        <w:t>This is a solicitation for commercial items prepared in accordance with the format in Federal Acquisition Regulation (FAR) subpart 12.6, “Streamlined Procedures for Evaluation and Solicitation for Commercial Items,” as supplemented with additional information included in this notice.</w:t>
      </w:r>
    </w:p>
    <w:p w:rsidR="006D7EFD" w:rsidRPr="006D7EFD" w:rsidP="006D7EFD">
      <w:r w:rsidRPr="006D7EFD">
        <w:t>This solicitation is issued as an RFQ. The solicitation document and incorporated provisions and clauses are those in effect through Federal Acquisition Circular 2026-06.</w:t>
      </w:r>
    </w:p>
    <w:p w:rsidR="006D7EFD" w:rsidRPr="006D7EFD" w:rsidP="006D7EFD">
      <w:r w:rsidRPr="006D7EFD">
        <w:t>This solicitation is a Set Aside for SMALL BUSINESSES (SB)</w:t>
      </w:r>
    </w:p>
    <w:p w:rsidR="006D7EFD" w:rsidRPr="006D7EFD" w:rsidP="006D7EFD">
      <w:r w:rsidRPr="006D7EFD">
        <w:t>The associated North American Industrial Classification System (NAICS) code for this procurement is 811310, with a small business size standard of $12.5 Million. The FSC/PSC is J605.</w:t>
      </w:r>
    </w:p>
    <w:p w:rsidR="006D7EFD" w:rsidRPr="006D7EFD" w:rsidP="006D7EFD">
      <w:r w:rsidRPr="006D7EFD">
        <w:t>The Chalmers P. Wylie Ambulatory Care Center, 420 N James Rd, Columbus, OH 43219, seeking to purchase services for preventative maintenance and support for floor cleaning tools.</w:t>
      </w:r>
    </w:p>
    <w:p w:rsidR="006D7EFD" w:rsidRPr="006D7EFD" w:rsidP="006D7EFD">
      <w:r w:rsidRPr="006D7EFD">
        <w:t>All interested companies shall provide quotations for the following:</w:t>
      </w:r>
    </w:p>
    <w:p w:rsidR="008E1A6C"/>
    <w:sectPr>
      <w:type w:val="continuous"/>
      <w:pgMar w:top="720" w:right="720" w:bottom="720" w:left="720" w:header="360" w:footer="36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4D2003"/>
    <w:multiLevelType w:val="hybridMultilevel"/>
    <w:tmpl w:val="B4C8D4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F5D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D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D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D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3F5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DAD"/>
    <w:rPr>
      <w:rFonts w:eastAsiaTheme="majorEastAsia" w:cstheme="majorBidi"/>
      <w:color w:val="272727" w:themeColor="text1" w:themeTint="D8"/>
    </w:rPr>
  </w:style>
  <w:style w:type="paragraph" w:styleId="Quote">
    <w:name w:val="Quote"/>
    <w:basedOn w:val="Normal"/>
    <w:next w:val="Normal"/>
    <w:link w:val="QuoteChar"/>
    <w:uiPriority w:val="29"/>
    <w:qFormat/>
    <w:rsid w:val="003F5DAD"/>
    <w:pPr>
      <w:spacing w:before="160"/>
      <w:jc w:val="center"/>
    </w:pPr>
    <w:rPr>
      <w:i/>
      <w:iCs/>
      <w:color w:val="404040" w:themeColor="text1" w:themeTint="BF"/>
    </w:rPr>
  </w:style>
  <w:style w:type="character" w:customStyle="1" w:styleId="QuoteChar">
    <w:name w:val="Quote Char"/>
    <w:basedOn w:val="DefaultParagraphFont"/>
    <w:link w:val="Quote"/>
    <w:uiPriority w:val="29"/>
    <w:rsid w:val="003F5DAD"/>
    <w:rPr>
      <w:i/>
      <w:iCs/>
      <w:color w:val="404040" w:themeColor="text1" w:themeTint="BF"/>
    </w:rPr>
  </w:style>
  <w:style w:type="paragraph" w:styleId="IntenseQuote">
    <w:name w:val="Intense Quote"/>
    <w:basedOn w:val="Normal"/>
    <w:next w:val="Normal"/>
    <w:link w:val="IntenseQuoteChar"/>
    <w:uiPriority w:val="30"/>
    <w:qFormat/>
    <w:rsid w:val="003F5DA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F5DAD"/>
    <w:rPr>
      <w:i/>
      <w:iCs/>
      <w:color w:val="366092" w:themeColor="accent1" w:themeShade="BF"/>
    </w:rPr>
  </w:style>
  <w:style w:type="character" w:styleId="IntenseReference">
    <w:name w:val="Intense Reference"/>
    <w:basedOn w:val="DefaultParagraphFont"/>
    <w:uiPriority w:val="32"/>
    <w:qFormat/>
    <w:rsid w:val="003F5DAD"/>
    <w:rPr>
      <w:b/>
      <w:bCs/>
      <w:smallCaps/>
      <w:color w:val="366092" w:themeColor="accent1" w:themeShade="BF"/>
      <w:spacing w:val="5"/>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2026-04-20T18:04:12Z</dcterms:created>
  <dcterms:modified xsi:type="dcterms:W3CDTF">2026-04-20T18:04:12Z</dcterms:modified>
</cp:coreProperties>
</file>