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5F70A683" w:rsidR="0030794B" w:rsidRDefault="00551068" w:rsidP="005D4C32">
            <w:pPr>
              <w:numPr>
                <w:ilvl w:val="0"/>
                <w:numId w:val="26"/>
              </w:numPr>
              <w:ind w:left="284" w:hanging="284"/>
            </w:pPr>
            <w:r>
              <w:t>Well</w:t>
            </w:r>
            <w:r w:rsidR="00C90F9D">
              <w:t xml:space="preserve"> published and cited (</w:t>
            </w:r>
            <w:r w:rsidR="00A46210">
              <w:t>50</w:t>
            </w:r>
            <w:r w:rsidR="0030794B">
              <w:t xml:space="preserve"> </w:t>
            </w:r>
            <w:r w:rsidR="003C7282">
              <w:t xml:space="preserve">peer-reviewed </w:t>
            </w:r>
            <w:r w:rsidR="0030794B">
              <w:t xml:space="preserve">articles, </w:t>
            </w:r>
            <w:r w:rsidR="000C4960">
              <w:t>10</w:t>
            </w:r>
            <w:r w:rsidR="0030794B">
              <w:t xml:space="preserve"> </w:t>
            </w:r>
            <w:r w:rsidR="001B55BD">
              <w:t xml:space="preserve">with &gt;100 citations; h-index: </w:t>
            </w:r>
            <w:r w:rsidR="00AC41C9">
              <w:t>2</w:t>
            </w:r>
            <w:r w:rsidR="000C4960">
              <w:t>5</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0F4849B5"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5C1591">
              <w:t>8</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084DB5BE"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5D5169">
              <w:t>8</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Kettner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5E150C39" w14:textId="027514DB" w:rsidR="005C1591" w:rsidRDefault="005C1591" w:rsidP="00F749DB">
            <w:pPr>
              <w:numPr>
                <w:ilvl w:val="0"/>
                <w:numId w:val="39"/>
              </w:numPr>
              <w:ind w:left="426" w:hanging="426"/>
            </w:pPr>
            <w:r w:rsidRPr="005C1591">
              <w:t>GeneORator: a novel and high-throughput method for the synthetic biology-based improvement of any enzyme</w:t>
            </w:r>
            <w:r>
              <w:t xml:space="preserve">. BBSRC; Follow on Fund. </w:t>
            </w:r>
            <w:r w:rsidRPr="005C1591">
              <w:rPr>
                <w:b/>
              </w:rPr>
              <w:t>£249,678</w:t>
            </w:r>
            <w:r>
              <w:t>. (</w:t>
            </w:r>
            <w:r w:rsidRPr="005C1591">
              <w:t>BB/S004955/1</w:t>
            </w:r>
            <w:r>
              <w:t>; Co-Investigator)</w:t>
            </w:r>
          </w:p>
          <w:p w14:paraId="391CD6BF" w14:textId="3E783143" w:rsidR="00947510" w:rsidRDefault="00947510" w:rsidP="00F749DB">
            <w:pPr>
              <w:numPr>
                <w:ilvl w:val="0"/>
                <w:numId w:val="39"/>
              </w:numPr>
              <w:ind w:left="426" w:hanging="426"/>
            </w:pPr>
            <w:r w:rsidRPr="00947510">
              <w:t>GeneORator – MCR Biofactory</w:t>
            </w:r>
            <w:r>
              <w:t xml:space="preserve">. </w:t>
            </w:r>
            <w:r w:rsidRPr="00947510">
              <w:rPr>
                <w:i/>
              </w:rPr>
              <w:t>University of Manchester Intellectual Property (UMIP)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lastRenderedPageBreak/>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3D67D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w:t>
            </w:r>
            <w:r w:rsidR="00B74D6C">
              <w:t xml:space="preserve">l Biotechnology, </w:t>
            </w:r>
            <w:proofErr w:type="spellStart"/>
            <w:r w:rsidR="00B74D6C">
              <w:t>Coursera</w:t>
            </w:r>
            <w:proofErr w:type="spellEnd"/>
            <w:r w:rsidR="00B74D6C">
              <w:t xml:space="preserve">, 2017. </w:t>
            </w:r>
            <w:r w:rsidR="00D17C2F">
              <w:t>(</w:t>
            </w:r>
            <w:hyperlink r:id="rId7"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r w:rsidR="00B74D6C">
              <w:t xml:space="preserve"> </w:t>
            </w:r>
            <w:proofErr w:type="spellStart"/>
            <w:r w:rsidR="00B74D6C">
              <w:t>PythonClub</w:t>
            </w:r>
            <w:proofErr w:type="spellEnd"/>
            <w:r w:rsidR="00B74D6C">
              <w:t>, University of Manchester, 2018-.</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395FFFFC"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r w:rsidR="00B83FD8">
              <w:t>software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 xml:space="preserve">project management for PIs and </w:t>
            </w:r>
            <w:r w:rsidR="002671A9">
              <w:lastRenderedPageBreak/>
              <w:t>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w:t>
            </w:r>
            <w:r w:rsidR="004812CB" w:rsidRPr="004812CB">
              <w:rPr>
                <w:rFonts w:cs="Tahoma"/>
                <w:sz w:val="16"/>
                <w:szCs w:val="16"/>
              </w:rPr>
              <w:t>151</w:t>
            </w:r>
            <w:proofErr w:type="gramEnd"/>
            <w:r w:rsidR="004812CB" w:rsidRPr="004812CB">
              <w:rPr>
                <w:rFonts w:cs="Tahoma"/>
                <w:sz w:val="16"/>
                <w:szCs w:val="16"/>
              </w:rPr>
              <w:t xml:space="preserve">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8"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9"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Prof Markus Herrgard</w:t>
            </w:r>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Novo Nordisk Foundation Center for Biosustainability</w:t>
            </w:r>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0"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Prof Hans V Westerhoff</w:t>
            </w:r>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1"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bookmarkStart w:id="0" w:name="_GoBack"/>
      <w:bookmarkEnd w:id="0"/>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D0C7711" w14:textId="076F51F3"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xml:space="preserve">. Jervis AJ, et al. ACS Synth Biol., 2019. </w:t>
            </w:r>
            <w:r w:rsidRPr="000C4960">
              <w:rPr>
                <w:rFonts w:cs="Tahoma"/>
              </w:rPr>
              <w:t xml:space="preserve"> DOI: 10.1021/acssynbio.8b00398</w:t>
            </w:r>
            <w:r>
              <w:rPr>
                <w:rFonts w:cs="Tahoma"/>
              </w:rPr>
              <w:t>.</w:t>
            </w:r>
          </w:p>
          <w:p w14:paraId="39453B82" w14:textId="45BF42D5" w:rsidR="00DB76F5" w:rsidRPr="00DB76F5" w:rsidRDefault="00DB76F5" w:rsidP="00DB76F5">
            <w:pPr>
              <w:numPr>
                <w:ilvl w:val="0"/>
                <w:numId w:val="41"/>
              </w:numPr>
              <w:ind w:left="426" w:hanging="426"/>
              <w:rPr>
                <w:rFonts w:cs="Tahoma"/>
              </w:rPr>
            </w:pPr>
            <w:r w:rsidRPr="00DB76F5">
              <w:rPr>
                <w:rFonts w:cs="Tahoma"/>
              </w:rPr>
              <w:t>Multifragment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Methods Enzymol</w:t>
            </w:r>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Methods Enzymol</w:t>
            </w:r>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Kettner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lastRenderedPageBreak/>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w:t>
            </w:r>
            <w:proofErr w:type="spellStart"/>
            <w:r w:rsidRPr="00DA70A4">
              <w:rPr>
                <w:rFonts w:cs="Tahoma"/>
                <w:i/>
              </w:rPr>
              <w:t>Silico</w:t>
            </w:r>
            <w:proofErr w:type="spellEnd"/>
            <w:r w:rsidRPr="00DA70A4">
              <w:rPr>
                <w:rFonts w:cs="Tahoma"/>
                <w:i/>
              </w:rPr>
              <w:t xml:space="preserve"> Systems Biology: Network Reconstruction, Analysis and Network-based Modelling. </w:t>
            </w:r>
            <w:proofErr w:type="spellStart"/>
            <w:r>
              <w:rPr>
                <w:rFonts w:cs="Tahoma"/>
                <w:i/>
              </w:rPr>
              <w:t>EMBL-EBI</w:t>
            </w:r>
            <w:proofErr w:type="spellEnd"/>
            <w:r>
              <w:rPr>
                <w:rFonts w:cs="Tahoma"/>
                <w:i/>
              </w:rPr>
              <w:t xml:space="preserve">,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v.westerhoff@uva.n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https://www.coursera.org/learn/industrial-biotech" TargetMode="External"/><Relationship Id="rId8" Type="http://schemas.openxmlformats.org/officeDocument/2006/relationships/hyperlink" Target="mailto:dbk@liv.ac.uk" TargetMode="External"/><Relationship Id="rId9" Type="http://schemas.openxmlformats.org/officeDocument/2006/relationships/hyperlink" Target="mailto:pmendes@uchc.edu" TargetMode="External"/><Relationship Id="rId10"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3502</Words>
  <Characters>19964</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23420</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20</cp:revision>
  <cp:lastPrinted>2018-07-20T11:45:00Z</cp:lastPrinted>
  <dcterms:created xsi:type="dcterms:W3CDTF">2018-07-20T11:45:00Z</dcterms:created>
  <dcterms:modified xsi:type="dcterms:W3CDTF">2019-01-14T10:47:00Z</dcterms:modified>
</cp:coreProperties>
</file>