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proofErr w:type="gramStart"/>
              <w:r w:rsidR="00A91F68" w:rsidRPr="001D0BAF">
                <w:rPr>
                  <w:rStyle w:val="Hyperlink"/>
                  <w:rFonts w:ascii="Calibri" w:hAnsi="Calibri"/>
                  <w:sz w:val="16"/>
                  <w:szCs w:val="16"/>
                </w:rPr>
                <w:t>neil.swainston@</w:t>
              </w:r>
              <w:r w:rsidR="00A35916">
                <w:rPr>
                  <w:rStyle w:val="Hyperlink"/>
                  <w:rFonts w:ascii="Calibri" w:hAnsi="Calibri"/>
                  <w:sz w:val="16"/>
                  <w:szCs w:val="16"/>
                </w:rPr>
                <w:t>gmail.com</w:t>
              </w:r>
              <w:proofErr w:type="gramEnd"/>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89595EF" w:rsidR="0030794B" w:rsidRDefault="00551068" w:rsidP="005D4C32">
            <w:pPr>
              <w:numPr>
                <w:ilvl w:val="0"/>
                <w:numId w:val="26"/>
              </w:numPr>
              <w:ind w:left="284" w:hanging="284"/>
            </w:pPr>
            <w:r>
              <w:t>Well</w:t>
            </w:r>
            <w:r w:rsidR="00C90F9D">
              <w:t xml:space="preserve"> published and cited (</w:t>
            </w:r>
            <w:r w:rsidR="0006679D">
              <w:t>4</w:t>
            </w:r>
            <w:r w:rsidR="000F6CE9">
              <w:t>9</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511ABD1C"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9113D3">
              <w:t>&gt;</w:t>
            </w:r>
            <w:r w:rsidR="00970B78">
              <w:t>£</w:t>
            </w:r>
            <w:r>
              <w:t>1.</w:t>
            </w:r>
            <w:r w:rsidR="00CF409E">
              <w:t>6</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w:t>
            </w:r>
            <w:proofErr w:type="gramStart"/>
            <w:r>
              <w:t>metabolomics</w:t>
            </w:r>
            <w:proofErr w:type="gramEnd"/>
            <w:r>
              <w:t xml:space="preserve">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22B06CDB" w:rsidR="00C16E89" w:rsidRPr="005D4C32" w:rsidRDefault="00C16E89" w:rsidP="00C16E89">
            <w:pPr>
              <w:pStyle w:val="Normalspaced"/>
            </w:pPr>
            <w:r>
              <w:t>I am also involved in teaching and PhD student supervision responsibilities, and have successful grant writing experience. I ha</w:t>
            </w:r>
            <w:r w:rsidR="00B2301F">
              <w:t>ve received funding of over £1.4</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Kettner C. </w:t>
            </w:r>
            <w:r w:rsidRPr="00E41BDC">
              <w:rPr>
                <w:rFonts w:cs="Tahoma"/>
                <w:i/>
              </w:rPr>
              <w:t>Nature</w:t>
            </w:r>
            <w:r>
              <w:rPr>
                <w:rFonts w:cs="Tahoma"/>
              </w:rPr>
              <w:t xml:space="preserve">. 2018, </w:t>
            </w:r>
            <w:r w:rsidRPr="00E41BDC">
              <w:rPr>
                <w:rFonts w:cs="Tahoma"/>
                <w:b/>
              </w:rPr>
              <w:t>556</w:t>
            </w:r>
            <w:r>
              <w:rPr>
                <w:rFonts w:cs="Tahoma"/>
              </w:rPr>
              <w:t>, 309.</w:t>
            </w:r>
          </w:p>
          <w:p w14:paraId="237FD4AB" w14:textId="74D171C5"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B823B9" w:rsidRPr="00B823B9">
              <w:rPr>
                <w:rFonts w:cs="Tahoma"/>
              </w:rPr>
              <w:t>bty105.</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xml:space="preserve">. </w:t>
            </w:r>
            <w:r>
              <w:lastRenderedPageBreak/>
              <w:t>(BB/K019783/1;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Industrial Biotechnology, Coursera, 2017 (</w:t>
            </w:r>
            <w:hyperlink r:id="rId8" w:history="1">
              <w:r w:rsidR="00D17C2F" w:rsidRPr="00D17C2F">
                <w:rPr>
                  <w:rStyle w:val="Hyperlink"/>
                  <w:rFonts w:ascii="Calibri" w:hAnsi="Calibri"/>
                </w:rPr>
                <w:t>https://www.coursera.org/learn/industrial-biotech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r w:rsidR="00154E92">
              <w:t xml:space="preserve">npj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PhD external examiner: “Critical examination of an existing genome-scale mouse metabolic network from a bioprocessing perspective”, Al-Hussein Nasrullah Abutaleb;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gramStart"/>
            <w:r w:rsidR="00EF2630">
              <w:t>ajax</w:t>
            </w:r>
            <w:proofErr w:type="gramEnd"/>
            <w:r w:rsidR="002422D4">
              <w:t>,</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r w:rsidR="00E47076">
              <w:t>numpy, scipy, scikit-learn, pandas, machine learning, theano, theanets</w:t>
            </w:r>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lastRenderedPageBreak/>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proofErr w:type="gramStart"/>
              <w:r w:rsidRPr="005C457D">
                <w:rPr>
                  <w:rStyle w:val="Hyperlink"/>
                  <w:rFonts w:ascii="Calibri" w:hAnsi="Calibri" w:cs="Tahoma"/>
                  <w:sz w:val="16"/>
                  <w:szCs w:val="16"/>
                </w:rPr>
                <w:t>douglas.kell@manchester.ac.uk</w:t>
              </w:r>
              <w:proofErr w:type="gramEnd"/>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 xml:space="preserve">Babraham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proofErr w:type="gramStart"/>
              <w:r w:rsidR="005E471B" w:rsidRPr="005C457D">
                <w:rPr>
                  <w:rStyle w:val="Hyperlink"/>
                  <w:rFonts w:ascii="Calibri" w:hAnsi="Calibri" w:cs="Tahoma"/>
                  <w:sz w:val="16"/>
                  <w:szCs w:val="16"/>
                </w:rPr>
                <w:t>lenov@babraham.ac.uk</w:t>
              </w:r>
              <w:proofErr w:type="gramEnd"/>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proofErr w:type="gramStart"/>
              <w:r w:rsidR="00156E98" w:rsidRPr="00156E98">
                <w:rPr>
                  <w:rStyle w:val="Hyperlink"/>
                  <w:rFonts w:ascii="Calibri" w:hAnsi="Calibri"/>
                  <w:sz w:val="16"/>
                  <w:szCs w:val="16"/>
                </w:rPr>
                <w:t>pmendes@uchc.edu</w:t>
              </w:r>
              <w:proofErr w:type="gramEnd"/>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proofErr w:type="gramStart"/>
              <w:r w:rsidRPr="005C457D">
                <w:rPr>
                  <w:rStyle w:val="Hyperlink"/>
                  <w:rFonts w:ascii="Calibri" w:hAnsi="Calibri" w:cs="Tahoma"/>
                  <w:sz w:val="16"/>
                  <w:szCs w:val="16"/>
                </w:rPr>
                <w:t>steinbeck@ebi.ac.uk</w:t>
              </w:r>
              <w:proofErr w:type="gramEnd"/>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proofErr w:type="gramStart"/>
              <w:r w:rsidR="00675859" w:rsidRPr="005C457D">
                <w:rPr>
                  <w:rStyle w:val="Hyperlink"/>
                  <w:rFonts w:ascii="Calibri" w:hAnsi="Calibri" w:cs="Tahoma"/>
                  <w:sz w:val="16"/>
                  <w:szCs w:val="16"/>
                  <w:lang w:val="en-US"/>
                </w:rPr>
                <w:t>carole.goble@manchester.ac.uk</w:t>
              </w:r>
              <w:proofErr w:type="gramEnd"/>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proofErr w:type="gramStart"/>
              <w:r w:rsidRPr="005C457D">
                <w:rPr>
                  <w:rStyle w:val="Hyperlink"/>
                  <w:rFonts w:ascii="Calibri" w:hAnsi="Calibri" w:cs="Tahoma"/>
                  <w:sz w:val="16"/>
                  <w:szCs w:val="16"/>
                  <w:lang w:val="en-US"/>
                </w:rPr>
                <w:t>h</w:t>
              </w:r>
              <w:proofErr w:type="gramEnd"/>
              <w:r w:rsidRPr="005C457D">
                <w:rPr>
                  <w:rStyle w:val="Hyperlink"/>
                  <w:rFonts w:ascii="Calibri" w:hAnsi="Calibri" w:cs="Tahoma"/>
                  <w:sz w:val="16"/>
                  <w:szCs w:val="16"/>
                  <w:lang w:val="en-US"/>
                </w:rPr>
                <w:t>.v.westerhoff@uva.nl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JC, et al. </w:t>
            </w:r>
            <w:r w:rsidRPr="00EE0FAB">
              <w:rPr>
                <w:rFonts w:cs="Tahoma"/>
                <w:i/>
                <w:lang w:val="en-US"/>
              </w:rPr>
              <w:t>Methods Enzymol</w:t>
            </w:r>
            <w:r>
              <w:rPr>
                <w:rFonts w:cs="Tahoma"/>
                <w:lang w:val="en-US"/>
              </w:rPr>
              <w:t xml:space="preserve">. 2018, </w:t>
            </w:r>
            <w:r w:rsidR="003D4773">
              <w:rPr>
                <w:rFonts w:cs="Tahoma"/>
                <w:lang w:val="en-US"/>
              </w:rPr>
              <w:t xml:space="preserve">doi: </w:t>
            </w:r>
            <w:r w:rsidR="003D4773" w:rsidRPr="003D4773">
              <w:rPr>
                <w:rFonts w:cs="Tahoma"/>
                <w:lang w:val="en-US"/>
              </w:rPr>
              <w:t>10.1016/bs.mie.2018.04.006</w:t>
            </w:r>
            <w:bookmarkStart w:id="0" w:name="_GoBack"/>
            <w:bookmarkEnd w:id="0"/>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doi: </w:t>
            </w:r>
            <w:r w:rsidRPr="00EE0FAB">
              <w:rPr>
                <w:rFonts w:cs="Tahoma"/>
              </w:rPr>
              <w:t>10.1021/acssynbio.8b00041</w:t>
            </w:r>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r w:rsidRPr="0044786A">
              <w:rPr>
                <w:rFonts w:cs="Tahoma"/>
              </w:rPr>
              <w:t>Carbonell</w:t>
            </w:r>
            <w:r>
              <w:rPr>
                <w:rFonts w:cs="Tahoma"/>
              </w:rPr>
              <w:t xml:space="preserve"> P et al. </w:t>
            </w:r>
            <w:r w:rsidRPr="0044786A">
              <w:rPr>
                <w:rFonts w:cs="Tahoma"/>
                <w:i/>
              </w:rPr>
              <w:t>Nat Commun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Kettner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633DC8AE"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1FA1AD7F"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B823B9" w:rsidRPr="00B823B9">
              <w:rPr>
                <w:rFonts w:cs="Tahoma"/>
              </w:rPr>
              <w:t>bty105.</w:t>
            </w:r>
          </w:p>
          <w:p w14:paraId="75F6D810" w14:textId="67DC3187" w:rsidR="009B46F7" w:rsidRPr="009B46F7" w:rsidRDefault="009B46F7" w:rsidP="009B46F7">
            <w:pPr>
              <w:numPr>
                <w:ilvl w:val="0"/>
                <w:numId w:val="41"/>
              </w:numPr>
              <w:ind w:left="426" w:hanging="426"/>
              <w:rPr>
                <w:rFonts w:cs="Tahoma"/>
              </w:rPr>
            </w:pPr>
            <w:r w:rsidRPr="009B46F7">
              <w:rPr>
                <w:rFonts w:cs="Tahoma"/>
              </w:rPr>
              <w:t>Selenzyme: enzyme selection tool for pathway design</w:t>
            </w:r>
            <w:r>
              <w:rPr>
                <w:rFonts w:cs="Tahoma"/>
              </w:rPr>
              <w:t xml:space="preserve">. Carbonell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gramStart"/>
            <w:r w:rsidRPr="00545B4F">
              <w:rPr>
                <w:rFonts w:cs="Tahoma"/>
              </w:rPr>
              <w:t>biochem4j</w:t>
            </w:r>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gramStart"/>
            <w:r w:rsidRPr="00430543">
              <w:rPr>
                <w:rFonts w:cs="Tahoma"/>
                <w:lang w:val="en-US"/>
              </w:rPr>
              <w:t>libChEBI</w:t>
            </w:r>
            <w:proofErr w:type="gramEnd"/>
            <w:r w:rsidRPr="00430543">
              <w:rPr>
                <w:rFonts w:cs="Tahoma"/>
                <w:lang w:val="en-US"/>
              </w:rPr>
              <w:t>: an API for accessing the ChEBI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RobOKoD: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 xml:space="preserve">Swainston </w:t>
            </w:r>
            <w:r w:rsidRPr="00483987">
              <w:rPr>
                <w:rFonts w:cs="Tahoma"/>
                <w:b/>
              </w:rPr>
              <w:lastRenderedPageBreak/>
              <w:t>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gramStart"/>
            <w:r w:rsidRPr="00E93FEB">
              <w:rPr>
                <w:rFonts w:cs="Tahoma"/>
              </w:rPr>
              <w:t>libAnnotationSBML</w:t>
            </w:r>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w:t>
            </w:r>
            <w:proofErr w:type="gramStart"/>
            <w:r w:rsidRPr="00E93FEB">
              <w:rPr>
                <w:rFonts w:cs="Tahoma"/>
              </w:rPr>
              <w:t>MoX(</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gramStart"/>
            <w:r w:rsidRPr="00782E87">
              <w:rPr>
                <w:rFonts w:cs="Tahoma"/>
              </w:rPr>
              <w:t>libAnnotationSBML</w:t>
            </w:r>
            <w:proofErr w:type="gramEnd"/>
            <w:r w:rsidRPr="00782E87">
              <w:rPr>
                <w:rFonts w:cs="Tahoma"/>
              </w:rPr>
              <w:t xml:space="preserve">.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3577</Words>
  <Characters>20390</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23920</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4</cp:revision>
  <cp:lastPrinted>2018-06-22T11:47:00Z</cp:lastPrinted>
  <dcterms:created xsi:type="dcterms:W3CDTF">2018-06-22T11:47:00Z</dcterms:created>
  <dcterms:modified xsi:type="dcterms:W3CDTF">2018-06-22T11:55:00Z</dcterms:modified>
</cp:coreProperties>
</file>