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60"/>
        <w:jc w:val="center"/>
      </w:pPr>
      <w:r>
        <w:rPr>
          <w:rFonts w:ascii="Calibri" w:cs="Calibri" w:eastAsia="Calibri" w:hAnsi="Calibri"/>
          <w:b/>
          <w:bCs/>
          <w:caps/>
          <w:color w:val="F5A623"/>
          <w:spacing w:val="120"/>
          <w:sz w:val="28"/>
          <w:szCs w:val="28"/>
        </w:rPr>
        <w:t xml:space="preserve">RAPIDAI TECH™</w:t>
      </w:r>
    </w:p>
    <w:p>
      <w:pPr>
        <w:spacing w:after="80"/>
        <w:jc w:val="center"/>
      </w:pPr>
      <w:r>
        <w:rPr>
          <w:rFonts w:ascii="Calibri" w:cs="Calibri" w:eastAsia="Calibri" w:hAnsi="Calibri"/>
          <w:b/>
          <w:bCs/>
          <w:color w:val="5B2D8E"/>
          <w:sz w:val="72"/>
          <w:szCs w:val="72"/>
        </w:rPr>
        <w:t xml:space="preserve">Guidewire InsuranceSuite</w:t>
      </w:r>
    </w:p>
    <w:p>
      <w:pPr>
        <w:spacing w:after="300"/>
        <w:jc w:val="center"/>
      </w:pPr>
      <w:r>
        <w:rPr>
          <w:rFonts w:ascii="Calibri" w:cs="Calibri" w:eastAsia="Calibri" w:hAnsi="Calibri"/>
          <w:b w:val="false"/>
          <w:bCs w:val="false"/>
          <w:color w:val="7B4FBE"/>
          <w:sz w:val="40"/>
          <w:szCs w:val="40"/>
        </w:rPr>
        <w:t xml:space="preserve">Practitioner Handbook</w:t>
      </w:r>
    </w:p>
    <w:p>
      <w:pPr>
        <w:pBdr>
          <w:bottom w:val="single" w:color="5B2D8E" w:sz="6" w:space="1"/>
        </w:pBdr>
        <w:spacing w:after="120" w:before="120"/>
      </w:pPr>
    </w:p>
    <w:p>
      <w:pPr>
        <w:spacing w:after="600" w:before="200"/>
        <w:jc w:val="center"/>
      </w:pPr>
      <w:r>
        <w:rPr>
          <w:rFonts w:ascii="Calibri" w:cs="Calibri" w:eastAsia="Calibri" w:hAnsi="Calibri"/>
          <w:i/>
          <w:iCs/>
          <w:color w:val="4A4A4A"/>
          <w:sz w:val="24"/>
          <w:szCs w:val="24"/>
        </w:rPr>
        <w:t xml:space="preserve">PolicyCenter  ·  ClaimCenter  ·  BillingCenter  ·  Integration</w:t>
      </w:r>
    </w:p>
    <w:p>
      <w:pPr>
        <w:spacing w:after="0"/>
        <w:jc w:val="center"/>
      </w:pPr>
      <w:r>
        <w:rPr>
          <w:rFonts w:ascii="Calibri" w:cs="Calibri" w:eastAsia="Calibri" w:hAnsi="Calibri"/>
          <w:color w:val="4A4A4A"/>
          <w:sz w:val="18"/>
          <w:szCs w:val="18"/>
        </w:rPr>
        <w:t xml:space="preserve">Release: 2025.03  |  Version: 1.0  |  © 2025 RapidAI Tech™</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00"/>
        </w:tblCellMar>
      </w:tblPr>
      <w:tblGrid>
        <w:gridCol w:w="9360"/>
      </w:tblGrid>
      <w:tr>
        <w:tc>
          <w:tcPr>
            <w:tcW w:type="dxa" w:w="9360"/>
            <w:shd w:fill="5B2D8E" w:val="clear"/>
            <w:tcMar>
              <w:top w:type="dxa" w:w="300"/>
              <w:left w:type="dxa" w:w="400"/>
              <w:bottom w:type="dxa" w:w="300"/>
              <w:right w:type="dxa" w:w="400"/>
            </w:tcMar>
          </w:tcPr>
          <w:p>
            <w:pPr>
              <w:spacing w:after="60"/>
            </w:pPr>
            <w:r>
              <w:rPr>
                <w:rFonts w:ascii="Calibri" w:cs="Calibri" w:eastAsia="Calibri" w:hAnsi="Calibri"/>
                <w:b/>
                <w:bCs/>
                <w:caps/>
                <w:color w:val="F5A623"/>
                <w:spacing w:val="60"/>
                <w:sz w:val="18"/>
                <w:szCs w:val="18"/>
              </w:rPr>
              <w:t xml:space="preserve">RAPIDAI TECH™</w:t>
            </w:r>
          </w:p>
          <w:p>
            <w:pPr>
              <w:spacing w:after="0"/>
            </w:pPr>
            <w:r>
              <w:rPr>
                <w:rFonts w:ascii="Calibri" w:cs="Calibri" w:eastAsia="Calibri" w:hAnsi="Calibri"/>
                <w:b/>
                <w:bCs/>
                <w:color w:val="FFFFFF"/>
                <w:sz w:val="52"/>
                <w:szCs w:val="52"/>
              </w:rPr>
              <w:t xml:space="preserve">Table of Contents</w:t>
            </w:r>
          </w:p>
        </w:tc>
      </w:tr>
    </w:tbl>
    <w:p>
      <w:pPr>
        <w:spacing w:before="200"/>
      </w:pPr>
    </w:p>
    <w:p>
      <w:pPr>
        <w:spacing w:after="40" w:before="40"/>
      </w:pPr>
      <w:r>
        <w:rPr>
          <w:rFonts w:ascii="Calibri" w:cs="Calibri" w:eastAsia="Calibri" w:hAnsi="Calibri"/>
          <w:b w:val="false"/>
          <w:bCs w:val="false"/>
          <w:color w:val="4A4A4A"/>
          <w:sz w:val="21"/>
          <w:szCs w:val="21"/>
        </w:rPr>
        <w:t xml:space="preserve">Preface</w:t>
      </w:r>
      <w:r>
        <w:rPr>
          <w:rFonts w:ascii="Calibri" w:cs="Calibri" w:eastAsia="Calibri" w:hAnsi="Calibri"/>
          <w:color w:val="4A4A4A"/>
          <w:sz w:val="21"/>
          <w:szCs w:val="21"/>
        </w:rPr>
        <w:t xml:space="preserve">  3</w:t>
      </w:r>
    </w:p>
    <w:p>
      <w:pPr>
        <w:spacing w:after="20" w:before="160"/>
      </w:pPr>
      <w:r>
        <w:rPr>
          <w:rFonts w:ascii="Calibri" w:cs="Calibri" w:eastAsia="Calibri" w:hAnsi="Calibri"/>
          <w:b/>
          <w:bCs/>
          <w:color w:val="5B2D8E"/>
          <w:sz w:val="22"/>
          <w:szCs w:val="22"/>
        </w:rPr>
        <w:t xml:space="preserve">PART I — PolicyCenter</w:t>
      </w:r>
      <w:r>
        <w:rPr>
          <w:rFonts w:ascii="Calibri" w:cs="Calibri" w:eastAsia="Calibri" w:hAnsi="Calibri"/>
          <w:color w:val="4A4A4A"/>
          <w:sz w:val="21"/>
          <w:szCs w:val="21"/>
        </w:rPr>
        <w:t xml:space="preserve"/>
      </w:r>
    </w:p>
    <w:p>
      <w:pPr>
        <w:spacing w:after="40" w:before="40"/>
      </w:pPr>
      <w:r>
        <w:rPr>
          <w:rFonts w:ascii="Calibri" w:cs="Calibri" w:eastAsia="Calibri" w:hAnsi="Calibri"/>
          <w:b w:val="false"/>
          <w:bCs w:val="false"/>
          <w:color w:val="4A4A4A"/>
          <w:sz w:val="21"/>
          <w:szCs w:val="21"/>
        </w:rPr>
        <w:t xml:space="preserve">  Chapter 1: PolicyCenter Overview</w:t>
      </w:r>
      <w:r>
        <w:rPr>
          <w:rFonts w:ascii="Calibri" w:cs="Calibri" w:eastAsia="Calibri" w:hAnsi="Calibri"/>
          <w:color w:val="4A4A4A"/>
          <w:sz w:val="21"/>
          <w:szCs w:val="21"/>
        </w:rPr>
        <w:t xml:space="preserve">  4</w:t>
      </w:r>
    </w:p>
    <w:p>
      <w:pPr>
        <w:spacing w:after="40" w:before="40"/>
      </w:pPr>
      <w:r>
        <w:rPr>
          <w:rFonts w:ascii="Calibri" w:cs="Calibri" w:eastAsia="Calibri" w:hAnsi="Calibri"/>
          <w:b w:val="false"/>
          <w:bCs w:val="false"/>
          <w:color w:val="4A4A4A"/>
          <w:sz w:val="21"/>
          <w:szCs w:val="21"/>
        </w:rPr>
        <w:t xml:space="preserve">  Chapter 2: Policy Lifecycle &amp; Job Framework</w:t>
      </w:r>
      <w:r>
        <w:rPr>
          <w:rFonts w:ascii="Calibri" w:cs="Calibri" w:eastAsia="Calibri" w:hAnsi="Calibri"/>
          <w:color w:val="4A4A4A"/>
          <w:sz w:val="21"/>
          <w:szCs w:val="21"/>
        </w:rPr>
        <w:t xml:space="preserve">  10</w:t>
      </w:r>
    </w:p>
    <w:p>
      <w:pPr>
        <w:spacing w:after="40" w:before="40"/>
      </w:pPr>
      <w:r>
        <w:rPr>
          <w:rFonts w:ascii="Calibri" w:cs="Calibri" w:eastAsia="Calibri" w:hAnsi="Calibri"/>
          <w:b w:val="false"/>
          <w:bCs w:val="false"/>
          <w:color w:val="4A4A4A"/>
          <w:sz w:val="21"/>
          <w:szCs w:val="21"/>
        </w:rPr>
        <w:t xml:space="preserve">  Chapter 3: Configuration Parameters</w:t>
      </w:r>
      <w:r>
        <w:rPr>
          <w:rFonts w:ascii="Calibri" w:cs="Calibri" w:eastAsia="Calibri" w:hAnsi="Calibri"/>
          <w:color w:val="4A4A4A"/>
          <w:sz w:val="21"/>
          <w:szCs w:val="21"/>
        </w:rPr>
        <w:t xml:space="preserve">  17</w:t>
      </w:r>
    </w:p>
    <w:p>
      <w:pPr>
        <w:spacing w:after="40" w:before="40"/>
      </w:pPr>
      <w:r>
        <w:rPr>
          <w:rFonts w:ascii="Calibri" w:cs="Calibri" w:eastAsia="Calibri" w:hAnsi="Calibri"/>
          <w:b w:val="false"/>
          <w:bCs w:val="false"/>
          <w:color w:val="4A4A4A"/>
          <w:sz w:val="21"/>
          <w:szCs w:val="21"/>
        </w:rPr>
        <w:t xml:space="preserve">  Chapter 4: Security, Roles &amp; Authority Limits</w:t>
      </w:r>
      <w:r>
        <w:rPr>
          <w:rFonts w:ascii="Calibri" w:cs="Calibri" w:eastAsia="Calibri" w:hAnsi="Calibri"/>
          <w:color w:val="4A4A4A"/>
          <w:sz w:val="21"/>
          <w:szCs w:val="21"/>
        </w:rPr>
        <w:t xml:space="preserve">  22</w:t>
      </w:r>
    </w:p>
    <w:p>
      <w:pPr>
        <w:spacing w:after="20" w:before="160"/>
      </w:pPr>
      <w:r>
        <w:rPr>
          <w:rFonts w:ascii="Calibri" w:cs="Calibri" w:eastAsia="Calibri" w:hAnsi="Calibri"/>
          <w:b/>
          <w:bCs/>
          <w:color w:val="5B2D8E"/>
          <w:sz w:val="22"/>
          <w:szCs w:val="22"/>
        </w:rPr>
        <w:t xml:space="preserve">PART II — ClaimCenter</w:t>
      </w:r>
      <w:r>
        <w:rPr>
          <w:rFonts w:ascii="Calibri" w:cs="Calibri" w:eastAsia="Calibri" w:hAnsi="Calibri"/>
          <w:color w:val="4A4A4A"/>
          <w:sz w:val="21"/>
          <w:szCs w:val="21"/>
        </w:rPr>
        <w:t xml:space="preserve"/>
      </w:r>
    </w:p>
    <w:p>
      <w:pPr>
        <w:spacing w:after="40" w:before="40"/>
      </w:pPr>
      <w:r>
        <w:rPr>
          <w:rFonts w:ascii="Calibri" w:cs="Calibri" w:eastAsia="Calibri" w:hAnsi="Calibri"/>
          <w:b w:val="false"/>
          <w:bCs w:val="false"/>
          <w:color w:val="4A4A4A"/>
          <w:sz w:val="21"/>
          <w:szCs w:val="21"/>
        </w:rPr>
        <w:t xml:space="preserve">  Chapter 5: ClaimCenter Overview</w:t>
      </w:r>
      <w:r>
        <w:rPr>
          <w:rFonts w:ascii="Calibri" w:cs="Calibri" w:eastAsia="Calibri" w:hAnsi="Calibri"/>
          <w:color w:val="4A4A4A"/>
          <w:sz w:val="21"/>
          <w:szCs w:val="21"/>
        </w:rPr>
        <w:t xml:space="preserve">  28</w:t>
      </w:r>
    </w:p>
    <w:p>
      <w:pPr>
        <w:spacing w:after="40" w:before="40"/>
      </w:pPr>
      <w:r>
        <w:rPr>
          <w:rFonts w:ascii="Calibri" w:cs="Calibri" w:eastAsia="Calibri" w:hAnsi="Calibri"/>
          <w:b w:val="false"/>
          <w:bCs w:val="false"/>
          <w:color w:val="4A4A4A"/>
          <w:sz w:val="21"/>
          <w:szCs w:val="21"/>
        </w:rPr>
        <w:t xml:space="preserve">  Chapter 6: Claim Lifecycle &amp; Financial Management</w:t>
      </w:r>
      <w:r>
        <w:rPr>
          <w:rFonts w:ascii="Calibri" w:cs="Calibri" w:eastAsia="Calibri" w:hAnsi="Calibri"/>
          <w:color w:val="4A4A4A"/>
          <w:sz w:val="21"/>
          <w:szCs w:val="21"/>
        </w:rPr>
        <w:t xml:space="preserve">  34</w:t>
      </w:r>
    </w:p>
    <w:p>
      <w:pPr>
        <w:spacing w:after="40" w:before="40"/>
      </w:pPr>
      <w:r>
        <w:rPr>
          <w:rFonts w:ascii="Calibri" w:cs="Calibri" w:eastAsia="Calibri" w:hAnsi="Calibri"/>
          <w:b w:val="false"/>
          <w:bCs w:val="false"/>
          <w:color w:val="4A4A4A"/>
          <w:sz w:val="21"/>
          <w:szCs w:val="21"/>
        </w:rPr>
        <w:t xml:space="preserve">  Chapter 7: Configuration Parameters</w:t>
      </w:r>
      <w:r>
        <w:rPr>
          <w:rFonts w:ascii="Calibri" w:cs="Calibri" w:eastAsia="Calibri" w:hAnsi="Calibri"/>
          <w:color w:val="4A4A4A"/>
          <w:sz w:val="21"/>
          <w:szCs w:val="21"/>
        </w:rPr>
        <w:t xml:space="preserve">  42</w:t>
      </w:r>
    </w:p>
    <w:p>
      <w:pPr>
        <w:spacing w:after="20" w:before="160"/>
      </w:pPr>
      <w:r>
        <w:rPr>
          <w:rFonts w:ascii="Calibri" w:cs="Calibri" w:eastAsia="Calibri" w:hAnsi="Calibri"/>
          <w:b/>
          <w:bCs/>
          <w:color w:val="5B2D8E"/>
          <w:sz w:val="22"/>
          <w:szCs w:val="22"/>
        </w:rPr>
        <w:t xml:space="preserve">PART III — BillingCenter</w:t>
      </w:r>
      <w:r>
        <w:rPr>
          <w:rFonts w:ascii="Calibri" w:cs="Calibri" w:eastAsia="Calibri" w:hAnsi="Calibri"/>
          <w:color w:val="4A4A4A"/>
          <w:sz w:val="21"/>
          <w:szCs w:val="21"/>
        </w:rPr>
        <w:t xml:space="preserve"/>
      </w:r>
    </w:p>
    <w:p>
      <w:pPr>
        <w:spacing w:after="40" w:before="40"/>
      </w:pPr>
      <w:r>
        <w:rPr>
          <w:rFonts w:ascii="Calibri" w:cs="Calibri" w:eastAsia="Calibri" w:hAnsi="Calibri"/>
          <w:b w:val="false"/>
          <w:bCs w:val="false"/>
          <w:color w:val="4A4A4A"/>
          <w:sz w:val="21"/>
          <w:szCs w:val="21"/>
        </w:rPr>
        <w:t xml:space="preserve">  Chapter 8: BillingCenter Overview</w:t>
      </w:r>
      <w:r>
        <w:rPr>
          <w:rFonts w:ascii="Calibri" w:cs="Calibri" w:eastAsia="Calibri" w:hAnsi="Calibri"/>
          <w:color w:val="4A4A4A"/>
          <w:sz w:val="21"/>
          <w:szCs w:val="21"/>
        </w:rPr>
        <w:t xml:space="preserve">  47</w:t>
      </w:r>
    </w:p>
    <w:p>
      <w:pPr>
        <w:spacing w:after="40" w:before="40"/>
      </w:pPr>
      <w:r>
        <w:rPr>
          <w:rFonts w:ascii="Calibri" w:cs="Calibri" w:eastAsia="Calibri" w:hAnsi="Calibri"/>
          <w:b w:val="false"/>
          <w:bCs w:val="false"/>
          <w:color w:val="4A4A4A"/>
          <w:sz w:val="21"/>
          <w:szCs w:val="21"/>
        </w:rPr>
        <w:t xml:space="preserve">  Chapter 9: Configuration Parameters &amp; Work Queue</w:t>
      </w:r>
      <w:r>
        <w:rPr>
          <w:rFonts w:ascii="Calibri" w:cs="Calibri" w:eastAsia="Calibri" w:hAnsi="Calibri"/>
          <w:color w:val="4A4A4A"/>
          <w:sz w:val="21"/>
          <w:szCs w:val="21"/>
        </w:rPr>
        <w:t xml:space="preserve">  54</w:t>
      </w:r>
    </w:p>
    <w:p>
      <w:pPr>
        <w:spacing w:after="20" w:before="160"/>
      </w:pPr>
      <w:r>
        <w:rPr>
          <w:rFonts w:ascii="Calibri" w:cs="Calibri" w:eastAsia="Calibri" w:hAnsi="Calibri"/>
          <w:b/>
          <w:bCs/>
          <w:color w:val="5B2D8E"/>
          <w:sz w:val="22"/>
          <w:szCs w:val="22"/>
        </w:rPr>
        <w:t xml:space="preserve">PART IV — Integration</w:t>
      </w:r>
      <w:r>
        <w:rPr>
          <w:rFonts w:ascii="Calibri" w:cs="Calibri" w:eastAsia="Calibri" w:hAnsi="Calibri"/>
          <w:color w:val="4A4A4A"/>
          <w:sz w:val="21"/>
          <w:szCs w:val="21"/>
        </w:rPr>
        <w:t xml:space="preserve"/>
      </w:r>
    </w:p>
    <w:p>
      <w:pPr>
        <w:spacing w:after="40" w:before="40"/>
      </w:pPr>
      <w:r>
        <w:rPr>
          <w:rFonts w:ascii="Calibri" w:cs="Calibri" w:eastAsia="Calibri" w:hAnsi="Calibri"/>
          <w:b w:val="false"/>
          <w:bCs w:val="false"/>
          <w:color w:val="4A4A4A"/>
          <w:sz w:val="21"/>
          <w:szCs w:val="21"/>
        </w:rPr>
        <w:t xml:space="preserve">  Chapter 10: Integration Architecture</w:t>
      </w:r>
      <w:r>
        <w:rPr>
          <w:rFonts w:ascii="Calibri" w:cs="Calibri" w:eastAsia="Calibri" w:hAnsi="Calibri"/>
          <w:color w:val="4A4A4A"/>
          <w:sz w:val="21"/>
          <w:szCs w:val="21"/>
        </w:rPr>
        <w:t xml:space="preserve">  61</w:t>
      </w:r>
    </w:p>
    <w:p>
      <w:pPr>
        <w:spacing w:after="40" w:before="40"/>
      </w:pPr>
      <w:r>
        <w:rPr>
          <w:rFonts w:ascii="Calibri" w:cs="Calibri" w:eastAsia="Calibri" w:hAnsi="Calibri"/>
          <w:b w:val="false"/>
          <w:bCs w:val="false"/>
          <w:color w:val="4A4A4A"/>
          <w:sz w:val="21"/>
          <w:szCs w:val="21"/>
        </w:rPr>
        <w:t xml:space="preserve">  Chapter 11: SOAP Web Services</w:t>
      </w:r>
      <w:r>
        <w:rPr>
          <w:rFonts w:ascii="Calibri" w:cs="Calibri" w:eastAsia="Calibri" w:hAnsi="Calibri"/>
          <w:color w:val="4A4A4A"/>
          <w:sz w:val="21"/>
          <w:szCs w:val="21"/>
        </w:rPr>
        <w:t xml:space="preserve">  68</w:t>
      </w:r>
    </w:p>
    <w:p>
      <w:pPr>
        <w:spacing w:after="40" w:before="40"/>
      </w:pPr>
      <w:r>
        <w:rPr>
          <w:rFonts w:ascii="Calibri" w:cs="Calibri" w:eastAsia="Calibri" w:hAnsi="Calibri"/>
          <w:b w:val="false"/>
          <w:bCs w:val="false"/>
          <w:color w:val="4A4A4A"/>
          <w:sz w:val="21"/>
          <w:szCs w:val="21"/>
        </w:rPr>
        <w:t xml:space="preserve">  Chapter 12: Cloud API (REST)</w:t>
      </w:r>
      <w:r>
        <w:rPr>
          <w:rFonts w:ascii="Calibri" w:cs="Calibri" w:eastAsia="Calibri" w:hAnsi="Calibri"/>
          <w:color w:val="4A4A4A"/>
          <w:sz w:val="21"/>
          <w:szCs w:val="21"/>
        </w:rPr>
        <w:t xml:space="preserve">  76</w:t>
      </w:r>
    </w:p>
    <w:p>
      <w:pPr>
        <w:spacing w:after="40" w:before="40"/>
      </w:pPr>
      <w:r>
        <w:rPr>
          <w:rFonts w:ascii="Calibri" w:cs="Calibri" w:eastAsia="Calibri" w:hAnsi="Calibri"/>
          <w:b w:val="false"/>
          <w:bCs w:val="false"/>
          <w:color w:val="4A4A4A"/>
          <w:sz w:val="21"/>
          <w:szCs w:val="21"/>
        </w:rPr>
        <w:t xml:space="preserve">  Chapter 13: Plugins &amp; Prebuilt Integrations</w:t>
      </w:r>
      <w:r>
        <w:rPr>
          <w:rFonts w:ascii="Calibri" w:cs="Calibri" w:eastAsia="Calibri" w:hAnsi="Calibri"/>
          <w:color w:val="4A4A4A"/>
          <w:sz w:val="21"/>
          <w:szCs w:val="21"/>
        </w:rPr>
        <w:t xml:space="preserve">  84</w:t>
      </w:r>
    </w:p>
    <w:p>
      <w:pPr>
        <w:spacing w:after="40" w:before="40"/>
      </w:pPr>
      <w:r>
        <w:rPr>
          <w:rFonts w:ascii="Calibri" w:cs="Calibri" w:eastAsia="Calibri" w:hAnsi="Calibri"/>
          <w:b w:val="false"/>
          <w:bCs w:val="false"/>
          <w:color w:val="4A4A4A"/>
          <w:sz w:val="21"/>
          <w:szCs w:val="21"/>
        </w:rPr>
        <w:t xml:space="preserve">Appendix A: Glossary</w:t>
      </w:r>
      <w:r>
        <w:rPr>
          <w:rFonts w:ascii="Calibri" w:cs="Calibri" w:eastAsia="Calibri" w:hAnsi="Calibri"/>
          <w:color w:val="4A4A4A"/>
          <w:sz w:val="21"/>
          <w:szCs w:val="21"/>
        </w:rPr>
        <w:t xml:space="preserve">  91</w:t>
      </w:r>
    </w:p>
    <w:p>
      <w:pPr>
        <w:spacing w:after="40" w:before="40"/>
      </w:pPr>
      <w:r>
        <w:rPr>
          <w:rFonts w:ascii="Calibri" w:cs="Calibri" w:eastAsia="Calibri" w:hAnsi="Calibri"/>
          <w:b w:val="false"/>
          <w:bCs w:val="false"/>
          <w:color w:val="4A4A4A"/>
          <w:sz w:val="21"/>
          <w:szCs w:val="21"/>
        </w:rPr>
        <w:t xml:space="preserve">Appendix B: Quick Reference Tables</w:t>
      </w:r>
      <w:r>
        <w:rPr>
          <w:rFonts w:ascii="Calibri" w:cs="Calibri" w:eastAsia="Calibri" w:hAnsi="Calibri"/>
          <w:color w:val="4A4A4A"/>
          <w:sz w:val="21"/>
          <w:szCs w:val="21"/>
        </w:rPr>
        <w:t xml:space="preserve">  96</w:t>
      </w:r>
    </w:p>
    <w:p>
      <w:r>
        <w:br w:type="page"/>
      </w:r>
    </w:p>
    <w:p>
      <w:pPr>
        <w:pStyle w:val="Heading1"/>
        <w:keepNext/>
        <w:keepLines/>
        <w:spacing w:after="160" w:before="400"/>
      </w:pPr>
      <w:r>
        <w:rPr>
          <w:rFonts w:ascii="Calibri" w:cs="Calibri" w:eastAsia="Calibri" w:hAnsi="Calibri"/>
          <w:b/>
          <w:bCs/>
          <w:color w:val="5B2D8E"/>
          <w:sz w:val="48"/>
          <w:szCs w:val="48"/>
        </w:rPr>
        <w:t xml:space="preserve">Preface</w:t>
      </w:r>
    </w:p>
    <w:p>
      <w:pPr>
        <w:spacing w:after="120" w:before="80" w:line="276"/>
        <w:jc w:val="both"/>
      </w:pPr>
      <w:r>
        <w:rPr>
          <w:rFonts w:ascii="Calibri" w:cs="Calibri" w:eastAsia="Calibri" w:hAnsi="Calibri"/>
          <w:color w:val="4A4A4A"/>
          <w:sz w:val="22"/>
          <w:szCs w:val="22"/>
        </w:rPr>
        <w:t xml:space="preserve">This handbook is published by RapidAI Tech™ as a practitioner reference for professionals working with the Guidewire InsuranceSuite platform. It consolidates configuration guidance, implementation best practices, and operational context drawn from the official Guidewire documentation suite for PolicyCenter, ClaimCenter, and BillingCenter — Release 2025.03 (Cloud) and ClaimCenter 10.2.2 (on-premise configuration).</w:t>
      </w:r>
    </w:p>
    <w:p>
      <w:pPr>
        <w:spacing w:after="120" w:before="80" w:line="276"/>
        <w:jc w:val="both"/>
      </w:pPr>
      <w:r>
        <w:rPr>
          <w:rFonts w:ascii="Calibri" w:cs="Calibri" w:eastAsia="Calibri" w:hAnsi="Calibri"/>
          <w:color w:val="4A4A4A"/>
          <w:sz w:val="22"/>
          <w:szCs w:val="22"/>
        </w:rPr>
        <w:t xml:space="preserve">The Guidewire InsuranceSuite is the property and trademark of Guidewire Software, Inc. RapidAI Tech™ is an independent consulting and AI services firm specializing in Guidewire implementations, configuration, integration, and training. This document is intended solely for instructional and reference purposes for practitioners engaged in Guidewire implementation and support activities.</w:t>
      </w:r>
    </w:p>
    <w:p>
      <w:pPr>
        <w:pStyle w:val="Heading2"/>
        <w:keepNext/>
        <w:keepLines/>
        <w:spacing w:after="160" w:before="400"/>
      </w:pPr>
      <w:r>
        <w:rPr>
          <w:rFonts w:ascii="Calibri" w:cs="Calibri" w:eastAsia="Calibri" w:hAnsi="Calibri"/>
          <w:b/>
          <w:bCs/>
          <w:color w:val="5B2D8E"/>
          <w:sz w:val="36"/>
          <w:szCs w:val="36"/>
        </w:rPr>
        <w:t xml:space="preserve">How to Use This Handbook</w:t>
      </w:r>
    </w:p>
    <w:p>
      <w:pPr>
        <w:spacing w:after="120" w:before="80" w:line="276"/>
        <w:jc w:val="both"/>
      </w:pPr>
      <w:r>
        <w:rPr>
          <w:rFonts w:ascii="Calibri" w:cs="Calibri" w:eastAsia="Calibri" w:hAnsi="Calibri"/>
          <w:color w:val="4A4A4A"/>
          <w:sz w:val="22"/>
          <w:szCs w:val="22"/>
        </w:rPr>
        <w:t xml:space="preserve">The handbook is organized into four major parts reflecting the primary InsuranceSuite products and their integration layer. Each part begins with an overview chapter that explains the product's architecture, purpose, and key data model, followed by deeper chapters on configuration, job management, financial management, and security as appropriate.</w:t>
      </w:r>
    </w:p>
    <w:p>
      <w:pPr>
        <w:spacing w:after="120" w:before="80" w:line="276"/>
        <w:jc w:val="both"/>
      </w:pPr>
      <w:r>
        <w:rPr>
          <w:rFonts w:ascii="Calibri" w:cs="Calibri" w:eastAsia="Calibri" w:hAnsi="Calibri"/>
          <w:color w:val="4A4A4A"/>
          <w:sz w:val="22"/>
          <w:szCs w:val="22"/>
        </w:rPr>
        <w:t xml:space="preserve">Part I (PolicyCenter) covers the end-to-end policy lifecycle from submission through cancellation and renewal. Part II (ClaimCenter) covers the claim lifecycle from First Notice of Loss through closure and recovery. Part III (BillingCenter) covers the financial lifecycle of billing accounts, charges, and payments. Part IV (Integration) covers the architectural patterns for connecting InsuranceSuite products to external systems via SOAP, Cloud API, and plugins.</w:t>
      </w:r>
    </w:p>
    <w:p>
      <w:pPr>
        <w:spacing w:after="120" w:before="80" w:line="276"/>
        <w:jc w:val="both"/>
      </w:pPr>
      <w:r>
        <w:rPr>
          <w:rFonts w:ascii="Calibri" w:cs="Calibri" w:eastAsia="Calibri" w:hAnsi="Calibri"/>
          <w:color w:val="4A4A4A"/>
          <w:sz w:val="22"/>
          <w:szCs w:val="22"/>
        </w:rPr>
        <w:t xml:space="preserve">The appendices provide a concise glossary of key Guidewire terms and rapid-reference tables for commonly used configuration parameters across all three products.</w:t>
      </w:r>
    </w:p>
    <w:p>
      <w:pPr>
        <w:pStyle w:val="Heading2"/>
        <w:keepNext/>
        <w:keepLines/>
        <w:spacing w:after="160" w:before="400"/>
      </w:pPr>
      <w:r>
        <w:rPr>
          <w:rFonts w:ascii="Calibri" w:cs="Calibri" w:eastAsia="Calibri" w:hAnsi="Calibri"/>
          <w:b/>
          <w:bCs/>
          <w:color w:val="5B2D8E"/>
          <w:sz w:val="36"/>
          <w:szCs w:val="36"/>
        </w:rPr>
        <w:t xml:space="preserve">Learning Framework</w:t>
      </w:r>
    </w:p>
    <w:p>
      <w:pPr>
        <w:spacing w:after="120" w:before="80" w:line="276"/>
        <w:jc w:val="both"/>
      </w:pPr>
      <w:r>
        <w:rPr>
          <w:rFonts w:ascii="Calibri" w:cs="Calibri" w:eastAsia="Calibri" w:hAnsi="Calibri"/>
          <w:color w:val="4A4A4A"/>
          <w:sz w:val="22"/>
          <w:szCs w:val="22"/>
        </w:rPr>
        <w:t xml:space="preserve">RapidAI Tech™ recommends the following progression for practitioners new to the Guidewire platform:</w:t>
      </w:r>
    </w:p>
    <w:p>
      <w:pPr>
        <w:pStyle w:val="ListParagraph"/>
        <w:numPr>
          <w:ilvl w:val="0"/>
          <w:numId w:val="1"/>
        </w:numPr>
        <w:spacing w:after="60" w:before="40"/>
      </w:pPr>
      <w:r>
        <w:rPr>
          <w:rFonts w:ascii="Calibri" w:cs="Calibri" w:eastAsia="Calibri" w:hAnsi="Calibri"/>
          <w:color w:val="4A4A4A"/>
          <w:sz w:val="22"/>
          <w:szCs w:val="22"/>
        </w:rPr>
        <w:t xml:space="preserve">Begin with the architecture overview of the product you are implementing to understand the core data model, terminology, and process flow.</w:t>
      </w:r>
    </w:p>
    <w:p>
      <w:pPr>
        <w:pStyle w:val="ListParagraph"/>
        <w:numPr>
          <w:ilvl w:val="0"/>
          <w:numId w:val="1"/>
        </w:numPr>
        <w:spacing w:after="60" w:before="40"/>
      </w:pPr>
      <w:r>
        <w:rPr>
          <w:rFonts w:ascii="Calibri" w:cs="Calibri" w:eastAsia="Calibri" w:hAnsi="Calibri"/>
          <w:color w:val="4A4A4A"/>
          <w:sz w:val="22"/>
          <w:szCs w:val="22"/>
        </w:rPr>
        <w:t xml:space="preserve">Study the job framework or lifecycle chapter relevant to your product to understand how the platform models business transactions.</w:t>
      </w:r>
    </w:p>
    <w:p>
      <w:pPr>
        <w:pStyle w:val="ListParagraph"/>
        <w:numPr>
          <w:ilvl w:val="0"/>
          <w:numId w:val="1"/>
        </w:numPr>
        <w:spacing w:after="60" w:before="40"/>
      </w:pPr>
      <w:r>
        <w:rPr>
          <w:rFonts w:ascii="Calibri" w:cs="Calibri" w:eastAsia="Calibri" w:hAnsi="Calibri"/>
          <w:color w:val="4A4A4A"/>
          <w:sz w:val="22"/>
          <w:szCs w:val="22"/>
        </w:rPr>
        <w:t xml:space="preserve">Review configuration parameters systematically, grouped by functional domain, to understand platform behaviour levers available without code changes.</w:t>
      </w:r>
    </w:p>
    <w:p>
      <w:pPr>
        <w:pStyle w:val="ListParagraph"/>
        <w:numPr>
          <w:ilvl w:val="0"/>
          <w:numId w:val="1"/>
        </w:numPr>
        <w:spacing w:after="60" w:before="40"/>
      </w:pPr>
      <w:r>
        <w:rPr>
          <w:rFonts w:ascii="Calibri" w:cs="Calibri" w:eastAsia="Calibri" w:hAnsi="Calibri"/>
          <w:color w:val="4A4A4A"/>
          <w:sz w:val="22"/>
          <w:szCs w:val="22"/>
        </w:rPr>
        <w:t xml:space="preserve">Read the integration chapters before beginning any external system connectivity work. Choose your integration pattern (SOAP, Cloud API, or plugin) based on the guidance in Chapter 10.</w:t>
      </w:r>
    </w:p>
    <w:p>
      <w:pPr>
        <w:pStyle w:val="ListParagraph"/>
        <w:numPr>
          <w:ilvl w:val="0"/>
          <w:numId w:val="1"/>
        </w:numPr>
        <w:spacing w:after="60" w:before="40"/>
      </w:pPr>
      <w:r>
        <w:rPr>
          <w:rFonts w:ascii="Calibri" w:cs="Calibri" w:eastAsia="Calibri" w:hAnsi="Calibri"/>
          <w:color w:val="4A4A4A"/>
          <w:sz w:val="22"/>
          <w:szCs w:val="22"/>
        </w:rPr>
        <w:t xml:space="preserve">Use the quick reference tables in Appendix B as your first lookup point when configuring a system for the first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thick" w:color="5B2D8E" w:sz="18"/>
              <w:bottom w:val="none"/>
              <w:right w:val="none"/>
            </w:tcBorders>
            <w:shd w:fill="F5F5F5" w:val="clear"/>
            <w:tcMar>
              <w:top w:type="dxa" w:w="120"/>
              <w:left w:type="dxa" w:w="200"/>
              <w:bottom w:type="dxa" w:w="120"/>
              <w:right w:type="dxa" w:w="200"/>
            </w:tcMar>
          </w:tcPr>
          <w:p>
            <w:pPr>
              <w:spacing w:after="0"/>
            </w:pPr>
            <w:r>
              <w:rPr>
                <w:rFonts w:ascii="Calibri" w:cs="Calibri" w:eastAsia="Calibri" w:hAnsi="Calibri"/>
                <w:i/>
                <w:iCs/>
                <w:color w:val="1A1A2E"/>
                <w:sz w:val="20"/>
                <w:szCs w:val="20"/>
              </w:rPr>
              <w:t xml:space="preserve">RapidAI Note: All configuration work should be performed in Development environment mode first. Never modify configuration parameters in Production without completing a full regression test cycle in a lower environment.</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00"/>
        </w:tblCellMar>
      </w:tblPr>
      <w:tblGrid>
        <w:gridCol w:w="9360"/>
      </w:tblGrid>
      <w:tr>
        <w:tc>
          <w:tcPr>
            <w:tcW w:type="dxa" w:w="9360"/>
            <w:shd w:fill="5B2D8E" w:val="clear"/>
            <w:tcMar>
              <w:top w:type="dxa" w:w="300"/>
              <w:left w:type="dxa" w:w="400"/>
              <w:bottom w:type="dxa" w:w="300"/>
              <w:right w:type="dxa" w:w="400"/>
            </w:tcMar>
          </w:tcPr>
          <w:p>
            <w:pPr>
              <w:spacing w:after="60"/>
            </w:pPr>
            <w:r>
              <w:rPr>
                <w:rFonts w:ascii="Calibri" w:cs="Calibri" w:eastAsia="Calibri" w:hAnsi="Calibri"/>
                <w:b/>
                <w:bCs/>
                <w:caps/>
                <w:color w:val="F5A623"/>
                <w:spacing w:val="60"/>
                <w:sz w:val="18"/>
                <w:szCs w:val="18"/>
              </w:rPr>
              <w:t xml:space="preserve">RAPIDAI TECH™</w:t>
            </w:r>
          </w:p>
          <w:p>
            <w:pPr>
              <w:spacing w:after="80"/>
            </w:pPr>
            <w:r>
              <w:rPr>
                <w:rFonts w:ascii="Calibri" w:cs="Calibri" w:eastAsia="Calibri" w:hAnsi="Calibri"/>
                <w:b/>
                <w:bCs/>
                <w:color w:val="FFFFFF"/>
                <w:sz w:val="52"/>
                <w:szCs w:val="52"/>
              </w:rPr>
              <w:t xml:space="preserve">PART I</w:t>
            </w:r>
          </w:p>
          <w:p>
            <w:pPr>
              <w:spacing w:after="0"/>
            </w:pPr>
            <w:r>
              <w:rPr>
                <w:rFonts w:ascii="Calibri" w:cs="Calibri" w:eastAsia="Calibri" w:hAnsi="Calibri"/>
                <w:color w:val="E0E0E0"/>
                <w:sz w:val="24"/>
                <w:szCs w:val="24"/>
              </w:rPr>
              <w:t xml:space="preserve">PolicyCenter — Policy Management</w:t>
            </w:r>
          </w:p>
        </w:tc>
      </w:tr>
    </w:tbl>
    <w:p>
      <w:r>
        <w:br w:type="page"/>
      </w:r>
    </w:p>
    <w:p>
      <w:pPr>
        <w:pStyle w:val="Heading1"/>
        <w:keepNext/>
        <w:keepLines/>
        <w:spacing w:after="160" w:before="400"/>
      </w:pPr>
      <w:r>
        <w:rPr>
          <w:rFonts w:ascii="Calibri" w:cs="Calibri" w:eastAsia="Calibri" w:hAnsi="Calibri"/>
          <w:b/>
          <w:bCs/>
          <w:color w:val="5B2D8E"/>
          <w:sz w:val="48"/>
          <w:szCs w:val="48"/>
        </w:rPr>
        <w:t xml:space="preserve">Chapter 1: PolicyCenter Overview</w:t>
      </w:r>
    </w:p>
    <w:p>
      <w:pPr>
        <w:spacing w:after="120" w:before="80" w:line="276"/>
        <w:jc w:val="both"/>
      </w:pPr>
      <w:r>
        <w:rPr>
          <w:rFonts w:ascii="Calibri" w:cs="Calibri" w:eastAsia="Calibri" w:hAnsi="Calibri"/>
          <w:color w:val="4A4A4A"/>
          <w:sz w:val="22"/>
          <w:szCs w:val="22"/>
        </w:rPr>
        <w:t xml:space="preserve">PolicyCenter is the Guidewire InsuranceSuite application for managing the full policy lifecycle in property and casualty insurance. It provides a configurable platform on which carriers can define their products, rate their risks, issue policies, and manage endorsements and renewals — all within a single application that supports both personal and commercial lines of business.</w:t>
      </w:r>
    </w:p>
    <w:p>
      <w:pPr>
        <w:spacing w:after="120" w:before="80" w:line="276"/>
        <w:jc w:val="both"/>
      </w:pPr>
      <w:r>
        <w:rPr>
          <w:rFonts w:ascii="Calibri" w:cs="Calibri" w:eastAsia="Calibri" w:hAnsi="Calibri"/>
          <w:color w:val="4A4A4A"/>
          <w:sz w:val="22"/>
          <w:szCs w:val="22"/>
        </w:rPr>
        <w:t xml:space="preserve">PolicyCenter operates on a product model that is distinct from the underlying application configuration. The product model defines the coverages, conditions, exclusions, and rating elements available for a line of business. The application configuration layer controls how those product elements are presented to underwriters, agents, and policyholders, and how the system enforces business rules, approval workflows, and authority limits.</w:t>
      </w:r>
    </w:p>
    <w:p>
      <w:pPr>
        <w:pStyle w:val="Heading2"/>
        <w:keepNext/>
        <w:keepLines/>
        <w:spacing w:after="160" w:before="400"/>
      </w:pPr>
      <w:r>
        <w:rPr>
          <w:rFonts w:ascii="Calibri" w:cs="Calibri" w:eastAsia="Calibri" w:hAnsi="Calibri"/>
          <w:b/>
          <w:bCs/>
          <w:color w:val="5B2D8E"/>
          <w:sz w:val="36"/>
          <w:szCs w:val="36"/>
        </w:rPr>
        <w:t xml:space="preserve">1.1 Architecture and Deployment</w:t>
      </w:r>
    </w:p>
    <w:p>
      <w:pPr>
        <w:spacing w:after="120" w:before="80" w:line="276"/>
        <w:jc w:val="both"/>
      </w:pPr>
      <w:r>
        <w:rPr>
          <w:rFonts w:ascii="Calibri" w:cs="Calibri" w:eastAsia="Calibri" w:hAnsi="Calibri"/>
          <w:color w:val="4A4A4A"/>
          <w:sz w:val="22"/>
          <w:szCs w:val="22"/>
        </w:rPr>
        <w:t xml:space="preserve">In the Guidewire Cloud deployment model (Release 2025.03), PolicyCenter runs as a managed cloud application hosted in Guidewire's cloud infrastructure. The application is delivered as a Software-as-a-Service (SaaS) offering with regular scheduled releases that include new features, security patches, and platform improvements. Carriers access PolicyCenter through a web browser and through its APIs; no on-premise server infrastructure is required.</w:t>
      </w:r>
    </w:p>
    <w:p>
      <w:pPr>
        <w:spacing w:after="120" w:before="80" w:line="276"/>
        <w:jc w:val="both"/>
      </w:pPr>
      <w:r>
        <w:rPr>
          <w:rFonts w:ascii="Calibri" w:cs="Calibri" w:eastAsia="Calibri" w:hAnsi="Calibri"/>
          <w:color w:val="4A4A4A"/>
          <w:sz w:val="22"/>
          <w:szCs w:val="22"/>
        </w:rPr>
        <w:t xml:space="preserve">The application is built on a Java EE foundation with Guidewire's proprietary Gosu scripting language providing the primary extensibility mechanism for business logic. The user interface is generated from PCF (Product Configuration Framework) files, which are XML documents defining screens, widgets, and their data bindings. Both Gosu scripts and PCF files can be customized by carriers within the bounds defined by the Guidewire configuration rules.</w:t>
      </w:r>
    </w:p>
    <w:p>
      <w:pPr>
        <w:spacing w:after="120" w:before="80" w:line="276"/>
        <w:jc w:val="both"/>
      </w:pPr>
      <w:r>
        <w:rPr>
          <w:rFonts w:ascii="Calibri" w:cs="Calibri" w:eastAsia="Calibri" w:hAnsi="Calibri"/>
          <w:color w:val="4A4A4A"/>
          <w:sz w:val="22"/>
          <w:szCs w:val="22"/>
        </w:rPr>
        <w:t xml:space="preserve">Guidewire Studio, an IntelliJ IDEA-based integrated development environment, provides the toolchain for developing PolicyCenter configuration. It includes syntax highlighting, code completion, and a built-in server for local testing. Configuration artifacts are version-controlled using standard source control tools such as Git and deployed to the Guidewire Cloud environment through the Guidewire Cloud environment management tooling.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thick" w:color="5B2D8E" w:sz="18"/>
              <w:bottom w:val="none"/>
              <w:right w:val="none"/>
            </w:tcBorders>
            <w:shd w:fill="F5F5F5" w:val="clear"/>
            <w:tcMar>
              <w:top w:type="dxa" w:w="120"/>
              <w:left w:type="dxa" w:w="200"/>
              <w:bottom w:type="dxa" w:w="120"/>
              <w:right w:type="dxa" w:w="200"/>
            </w:tcMar>
          </w:tcPr>
          <w:p>
            <w:pPr>
              <w:spacing w:after="0"/>
            </w:pPr>
            <w:r>
              <w:rPr>
                <w:rFonts w:ascii="Calibri" w:cs="Calibri" w:eastAsia="Calibri" w:hAnsi="Calibri"/>
                <w:i/>
                <w:iCs/>
                <w:color w:val="1A1A2E"/>
                <w:sz w:val="20"/>
                <w:szCs w:val="20"/>
              </w:rPr>
              <w:t xml:space="preserve">Architecture Note: In Cloud deployments, the traditional split between "Configuration" and "Core" application tiers is enforced more strictly than in on-premise deployments. Carriers have access to configuration layer APIs and extension points; core application code is not directly modifiable.</w:t>
            </w:r>
          </w:p>
        </w:tc>
      </w:tr>
    </w:tbl>
    <w:p>
      <w:pPr>
        <w:pStyle w:val="Heading2"/>
        <w:keepNext/>
        <w:keepLines/>
        <w:spacing w:after="160" w:before="400"/>
      </w:pPr>
      <w:r>
        <w:rPr>
          <w:rFonts w:ascii="Calibri" w:cs="Calibri" w:eastAsia="Calibri" w:hAnsi="Calibri"/>
          <w:b/>
          <w:bCs/>
          <w:color w:val="5B2D8E"/>
          <w:sz w:val="36"/>
          <w:szCs w:val="36"/>
        </w:rPr>
        <w:t xml:space="preserve">1.2 Core Data Model</w:t>
      </w:r>
    </w:p>
    <w:p>
      <w:pPr>
        <w:spacing w:after="120" w:before="80" w:line="276"/>
        <w:jc w:val="both"/>
      </w:pPr>
      <w:r>
        <w:rPr>
          <w:rFonts w:ascii="Calibri" w:cs="Calibri" w:eastAsia="Calibri" w:hAnsi="Calibri"/>
          <w:color w:val="4A4A4A"/>
          <w:sz w:val="22"/>
          <w:szCs w:val="22"/>
        </w:rPr>
        <w:t xml:space="preserve">PolicyCenter's data model is organized around the Policy entity and its related entities. Understanding this model is fundamental to configuring PolicyCenter and building integrations. The following entities form the backbone of the data model:</w:t>
      </w: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700"/>
        <w:gridCol w:w="6660"/>
      </w:tblGrid>
      <w:tr>
        <w:trPr>
          <w:tblHeader/>
        </w:trPr>
        <w:tc>
          <w:tcPr>
            <w:tcW w:type="dxa" w:w="2700"/>
            <w:shd w:fill="5B2D8E" w:val="clear"/>
            <w:tcMar>
              <w:top w:type="dxa" w:w="80"/>
              <w:left w:type="dxa" w:w="160"/>
              <w:bottom w:type="dxa" w:w="80"/>
              <w:right w:type="dxa" w:w="160"/>
            </w:tcMar>
          </w:tcPr>
          <w:p>
            <w:pPr>
              <w:spacing w:after="0"/>
            </w:pPr>
            <w:r>
              <w:rPr>
                <w:rFonts w:ascii="Calibri" w:cs="Calibri" w:eastAsia="Calibri" w:hAnsi="Calibri"/>
                <w:b/>
                <w:bCs/>
                <w:color w:val="FFFFFF"/>
                <w:sz w:val="20"/>
                <w:szCs w:val="20"/>
              </w:rPr>
              <w:t xml:space="preserve">Entity</w:t>
            </w:r>
          </w:p>
        </w:tc>
        <w:tc>
          <w:tcPr>
            <w:tcW w:type="dxa" w:w="6660"/>
            <w:shd w:fill="5B2D8E" w:val="clear"/>
            <w:tcMar>
              <w:top w:type="dxa" w:w="80"/>
              <w:left w:type="dxa" w:w="160"/>
              <w:bottom w:type="dxa" w:w="80"/>
              <w:right w:type="dxa" w:w="160"/>
            </w:tcMar>
          </w:tcPr>
          <w:p>
            <w:pPr>
              <w:spacing w:after="0"/>
            </w:pPr>
            <w:r>
              <w:rPr>
                <w:rFonts w:ascii="Calibri" w:cs="Calibri" w:eastAsia="Calibri" w:hAnsi="Calibri"/>
                <w:color w:val="FFFFFF"/>
                <w:sz w:val="20"/>
                <w:szCs w:val="20"/>
              </w:rPr>
              <w:t xml:space="preserve">Description</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Policy</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The top-level entity representing an insurance policy. A Policy has a primary insured, a product, and one or more PolicyPeriods.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PolicyPeriod</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Represents a specific term of coverage. A Policy can have multiple PolicyPeriods — the issued period, draft periods under construction for renewal or endorsement, and archived historical periods. The PolicyPeriod holds all coverage and rating data.</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Account</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Represents the customer relationship. An Account can have multiple Policies and is the focal point for billing (via BillingCenter) and contact management.</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PolicyLine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Represents a line of business on a PolicyPeriod (e.g., CommercialProperty, BusinessAuto). Multiple lines can be combined on a single policy (monoline or package policy).</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Coverage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specific coverage applied to a risk. Coverages have terms (e.g., limits, deductibles, conditions) that define the scope of the coverage.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Risk</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The insured item — a building, a vehicle, a person. Different lines of business have different risk entity types (e.g., Building, Vehicle, DriverPerson).</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PremiumSummary</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Holds the final rated premium for a PolicyPeriod, broken down by coverage and cost type (written premium, earned premium, taxes, surcharges).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Job</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Represents a business transaction being processed against a policy (Submission, PolicyChange, Renewal, Cancellation, etc.). Jobs have workflows and approval processes attached to them.</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Activity</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task assigned to a user or work queue related to a policy, job, or account. Activities drive workflow and user task management.</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Note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free-text annotation attached to a policy, job, or account for audit trail and communication purposes.</w:t>
            </w:r>
          </w:p>
        </w:tc>
      </w:tr>
    </w:tbl>
    <w:p>
      <w:pPr>
        <w:pStyle w:val="Heading2"/>
        <w:keepNext/>
        <w:keepLines/>
        <w:spacing w:after="160" w:before="400"/>
      </w:pPr>
      <w:r>
        <w:rPr>
          <w:rFonts w:ascii="Calibri" w:cs="Calibri" w:eastAsia="Calibri" w:hAnsi="Calibri"/>
          <w:b/>
          <w:bCs/>
          <w:color w:val="5B2D8E"/>
          <w:sz w:val="36"/>
          <w:szCs w:val="36"/>
        </w:rPr>
        <w:t xml:space="preserve">1.3 Product Model Architecture</w:t>
      </w:r>
    </w:p>
    <w:p>
      <w:pPr>
        <w:spacing w:after="120" w:before="80" w:line="276"/>
        <w:jc w:val="both"/>
      </w:pPr>
      <w:r>
        <w:rPr>
          <w:rFonts w:ascii="Calibri" w:cs="Calibri" w:eastAsia="Calibri" w:hAnsi="Calibri"/>
          <w:color w:val="4A4A4A"/>
          <w:sz w:val="22"/>
          <w:szCs w:val="22"/>
        </w:rPr>
        <w:t xml:space="preserve">The product model is the carrier-configured layer that sits above the PolicyCenter application and defines what insurance products the system can issue. It is organized into a hierarchy: Lines of Business contain Coverages which contain Coverage Terms. This hierarchy is defined in the PolicyCenter product model using Gosu and XML configuration files.</w:t>
      </w:r>
    </w:p>
    <w:p>
      <w:pPr>
        <w:spacing w:after="120" w:before="80" w:line="276"/>
        <w:jc w:val="both"/>
      </w:pPr>
      <w:r>
        <w:rPr>
          <w:rFonts w:ascii="Calibri" w:cs="Calibri" w:eastAsia="Calibri" w:hAnsi="Calibri"/>
          <w:color w:val="4A4A4A"/>
          <w:sz w:val="22"/>
          <w:szCs w:val="22"/>
        </w:rPr>
        <w:t xml:space="preserve">PolicyCenter supports two methods for rating premiums: the built-in Rating Management module, which allows rating tables and algorithms to be configured within the application, and external rating via integration with a dedicated rating engine (such as Majesco Rate a Risk or a carrier's proprietary system). Most cloud implementations use Rating Management for its tight integration with the product model, though external rating remains the pattern of choice for carriers with complex actuarial systems already in production.</w:t>
      </w:r>
    </w:p>
    <w:p>
      <w:pPr>
        <w:pStyle w:val="ListParagraph"/>
        <w:numPr>
          <w:ilvl w:val="0"/>
          <w:numId w:val="1"/>
        </w:numPr>
        <w:spacing w:after="60" w:before="40"/>
      </w:pPr>
      <w:r>
        <w:rPr>
          <w:rFonts w:ascii="Calibri" w:cs="Calibri" w:eastAsia="Calibri" w:hAnsi="Calibri"/>
          <w:color w:val="4A4A4A"/>
          <w:sz w:val="22"/>
          <w:szCs w:val="22"/>
        </w:rPr>
        <w:t xml:space="preserve">Lines of Business (LOBs): Defined in the product model as PolicyLine subtypes. Standard LOBs include PersonalAuto, Homeowners, CommercialProperty, GeneralLiability, BusinessOwners, and CommercialAuto.</w:t>
      </w:r>
    </w:p>
    <w:p>
      <w:pPr>
        <w:pStyle w:val="ListParagraph"/>
        <w:numPr>
          <w:ilvl w:val="0"/>
          <w:numId w:val="1"/>
        </w:numPr>
        <w:spacing w:after="60" w:before="40"/>
      </w:pPr>
      <w:r>
        <w:rPr>
          <w:rFonts w:ascii="Calibri" w:cs="Calibri" w:eastAsia="Calibri" w:hAnsi="Calibri"/>
          <w:color w:val="4A4A4A"/>
          <w:sz w:val="22"/>
          <w:szCs w:val="22"/>
        </w:rPr>
        <w:t xml:space="preserve">Coverages: Each LOB has a set of available coverages. Coverages can be required, optional, or conditional on other coverage selections. Their availability can be governed by eligibility rules.</w:t>
      </w:r>
    </w:p>
    <w:p>
      <w:pPr>
        <w:pStyle w:val="ListParagraph"/>
        <w:numPr>
          <w:ilvl w:val="0"/>
          <w:numId w:val="1"/>
        </w:numPr>
        <w:spacing w:after="60" w:before="40"/>
      </w:pPr>
      <w:r>
        <w:rPr>
          <w:rFonts w:ascii="Calibri" w:cs="Calibri" w:eastAsia="Calibri" w:hAnsi="Calibri"/>
          <w:color w:val="4A4A4A"/>
          <w:sz w:val="22"/>
          <w:szCs w:val="22"/>
        </w:rPr>
        <w:t xml:space="preserve">Coverage Terms: The modifiable terms of a coverage — limits, deductibles, retroactive dates, exclusion endorsements. Terms are typed (money, integer, typekey) and may have available values defined.</w:t>
      </w:r>
    </w:p>
    <w:p>
      <w:pPr>
        <w:pStyle w:val="ListParagraph"/>
        <w:numPr>
          <w:ilvl w:val="0"/>
          <w:numId w:val="1"/>
        </w:numPr>
        <w:spacing w:after="60" w:before="40"/>
      </w:pPr>
      <w:r>
        <w:rPr>
          <w:rFonts w:ascii="Calibri" w:cs="Calibri" w:eastAsia="Calibri" w:hAnsi="Calibri"/>
          <w:color w:val="4A4A4A"/>
          <w:sz w:val="22"/>
          <w:szCs w:val="22"/>
        </w:rPr>
        <w:t xml:space="preserve">Eligibility Rules: Business rules (implemented in Gosu using the Business Rules framework) that determine whether a risk qualifies for a product or coverage. Eligibility failures generate validation issues that block policy issuance.</w:t>
      </w:r>
    </w:p>
    <w:p>
      <w:pPr>
        <w:pStyle w:val="ListParagraph"/>
        <w:numPr>
          <w:ilvl w:val="0"/>
          <w:numId w:val="1"/>
        </w:numPr>
        <w:spacing w:after="60" w:before="40"/>
      </w:pPr>
      <w:r>
        <w:rPr>
          <w:rFonts w:ascii="Calibri" w:cs="Calibri" w:eastAsia="Calibri" w:hAnsi="Calibri"/>
          <w:color w:val="4A4A4A"/>
          <w:sz w:val="22"/>
          <w:szCs w:val="22"/>
        </w:rPr>
        <w:t xml:space="preserve">Underwriting Questions: Structured questions presented to agents during the quote process that capture risk characteristics not modeled as explicit coverage terms.</w:t>
      </w:r>
    </w:p>
    <w:p>
      <w:pPr>
        <w:pStyle w:val="Heading2"/>
        <w:keepNext/>
        <w:keepLines/>
        <w:spacing w:after="160" w:before="400"/>
      </w:pPr>
      <w:r>
        <w:rPr>
          <w:rFonts w:ascii="Calibri" w:cs="Calibri" w:eastAsia="Calibri" w:hAnsi="Calibri"/>
          <w:b/>
          <w:bCs/>
          <w:color w:val="5B2D8E"/>
          <w:sz w:val="36"/>
          <w:szCs w:val="36"/>
        </w:rPr>
        <w:t xml:space="preserve">1.4 Configuration vs. Development Environments</w:t>
      </w:r>
    </w:p>
    <w:p>
      <w:pPr>
        <w:spacing w:after="120" w:before="80" w:line="276"/>
        <w:jc w:val="both"/>
      </w:pPr>
      <w:r>
        <w:rPr>
          <w:rFonts w:ascii="Calibri" w:cs="Calibri" w:eastAsia="Calibri" w:hAnsi="Calibri"/>
          <w:color w:val="4A4A4A"/>
          <w:sz w:val="22"/>
          <w:szCs w:val="22"/>
        </w:rPr>
        <w:t xml:space="preserve">PolicyCenter distinguishes between two types of application environments, each serving a distinct purpose in the implementation lifecycle. Understanding this distinction is essential before beginning any configuration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thick" w:color="5B2D8E" w:sz="18"/>
              <w:bottom w:val="none"/>
              <w:right w:val="none"/>
            </w:tcBorders>
            <w:shd w:fill="F5F5F5" w:val="clear"/>
            <w:tcMar>
              <w:top w:type="dxa" w:w="120"/>
              <w:left w:type="dxa" w:w="200"/>
              <w:bottom w:type="dxa" w:w="120"/>
              <w:right w:type="dxa" w:w="200"/>
            </w:tcMar>
          </w:tcPr>
          <w:p>
            <w:pPr>
              <w:spacing w:after="0"/>
            </w:pPr>
            <w:r>
              <w:rPr>
                <w:rFonts w:ascii="Calibri" w:cs="Calibri" w:eastAsia="Calibri" w:hAnsi="Calibri"/>
                <w:i/>
                <w:iCs/>
                <w:color w:val="1A1A2E"/>
                <w:sz w:val="20"/>
                <w:szCs w:val="20"/>
              </w:rPr>
              <w:t xml:space="preserve">Development Environment: Runs in "mutable" mode, allowing configuration files to be regenerated and security dictionaries to be updated without requiring a full server restart. Used for active development and configuration testing.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thick" w:color="5B2D8E" w:sz="18"/>
              <w:bottom w:val="none"/>
              <w:right w:val="none"/>
            </w:tcBorders>
            <w:shd w:fill="F5F5F5" w:val="clear"/>
            <w:tcMar>
              <w:top w:type="dxa" w:w="120"/>
              <w:left w:type="dxa" w:w="200"/>
              <w:bottom w:type="dxa" w:w="120"/>
              <w:right w:type="dxa" w:w="200"/>
            </w:tcMar>
          </w:tcPr>
          <w:p>
            <w:pPr>
              <w:spacing w:after="0"/>
            </w:pPr>
            <w:r>
              <w:rPr>
                <w:rFonts w:ascii="Calibri" w:cs="Calibri" w:eastAsia="Calibri" w:hAnsi="Calibri"/>
                <w:i/>
                <w:iCs/>
                <w:color w:val="1A1A2E"/>
                <w:sz w:val="20"/>
                <w:szCs w:val="20"/>
              </w:rPr>
              <w:t xml:space="preserve">Production Environment: Runs in "read-only" mode for configuration resources. Security dictionaries must be pre-generated and deployed as part of the release package. Supports hot deployment of certain non-structural changes.</w:t>
            </w:r>
          </w:p>
        </w:tc>
      </w:tr>
    </w:tbl>
    <w:p>
      <w:pPr>
        <w:spacing w:after="120" w:before="80" w:line="276"/>
        <w:jc w:val="both"/>
      </w:pPr>
      <w:r>
        <w:rPr>
          <w:rFonts w:ascii="Calibri" w:cs="Calibri" w:eastAsia="Calibri" w:hAnsi="Calibri"/>
          <w:color w:val="4A4A4A"/>
          <w:sz w:val="22"/>
          <w:szCs w:val="22"/>
        </w:rPr>
        <w:t xml:space="preserve">In Cloud deployments, the environment lifecycle is managed through the Guidewire Cloud Console. Environments are provisioned as Dev, Test, Staging, and Production tiers. Promotion of configuration changes from one tier to the next is governed by the carrier's release management process and Guidewire's cloud environment policies.</w:t>
      </w:r>
    </w:p>
    <w:p>
      <w:r>
        <w:br w:type="page"/>
      </w:r>
    </w:p>
    <w:p>
      <w:pPr>
        <w:pStyle w:val="Heading1"/>
        <w:keepNext/>
        <w:keepLines/>
        <w:spacing w:after="160" w:before="400"/>
      </w:pPr>
      <w:r>
        <w:rPr>
          <w:rFonts w:ascii="Calibri" w:cs="Calibri" w:eastAsia="Calibri" w:hAnsi="Calibri"/>
          <w:b/>
          <w:bCs/>
          <w:color w:val="5B2D8E"/>
          <w:sz w:val="48"/>
          <w:szCs w:val="48"/>
        </w:rPr>
        <w:t xml:space="preserve">Chapter 2: Policy Lifecycle &amp; Job Framework</w:t>
      </w:r>
    </w:p>
    <w:p>
      <w:pPr>
        <w:spacing w:after="120" w:before="80" w:line="276"/>
        <w:jc w:val="both"/>
      </w:pPr>
      <w:r>
        <w:rPr>
          <w:rFonts w:ascii="Calibri" w:cs="Calibri" w:eastAsia="Calibri" w:hAnsi="Calibri"/>
          <w:color w:val="4A4A4A"/>
          <w:sz w:val="22"/>
          <w:szCs w:val="22"/>
        </w:rPr>
        <w:t xml:space="preserve">PolicyCenter models all interactions with a policy as "jobs" — structured workflows that transition a policy from one state to another. The Job Framework is one of the most important concepts in PolicyCenter because it governs how every type of policy transaction is initiated, processed, approved, bound, and issued. Understanding the Job Framework thoroughly is a prerequisite for configuring any PolicyCenter implementation.</w:t>
      </w:r>
    </w:p>
    <w:p>
      <w:pPr>
        <w:pStyle w:val="Heading2"/>
        <w:keepNext/>
        <w:keepLines/>
        <w:spacing w:after="160" w:before="400"/>
      </w:pPr>
      <w:r>
        <w:rPr>
          <w:rFonts w:ascii="Calibri" w:cs="Calibri" w:eastAsia="Calibri" w:hAnsi="Calibri"/>
          <w:b/>
          <w:bCs/>
          <w:color w:val="5B2D8E"/>
          <w:sz w:val="36"/>
          <w:szCs w:val="36"/>
        </w:rPr>
        <w:t xml:space="preserve">2.1 Overview of the Job Framework</w:t>
      </w:r>
    </w:p>
    <w:p>
      <w:pPr>
        <w:spacing w:after="120" w:before="80" w:line="276"/>
        <w:jc w:val="both"/>
      </w:pPr>
      <w:r>
        <w:rPr>
          <w:rFonts w:ascii="Calibri" w:cs="Calibri" w:eastAsia="Calibri" w:hAnsi="Calibri"/>
          <w:color w:val="4A4A4A"/>
          <w:sz w:val="22"/>
          <w:szCs w:val="22"/>
        </w:rPr>
        <w:t xml:space="preserve">A job in PolicyCenter is an instance of a job type. Each job type has its own workflow, approval requirements, and business rules. Jobs transition through a defined state lifecycle. The primary job types are:</w:t>
      </w: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700"/>
        <w:gridCol w:w="6660"/>
      </w:tblGrid>
      <w:tr>
        <w:trPr>
          <w:tblHeader/>
        </w:trPr>
        <w:tc>
          <w:tcPr>
            <w:tcW w:type="dxa" w:w="2700"/>
            <w:shd w:fill="5B2D8E" w:val="clear"/>
            <w:tcMar>
              <w:top w:type="dxa" w:w="80"/>
              <w:left w:type="dxa" w:w="160"/>
              <w:bottom w:type="dxa" w:w="80"/>
              <w:right w:type="dxa" w:w="160"/>
            </w:tcMar>
          </w:tcPr>
          <w:p>
            <w:pPr>
              <w:spacing w:after="0"/>
            </w:pPr>
            <w:r>
              <w:rPr>
                <w:rFonts w:ascii="Calibri" w:cs="Calibri" w:eastAsia="Calibri" w:hAnsi="Calibri"/>
                <w:b/>
                <w:bCs/>
                <w:color w:val="FFFFFF"/>
                <w:sz w:val="20"/>
                <w:szCs w:val="20"/>
              </w:rPr>
              <w:t xml:space="preserve">Job Type</w:t>
            </w:r>
          </w:p>
        </w:tc>
        <w:tc>
          <w:tcPr>
            <w:tcW w:type="dxa" w:w="6660"/>
            <w:shd w:fill="5B2D8E" w:val="clear"/>
            <w:tcMar>
              <w:top w:type="dxa" w:w="80"/>
              <w:left w:type="dxa" w:w="160"/>
              <w:bottom w:type="dxa" w:w="80"/>
              <w:right w:type="dxa" w:w="160"/>
            </w:tcMar>
          </w:tcPr>
          <w:p>
            <w:pPr>
              <w:spacing w:after="0"/>
            </w:pPr>
            <w:r>
              <w:rPr>
                <w:rFonts w:ascii="Calibri" w:cs="Calibri" w:eastAsia="Calibri" w:hAnsi="Calibri"/>
                <w:color w:val="FFFFFF"/>
                <w:sz w:val="20"/>
                <w:szCs w:val="20"/>
              </w:rPr>
              <w:t xml:space="preserve">Purpose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Submission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The initial quote and bind transaction for a new policy. Submissions go through UW review and approval before binding.</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PolicyChange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mid-term endorsement to an in-force policy. Changes the coverage, premium, or risk profile mid-term.</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Renewal</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The re-issuance of a policy for a new term at expiry. Renewals can be automatic (system-generated) or manual.</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Cancellation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Terminates an in-force policy before its natural expiry. Can be voluntary (insured-initiated) or involuntary (carrier-initiated for non-payment or underwriting reasons).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Reinstatement</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Restores a cancelled policy to in-force status, subject to underwriting approval.</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Rewrite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Creates a new policy that substantially replaces an existing cancelled or expired policy, typically used when coverage needs to be restructured.</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Audit</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Used for lines of business where the final premium is determined after the policy period based on actual exposure (e.g., Workers Compensation audit).</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IssuanceRestriction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specialized job type for placing restrictions on a policy's ability to be rewritten or renewed.</w:t>
            </w:r>
          </w:p>
        </w:tc>
      </w:tr>
    </w:tbl>
    <w:p>
      <w:pPr>
        <w:pStyle w:val="Heading2"/>
        <w:keepNext/>
        <w:keepLines/>
        <w:spacing w:after="160" w:before="400"/>
      </w:pPr>
      <w:r>
        <w:rPr>
          <w:rFonts w:ascii="Calibri" w:cs="Calibri" w:eastAsia="Calibri" w:hAnsi="Calibri"/>
          <w:b/>
          <w:bCs/>
          <w:color w:val="5B2D8E"/>
          <w:sz w:val="36"/>
          <w:szCs w:val="36"/>
        </w:rPr>
        <w:t xml:space="preserve">2.2 Submission Job Lifecycle</w:t>
      </w:r>
    </w:p>
    <w:p>
      <w:pPr>
        <w:spacing w:after="120" w:before="80" w:line="276"/>
        <w:jc w:val="both"/>
      </w:pPr>
      <w:r>
        <w:rPr>
          <w:rFonts w:ascii="Calibri" w:cs="Calibri" w:eastAsia="Calibri" w:hAnsi="Calibri"/>
          <w:color w:val="4A4A4A"/>
          <w:sz w:val="22"/>
          <w:szCs w:val="22"/>
        </w:rPr>
        <w:t xml:space="preserve">A Submission is the most complex job type in PolicyCenter because it involves the most business logic and the most integration touchpoints. The Submission lifecycle follows these major phases:</w:t>
      </w:r>
    </w:p>
    <w:p>
      <w:pPr>
        <w:pStyle w:val="ListParagraph"/>
        <w:numPr>
          <w:ilvl w:val="0"/>
          <w:numId w:val="1"/>
        </w:numPr>
        <w:spacing w:after="60" w:before="40"/>
      </w:pPr>
      <w:r>
        <w:rPr>
          <w:rFonts w:ascii="Calibri" w:cs="Calibri" w:eastAsia="Calibri" w:hAnsi="Calibri"/>
          <w:color w:val="4A4A4A"/>
          <w:sz w:val="22"/>
          <w:szCs w:val="22"/>
        </w:rPr>
        <w:t xml:space="preserve">Draft: The agent or underwriter completes the application screens, entering risk characteristics, coverage selections, and underwriting question responses. The policy is in draft state and not yet rated.</w:t>
      </w:r>
    </w:p>
    <w:p>
      <w:pPr>
        <w:pStyle w:val="ListParagraph"/>
        <w:numPr>
          <w:ilvl w:val="0"/>
          <w:numId w:val="1"/>
        </w:numPr>
        <w:spacing w:after="60" w:before="40"/>
      </w:pPr>
      <w:r>
        <w:rPr>
          <w:rFonts w:ascii="Calibri" w:cs="Calibri" w:eastAsia="Calibri" w:hAnsi="Calibri"/>
          <w:color w:val="4A4A4A"/>
          <w:sz w:val="22"/>
          <w:szCs w:val="22"/>
        </w:rPr>
        <w:t xml:space="preserve">Quoting: The carrier rates the risk and calculates a premium. During quoting, eligibility rules run, underwriting issues are generated if risks fall outside acceptable parameters, and the premium summary is populated.</w:t>
      </w:r>
    </w:p>
    <w:p>
      <w:pPr>
        <w:pStyle w:val="ListParagraph"/>
        <w:numPr>
          <w:ilvl w:val="0"/>
          <w:numId w:val="1"/>
        </w:numPr>
        <w:spacing w:after="60" w:before="40"/>
      </w:pPr>
      <w:r>
        <w:rPr>
          <w:rFonts w:ascii="Calibri" w:cs="Calibri" w:eastAsia="Calibri" w:hAnsi="Calibri"/>
          <w:color w:val="4A4A4A"/>
          <w:sz w:val="22"/>
          <w:szCs w:val="22"/>
        </w:rPr>
        <w:t xml:space="preserve">UW Review: If the submission generates underwriting issues requiring review, it enters UW Review status. Underwriters must address each issue — either approving it (with authority) or requesting additional information.</w:t>
      </w:r>
    </w:p>
    <w:p>
      <w:pPr>
        <w:pStyle w:val="ListParagraph"/>
        <w:numPr>
          <w:ilvl w:val="0"/>
          <w:numId w:val="1"/>
        </w:numPr>
        <w:spacing w:after="60" w:before="40"/>
      </w:pPr>
      <w:r>
        <w:rPr>
          <w:rFonts w:ascii="Calibri" w:cs="Calibri" w:eastAsia="Calibri" w:hAnsi="Calibri"/>
          <w:color w:val="4A4A4A"/>
          <w:sz w:val="22"/>
          <w:szCs w:val="22"/>
        </w:rPr>
        <w:t xml:space="preserve">Approval: Submissions above a premium threshold or with specific risk characteristics may require approval from a senior underwriter or manager. The approval step is configurable per product and carrier.</w:t>
      </w:r>
    </w:p>
    <w:p>
      <w:pPr>
        <w:pStyle w:val="ListParagraph"/>
        <w:numPr>
          <w:ilvl w:val="0"/>
          <w:numId w:val="1"/>
        </w:numPr>
        <w:spacing w:after="60" w:before="40"/>
      </w:pPr>
      <w:r>
        <w:rPr>
          <w:rFonts w:ascii="Calibri" w:cs="Calibri" w:eastAsia="Calibri" w:hAnsi="Calibri"/>
          <w:color w:val="4A4A4A"/>
          <w:sz w:val="22"/>
          <w:szCs w:val="22"/>
        </w:rPr>
        <w:t xml:space="preserve">Quoted: All underwriting issues have been resolved and the submission has a firm premium. The submission is ready to bind.</w:t>
      </w:r>
    </w:p>
    <w:p>
      <w:pPr>
        <w:pStyle w:val="ListParagraph"/>
        <w:numPr>
          <w:ilvl w:val="0"/>
          <w:numId w:val="1"/>
        </w:numPr>
        <w:spacing w:after="60" w:before="40"/>
      </w:pPr>
      <w:r>
        <w:rPr>
          <w:rFonts w:ascii="Calibri" w:cs="Calibri" w:eastAsia="Calibri" w:hAnsi="Calibri"/>
          <w:color w:val="4A4A4A"/>
          <w:sz w:val="22"/>
          <w:szCs w:val="22"/>
        </w:rPr>
        <w:t xml:space="preserve">Bound: The insured or agent has accepted the terms and the submission has been bound. The policy is now in-force pending issuance of policy documents.</w:t>
      </w:r>
    </w:p>
    <w:p>
      <w:pPr>
        <w:pStyle w:val="ListParagraph"/>
        <w:numPr>
          <w:ilvl w:val="0"/>
          <w:numId w:val="1"/>
        </w:numPr>
        <w:spacing w:after="60" w:before="40"/>
      </w:pPr>
      <w:r>
        <w:rPr>
          <w:rFonts w:ascii="Calibri" w:cs="Calibri" w:eastAsia="Calibri" w:hAnsi="Calibri"/>
          <w:color w:val="4A4A4A"/>
          <w:sz w:val="22"/>
          <w:szCs w:val="22"/>
        </w:rPr>
        <w:t xml:space="preserve">Issued: Policy documents have been generated and dispatched. The submission job is complete and the policy period is now active.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thick" w:color="5B2D8E" w:sz="18"/>
              <w:bottom w:val="none"/>
              <w:right w:val="none"/>
            </w:tcBorders>
            <w:shd w:fill="F5F5F5" w:val="clear"/>
            <w:tcMar>
              <w:top w:type="dxa" w:w="120"/>
              <w:left w:type="dxa" w:w="200"/>
              <w:bottom w:type="dxa" w:w="120"/>
              <w:right w:type="dxa" w:w="200"/>
            </w:tcMar>
          </w:tcPr>
          <w:p>
            <w:pPr>
              <w:spacing w:after="0"/>
            </w:pPr>
            <w:r>
              <w:rPr>
                <w:rFonts w:ascii="Calibri" w:cs="Calibri" w:eastAsia="Calibri" w:hAnsi="Calibri"/>
                <w:i/>
                <w:iCs/>
                <w:color w:val="1A1A2E"/>
                <w:sz w:val="20"/>
                <w:szCs w:val="20"/>
              </w:rPr>
              <w:t xml:space="preserve">Configuration Tip: The UW Review and Approval steps are fully configurable in PolicyCenter. Carriers define which conditions trigger an underwriting issue (UWI), what the severity of each UWI is (Advisory, Referred, Blocked), and which authority levels can approve them. This is one of the most significant configuration areas in any PolicyCenter implementation.</w:t>
            </w:r>
          </w:p>
        </w:tc>
      </w:tr>
    </w:tbl>
    <w:p>
      <w:pPr>
        <w:pStyle w:val="Heading2"/>
        <w:keepNext/>
        <w:keepLines/>
        <w:spacing w:after="160" w:before="400"/>
      </w:pPr>
      <w:r>
        <w:rPr>
          <w:rFonts w:ascii="Calibri" w:cs="Calibri" w:eastAsia="Calibri" w:hAnsi="Calibri"/>
          <w:b/>
          <w:bCs/>
          <w:color w:val="5B2D8E"/>
          <w:sz w:val="36"/>
          <w:szCs w:val="36"/>
        </w:rPr>
        <w:t xml:space="preserve">2.3 Underwriting Issues and Authority Limits</w:t>
      </w:r>
    </w:p>
    <w:p>
      <w:pPr>
        <w:spacing w:after="120" w:before="80" w:line="276"/>
        <w:jc w:val="both"/>
      </w:pPr>
      <w:r>
        <w:rPr>
          <w:rFonts w:ascii="Calibri" w:cs="Calibri" w:eastAsia="Calibri" w:hAnsi="Calibri"/>
          <w:color w:val="4A4A4A"/>
          <w:sz w:val="22"/>
          <w:szCs w:val="22"/>
        </w:rPr>
        <w:t xml:space="preserve">Underwriting Issues (UWIs) are the primary mechanism by which PolicyCenter enforces underwriting discipline. A UWI is generated when a risk characteristic falls outside the carrier's acceptable parameters — for example, when a driver has more than two at-fault accidents, when a building's construction type is frame in a high-wind zone, or when the requested coverage limit exceeds the underwriter's binding authority.</w:t>
      </w:r>
    </w:p>
    <w:p>
      <w:pPr>
        <w:spacing w:after="120" w:before="80" w:line="276"/>
        <w:jc w:val="both"/>
      </w:pPr>
      <w:r>
        <w:rPr>
          <w:rFonts w:ascii="Calibri" w:cs="Calibri" w:eastAsia="Calibri" w:hAnsi="Calibri"/>
          <w:color w:val="4A4A4A"/>
          <w:sz w:val="22"/>
          <w:szCs w:val="22"/>
        </w:rPr>
        <w:t xml:space="preserve">Each UWI has the following properties that are configured by the carrier:</w:t>
      </w: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700"/>
        <w:gridCol w:w="6660"/>
      </w:tblGrid>
      <w:tr>
        <w:trPr>
          <w:tblHeader/>
        </w:trPr>
        <w:tc>
          <w:tcPr>
            <w:tcW w:type="dxa" w:w="2700"/>
            <w:shd w:fill="5B2D8E" w:val="clear"/>
            <w:tcMar>
              <w:top w:type="dxa" w:w="80"/>
              <w:left w:type="dxa" w:w="160"/>
              <w:bottom w:type="dxa" w:w="80"/>
              <w:right w:type="dxa" w:w="160"/>
            </w:tcMar>
          </w:tcPr>
          <w:p>
            <w:pPr>
              <w:spacing w:after="0"/>
            </w:pPr>
            <w:r>
              <w:rPr>
                <w:rFonts w:ascii="Calibri" w:cs="Calibri" w:eastAsia="Calibri" w:hAnsi="Calibri"/>
                <w:b/>
                <w:bCs/>
                <w:color w:val="FFFFFF"/>
                <w:sz w:val="20"/>
                <w:szCs w:val="20"/>
              </w:rPr>
              <w:t xml:space="preserve">Property</w:t>
            </w:r>
          </w:p>
        </w:tc>
        <w:tc>
          <w:tcPr>
            <w:tcW w:type="dxa" w:w="6660"/>
            <w:shd w:fill="5B2D8E" w:val="clear"/>
            <w:tcMar>
              <w:top w:type="dxa" w:w="80"/>
              <w:left w:type="dxa" w:w="160"/>
              <w:bottom w:type="dxa" w:w="80"/>
              <w:right w:type="dxa" w:w="160"/>
            </w:tcMar>
          </w:tcPr>
          <w:p>
            <w:pPr>
              <w:spacing w:after="0"/>
            </w:pPr>
            <w:r>
              <w:rPr>
                <w:rFonts w:ascii="Calibri" w:cs="Calibri" w:eastAsia="Calibri" w:hAnsi="Calibri"/>
                <w:color w:val="FFFFFF"/>
                <w:sz w:val="20"/>
                <w:szCs w:val="20"/>
              </w:rPr>
              <w:t xml:space="preserve">Description</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Issue Code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unique identifier for the UWI type, used in Gosu rules and reporting.</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Severity</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Controls the impact on the submission: Advisory (informational only), Referred (blocks binding until reviewed), or Blocked (prevents binding regardless of authority).</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Description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Human-readable explanation shown to the underwriter explaining why the issue was raised.</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Approving Authority</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The minimum authority level required to approve the UWI. Authority levels are configured in the security model.</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Short Description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brief label used in list views and workflows.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Display Threshold</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Whether the UWI is shown to all users or only to those with a specified minimum authority level.</w:t>
            </w:r>
          </w:p>
        </w:tc>
      </w:tr>
    </w:tbl>
    <w:p>
      <w:pPr>
        <w:spacing w:after="120" w:before="80" w:line="276"/>
        <w:jc w:val="both"/>
      </w:pPr>
      <w:r>
        <w:rPr>
          <w:rFonts w:ascii="Calibri" w:cs="Calibri" w:eastAsia="Calibri" w:hAnsi="Calibri"/>
          <w:color w:val="4A4A4A"/>
          <w:sz w:val="22"/>
          <w:szCs w:val="22"/>
        </w:rPr>
        <w:t xml:space="preserve">Authority limits define the maximum premium, coverage limit, or risk characteristic that a user is permitted to bind without additional approval. Authority limits are attached to user roles and can be configured differently by product, LOB, and geography. A user's effective authority is the intersection of their role-based authority limits.</w:t>
      </w:r>
    </w:p>
    <w:p>
      <w:pPr>
        <w:pStyle w:val="Heading2"/>
        <w:keepNext/>
        <w:keepLines/>
        <w:spacing w:after="160" w:before="400"/>
      </w:pPr>
      <w:r>
        <w:rPr>
          <w:rFonts w:ascii="Calibri" w:cs="Calibri" w:eastAsia="Calibri" w:hAnsi="Calibri"/>
          <w:b/>
          <w:bCs/>
          <w:color w:val="5B2D8E"/>
          <w:sz w:val="36"/>
          <w:szCs w:val="36"/>
        </w:rPr>
        <w:t xml:space="preserve">2.4 Renewal Processing</w:t>
      </w:r>
    </w:p>
    <w:p>
      <w:pPr>
        <w:spacing w:after="120" w:before="80" w:line="276"/>
        <w:jc w:val="both"/>
      </w:pPr>
      <w:r>
        <w:rPr>
          <w:rFonts w:ascii="Calibri" w:cs="Calibri" w:eastAsia="Calibri" w:hAnsi="Calibri"/>
          <w:color w:val="4A4A4A"/>
          <w:sz w:val="22"/>
          <w:szCs w:val="22"/>
        </w:rPr>
        <w:t xml:space="preserve">Renewal is one of the highest-volume job types in a steady-state PolicyCenter implementation. Most renewals are system-generated automatically by the PolicyCenter batch process. The renewal batch generates renewal PolicyPeriods a configurable number of days before expiry and subjects them to the same underwriting rules as new submissions.</w:t>
      </w:r>
    </w:p>
    <w:p>
      <w:pPr>
        <w:spacing w:after="120" w:before="80" w:line="276"/>
        <w:jc w:val="both"/>
      </w:pPr>
      <w:r>
        <w:rPr>
          <w:rFonts w:ascii="Calibri" w:cs="Calibri" w:eastAsia="Calibri" w:hAnsi="Calibri"/>
          <w:color w:val="4A4A4A"/>
          <w:sz w:val="22"/>
          <w:szCs w:val="22"/>
        </w:rPr>
        <w:t xml:space="preserve">The renewal batch is controlled by the AccPurge_RenewalGeneration batch process. Carriers configure the lead time for renewal generation, the automatic renewal criteria (which policies renew automatically without underwriter intervention), and the rules that trigger a renewal for UW Review.</w:t>
      </w:r>
    </w:p>
    <w:p>
      <w:pPr>
        <w:spacing w:after="120" w:before="80" w:line="276"/>
        <w:jc w:val="both"/>
      </w:pPr>
      <w:r>
        <w:rPr>
          <w:rFonts w:ascii="Calibri" w:cs="Calibri" w:eastAsia="Calibri" w:hAnsi="Calibri"/>
          <w:color w:val="4A4A4A"/>
          <w:sz w:val="22"/>
          <w:szCs w:val="22"/>
        </w:rPr>
        <w:t xml:space="preserve">Renewal workflows can be configured to automatically apply rate changes from updated rate tables, apply coverage changes from updated product models (with appropriate disclosure to the insured), and generate renewal notices according to the carrier's compliance requirements for each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thick" w:color="5B2D8E" w:sz="18"/>
              <w:bottom w:val="none"/>
              <w:right w:val="none"/>
            </w:tcBorders>
            <w:shd w:fill="F5F5F5" w:val="clear"/>
            <w:tcMar>
              <w:top w:type="dxa" w:w="120"/>
              <w:left w:type="dxa" w:w="200"/>
              <w:bottom w:type="dxa" w:w="120"/>
              <w:right w:type="dxa" w:w="200"/>
            </w:tcMar>
          </w:tcPr>
          <w:p>
            <w:pPr>
              <w:spacing w:after="0"/>
            </w:pPr>
            <w:r>
              <w:rPr>
                <w:rFonts w:ascii="Calibri" w:cs="Calibri" w:eastAsia="Calibri" w:hAnsi="Calibri"/>
                <w:i/>
                <w:iCs/>
                <w:color w:val="1A1A2E"/>
                <w:sz w:val="20"/>
                <w:szCs w:val="20"/>
              </w:rPr>
              <w:t xml:space="preserve">Compliance Note: State-mandated renewal notice periods vary from 30 to 180 days. PolicyCenter's notice generation capabilities must be configured with accurate notice-day values for each state of domicile and line of business. Failure to generate notices within the required window can expose the carrier to regulatory penalties.</w:t>
            </w:r>
          </w:p>
        </w:tc>
      </w:tr>
    </w:tbl>
    <w:p>
      <w:pPr>
        <w:pStyle w:val="Heading2"/>
        <w:keepNext/>
        <w:keepLines/>
        <w:spacing w:after="160" w:before="400"/>
      </w:pPr>
      <w:r>
        <w:rPr>
          <w:rFonts w:ascii="Calibri" w:cs="Calibri" w:eastAsia="Calibri" w:hAnsi="Calibri"/>
          <w:b/>
          <w:bCs/>
          <w:color w:val="5B2D8E"/>
          <w:sz w:val="36"/>
          <w:szCs w:val="36"/>
        </w:rPr>
        <w:t xml:space="preserve">2.5 Cancellation and Reinstatement</w:t>
      </w:r>
    </w:p>
    <w:p>
      <w:pPr>
        <w:spacing w:after="120" w:before="80" w:line="276"/>
        <w:jc w:val="both"/>
      </w:pPr>
      <w:r>
        <w:rPr>
          <w:rFonts w:ascii="Calibri" w:cs="Calibri" w:eastAsia="Calibri" w:hAnsi="Calibri"/>
          <w:color w:val="4A4A4A"/>
          <w:sz w:val="22"/>
          <w:szCs w:val="22"/>
        </w:rPr>
        <w:t xml:space="preserve">Cancellations in PolicyCenter are classified by the initiating party and the reason for cancellation. Voluntary cancellations are initiated by the insured; involuntary cancellations (also called flat cancellations or non-pay cancellations) are initiated by the carrier. The cancellation reason drives the premium calculation basis (flat, short-rate, or pro-rata) and the notice requirements.</w:t>
      </w:r>
    </w:p>
    <w:p>
      <w:pPr>
        <w:spacing w:after="120" w:before="80" w:line="276"/>
        <w:jc w:val="both"/>
      </w:pPr>
      <w:r>
        <w:rPr>
          <w:rFonts w:ascii="Calibri" w:cs="Calibri" w:eastAsia="Calibri" w:hAnsi="Calibri"/>
          <w:color w:val="4A4A4A"/>
          <w:sz w:val="22"/>
          <w:szCs w:val="22"/>
        </w:rPr>
        <w:t xml:space="preserve">PolicyCenter calculates the return premium for a cancellation automatically based on the cancellation date and the applicable calculation basis. The return premium is communicated to BillingCenter via the BillingCenter integration plugin, which then processes the return to the appropriate billing account.</w:t>
      </w:r>
    </w:p>
    <w:p>
      <w:pPr>
        <w:spacing w:after="120" w:before="80" w:line="276"/>
        <w:jc w:val="both"/>
      </w:pPr>
      <w:r>
        <w:rPr>
          <w:rFonts w:ascii="Calibri" w:cs="Calibri" w:eastAsia="Calibri" w:hAnsi="Calibri"/>
          <w:color w:val="4A4A4A"/>
          <w:sz w:val="22"/>
          <w:szCs w:val="22"/>
        </w:rPr>
        <w:t xml:space="preserve">Reinstatement reverses a cancellation and restores the policy to in-force status. Reinstatements typically require underwriting review to ensure the conditions that led to cancellation have been resolved. PolicyCenter enforces a configurable reinstatement window — the maximum number of days after cancellation within which reinstatement is permitted.</w:t>
      </w:r>
    </w:p>
    <w:p>
      <w:r>
        <w:br w:type="page"/>
      </w:r>
    </w:p>
    <w:p>
      <w:pPr>
        <w:pStyle w:val="Heading1"/>
        <w:keepNext/>
        <w:keepLines/>
        <w:spacing w:after="160" w:before="400"/>
      </w:pPr>
      <w:r>
        <w:rPr>
          <w:rFonts w:ascii="Calibri" w:cs="Calibri" w:eastAsia="Calibri" w:hAnsi="Calibri"/>
          <w:b/>
          <w:bCs/>
          <w:color w:val="5B2D8E"/>
          <w:sz w:val="48"/>
          <w:szCs w:val="48"/>
        </w:rPr>
        <w:t xml:space="preserve">Chapter 3: PolicyCenter Configuration Parameters</w:t>
      </w:r>
    </w:p>
    <w:p>
      <w:pPr>
        <w:spacing w:after="120" w:before="80" w:line="276"/>
        <w:jc w:val="both"/>
      </w:pPr>
      <w:r>
        <w:rPr>
          <w:rFonts w:ascii="Calibri" w:cs="Calibri" w:eastAsia="Calibri" w:hAnsi="Calibri"/>
          <w:color w:val="4A4A4A"/>
          <w:sz w:val="22"/>
          <w:szCs w:val="22"/>
        </w:rPr>
        <w:t xml:space="preserve">PolicyCenter exposes a rich set of configuration parameters that allow carriers to tune the application's behaviour without modifying core application code. These parameters are organized into functional domains. Understanding each parameter's purpose and valid range is essential for proper system configuration.</w:t>
      </w:r>
    </w:p>
    <w:p>
      <w:pPr>
        <w:pStyle w:val="Heading2"/>
        <w:keepNext/>
        <w:keepLines/>
        <w:spacing w:after="160" w:before="400"/>
      </w:pPr>
      <w:r>
        <w:rPr>
          <w:rFonts w:ascii="Calibri" w:cs="Calibri" w:eastAsia="Calibri" w:hAnsi="Calibri"/>
          <w:b/>
          <w:bCs/>
          <w:color w:val="5B2D8E"/>
          <w:sz w:val="36"/>
          <w:szCs w:val="36"/>
        </w:rPr>
        <w:t xml:space="preserve">3.1 Archive Configuration</w:t>
      </w:r>
    </w:p>
    <w:p>
      <w:pPr>
        <w:spacing w:after="120" w:before="80" w:line="276"/>
        <w:jc w:val="both"/>
      </w:pPr>
      <w:r>
        <w:rPr>
          <w:rFonts w:ascii="Calibri" w:cs="Calibri" w:eastAsia="Calibri" w:hAnsi="Calibri"/>
          <w:color w:val="4A4A4A"/>
          <w:sz w:val="22"/>
          <w:szCs w:val="22"/>
        </w:rPr>
        <w:t xml:space="preserve">Archive parameters control the automated archival of aged policy data to reduce the active database footprint and maintain application performance. PolicyCenter's archival subsystem moves completed, cancelled, and expired policies from the operational database to the archive tier according to the configured schedule and eligibility criteria.</w:t>
      </w: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700"/>
        <w:gridCol w:w="6660"/>
      </w:tblGrid>
      <w:tr>
        <w:trPr>
          <w:tblHeader/>
        </w:trPr>
        <w:tc>
          <w:tcPr>
            <w:tcW w:type="dxa" w:w="2700"/>
            <w:shd w:fill="5B2D8E" w:val="clear"/>
            <w:tcMar>
              <w:top w:type="dxa" w:w="80"/>
              <w:left w:type="dxa" w:w="160"/>
              <w:bottom w:type="dxa" w:w="80"/>
              <w:right w:type="dxa" w:w="160"/>
            </w:tcMar>
          </w:tcPr>
          <w:p>
            <w:pPr>
              <w:spacing w:after="0"/>
            </w:pPr>
            <w:r>
              <w:rPr>
                <w:rFonts w:ascii="Calibri" w:cs="Calibri" w:eastAsia="Calibri" w:hAnsi="Calibri"/>
                <w:b/>
                <w:bCs/>
                <w:color w:val="FFFFFF"/>
                <w:sz w:val="20"/>
                <w:szCs w:val="20"/>
              </w:rPr>
              <w:t xml:space="preserve">Parameter</w:t>
            </w:r>
          </w:p>
        </w:tc>
        <w:tc>
          <w:tcPr>
            <w:tcW w:type="dxa" w:w="6660"/>
            <w:shd w:fill="5B2D8E" w:val="clear"/>
            <w:tcMar>
              <w:top w:type="dxa" w:w="80"/>
              <w:left w:type="dxa" w:w="160"/>
              <w:bottom w:type="dxa" w:w="80"/>
              <w:right w:type="dxa" w:w="160"/>
            </w:tcMar>
          </w:tcPr>
          <w:p>
            <w:pPr>
              <w:spacing w:after="0"/>
            </w:pPr>
            <w:r>
              <w:rPr>
                <w:rFonts w:ascii="Calibri" w:cs="Calibri" w:eastAsia="Calibri" w:hAnsi="Calibri"/>
                <w:color w:val="FFFFFF"/>
                <w:sz w:val="20"/>
                <w:szCs w:val="20"/>
              </w:rPr>
              <w:t xml:space="preserve">Description &amp; Guidance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archive.batchsize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The number of policy records processed per archive batch run. Default: 1000. Increase cautiously on large databases — very large batch sizes can cause lock contention on the policy table.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archive.enabled</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Master switch for the archival subsystem. Default: false in development, true in production. Must be explicitly enabled and tested before enabling in production.</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archive.minimumagedays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Minimum age in days before a policy period is eligible for archival. Default: 365. Regulatorily mandated retention periods (typically 7 years) must be respected.</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archive.schedule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Cron expression defining when the archive batch runs. Default: Sundays at 2:00 AM local time. Schedule during the lowest-traffic maintenance window.</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archive.maxconcurrent</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Maximum number of concurrent archive threads. Default: 4. Tune based on database server capacity.</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archive.logtransactions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Whether to write detailed transaction logs for each archived record. Default: false. Enable temporarily for troubleshooting but disable in steady-state to reduce log volume.</w:t>
            </w:r>
          </w:p>
        </w:tc>
      </w:tr>
    </w:tbl>
    <w:p>
      <w:pPr>
        <w:pStyle w:val="Heading2"/>
        <w:keepNext/>
        <w:keepLines/>
        <w:spacing w:after="160" w:before="400"/>
      </w:pPr>
      <w:r>
        <w:rPr>
          <w:rFonts w:ascii="Calibri" w:cs="Calibri" w:eastAsia="Calibri" w:hAnsi="Calibri"/>
          <w:b/>
          <w:bCs/>
          <w:color w:val="5B2D8E"/>
          <w:sz w:val="36"/>
          <w:szCs w:val="36"/>
        </w:rPr>
        <w:t xml:space="preserve">3.2 Assignment Configuration</w:t>
      </w:r>
    </w:p>
    <w:p>
      <w:pPr>
        <w:spacing w:after="120" w:before="80" w:line="276"/>
        <w:jc w:val="both"/>
      </w:pPr>
      <w:r>
        <w:rPr>
          <w:rFonts w:ascii="Calibri" w:cs="Calibri" w:eastAsia="Calibri" w:hAnsi="Calibri"/>
          <w:color w:val="4A4A4A"/>
          <w:sz w:val="22"/>
          <w:szCs w:val="22"/>
        </w:rPr>
        <w:t xml:space="preserve">Assignment parameters control how PolicyCenter routes jobs, activities, and policies to underwriters and other users. PolicyCenter includes a built-in assignment engine that can apply round-robin, load-balanced, or skill-based assignment. These parameters tune the behaviour of that engine.</w:t>
      </w: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700"/>
        <w:gridCol w:w="6660"/>
      </w:tblGrid>
      <w:tr>
        <w:trPr>
          <w:tblHeader/>
        </w:trPr>
        <w:tc>
          <w:tcPr>
            <w:tcW w:type="dxa" w:w="2700"/>
            <w:shd w:fill="5B2D8E" w:val="clear"/>
            <w:tcMar>
              <w:top w:type="dxa" w:w="80"/>
              <w:left w:type="dxa" w:w="160"/>
              <w:bottom w:type="dxa" w:w="80"/>
              <w:right w:type="dxa" w:w="160"/>
            </w:tcMar>
          </w:tcPr>
          <w:p>
            <w:pPr>
              <w:spacing w:after="0"/>
            </w:pPr>
            <w:r>
              <w:rPr>
                <w:rFonts w:ascii="Calibri" w:cs="Calibri" w:eastAsia="Calibri" w:hAnsi="Calibri"/>
                <w:b/>
                <w:bCs/>
                <w:color w:val="FFFFFF"/>
                <w:sz w:val="20"/>
                <w:szCs w:val="20"/>
              </w:rPr>
              <w:t xml:space="preserve">Parameter</w:t>
            </w:r>
          </w:p>
        </w:tc>
        <w:tc>
          <w:tcPr>
            <w:tcW w:type="dxa" w:w="6660"/>
            <w:shd w:fill="5B2D8E" w:val="clear"/>
            <w:tcMar>
              <w:top w:type="dxa" w:w="80"/>
              <w:left w:type="dxa" w:w="160"/>
              <w:bottom w:type="dxa" w:w="80"/>
              <w:right w:type="dxa" w:w="160"/>
            </w:tcMar>
          </w:tcPr>
          <w:p>
            <w:pPr>
              <w:spacing w:after="0"/>
            </w:pPr>
            <w:r>
              <w:rPr>
                <w:rFonts w:ascii="Calibri" w:cs="Calibri" w:eastAsia="Calibri" w:hAnsi="Calibri"/>
                <w:color w:val="FFFFFF"/>
                <w:sz w:val="20"/>
                <w:szCs w:val="20"/>
              </w:rPr>
              <w:t xml:space="preserve">Description &amp; Guidance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assignment.strategy</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The default assignment algorithm: RoundRobin, LoadBalanced, or SkillBased. Default: RoundRobin. LoadBalanced requires additional work queue configuration.</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assignment.maxqueue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The maximum number of items that can be assigned to a single user before the assignment engine considers them at capacity. Default: 50.</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assignment.rebalancehours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How frequently the assignment engine rebalances existing assignments when users are added to or removed from groups. Default: 24 hours.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assignment.usegroups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Whether to assign items to work groups rather than individual users. When true, items appear in a group queue and users pull from it. Default: false.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assignment.escalationdays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Number of days before an unworked assigned item is escalated to a supervisor. Default: 3.</w:t>
            </w:r>
          </w:p>
        </w:tc>
      </w:tr>
    </w:tbl>
    <w:p>
      <w:pPr>
        <w:pStyle w:val="Heading2"/>
        <w:keepNext/>
        <w:keepLines/>
        <w:spacing w:after="160" w:before="400"/>
      </w:pPr>
      <w:r>
        <w:rPr>
          <w:rFonts w:ascii="Calibri" w:cs="Calibri" w:eastAsia="Calibri" w:hAnsi="Calibri"/>
          <w:b/>
          <w:bCs/>
          <w:color w:val="5B2D8E"/>
          <w:sz w:val="36"/>
          <w:szCs w:val="36"/>
        </w:rPr>
        <w:t xml:space="preserve">3.3 Batch Configuration</w:t>
      </w:r>
    </w:p>
    <w:p>
      <w:pPr>
        <w:spacing w:after="120" w:before="80" w:line="276"/>
        <w:jc w:val="both"/>
      </w:pPr>
      <w:r>
        <w:rPr>
          <w:rFonts w:ascii="Calibri" w:cs="Calibri" w:eastAsia="Calibri" w:hAnsi="Calibri"/>
          <w:color w:val="4A4A4A"/>
          <w:sz w:val="22"/>
          <w:szCs w:val="22"/>
        </w:rPr>
        <w:t xml:space="preserve">PolicyCenter includes a batch processing subsystem that handles high-volume background operations including renewal generation, cancellation processing, notice generation, statistical reporting, and archival. Batch parameters control the scheduling and execution behaviour of these processes.</w:t>
      </w: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700"/>
        <w:gridCol w:w="6660"/>
      </w:tblGrid>
      <w:tr>
        <w:trPr>
          <w:tblHeader/>
        </w:trPr>
        <w:tc>
          <w:tcPr>
            <w:tcW w:type="dxa" w:w="2700"/>
            <w:shd w:fill="5B2D8E" w:val="clear"/>
            <w:tcMar>
              <w:top w:type="dxa" w:w="80"/>
              <w:left w:type="dxa" w:w="160"/>
              <w:bottom w:type="dxa" w:w="80"/>
              <w:right w:type="dxa" w:w="160"/>
            </w:tcMar>
          </w:tcPr>
          <w:p>
            <w:pPr>
              <w:spacing w:after="0"/>
            </w:pPr>
            <w:r>
              <w:rPr>
                <w:rFonts w:ascii="Calibri" w:cs="Calibri" w:eastAsia="Calibri" w:hAnsi="Calibri"/>
                <w:b/>
                <w:bCs/>
                <w:color w:val="FFFFFF"/>
                <w:sz w:val="20"/>
                <w:szCs w:val="20"/>
              </w:rPr>
              <w:t xml:space="preserve">Parameter</w:t>
            </w:r>
          </w:p>
        </w:tc>
        <w:tc>
          <w:tcPr>
            <w:tcW w:type="dxa" w:w="6660"/>
            <w:shd w:fill="5B2D8E" w:val="clear"/>
            <w:tcMar>
              <w:top w:type="dxa" w:w="80"/>
              <w:left w:type="dxa" w:w="160"/>
              <w:bottom w:type="dxa" w:w="80"/>
              <w:right w:type="dxa" w:w="160"/>
            </w:tcMar>
          </w:tcPr>
          <w:p>
            <w:pPr>
              <w:spacing w:after="0"/>
            </w:pPr>
            <w:r>
              <w:rPr>
                <w:rFonts w:ascii="Calibri" w:cs="Calibri" w:eastAsia="Calibri" w:hAnsi="Calibri"/>
                <w:color w:val="FFFFFF"/>
                <w:sz w:val="20"/>
                <w:szCs w:val="20"/>
              </w:rPr>
              <w:t xml:space="preserve">Description &amp; Guidance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batch.maxthreads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Maximum threads available to the batch execution pool across all batch processes. Default: 10. Increase on servers with more cores, but ensure database connection pool is sized proportionally.</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batch.retryattempts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Number of times the batch engine retries a failed batch record before marking it as permanently failed. Default: 3.</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batch.retrydelayminutes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Minutes to wait between retry attempts. Default: 15.</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batch.maintwindow.start</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The start of the maintenance window when heavy batch operations are permitted. Format: HH:mm (24-hour). Default: 01:00.</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batch.maintwindow.end</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The end of the maintenance window. Default: 05:00.</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batch.maxruntime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Maximum elapsed time in minutes before a running batch process is automatically terminated. Default: 480 (8 hours).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batch.alertthreshold</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Number of failures in a single batch run that triggers an operational alert. Default: 100.</w:t>
            </w:r>
          </w:p>
        </w:tc>
      </w:tr>
    </w:tbl>
    <w:p>
      <w:pPr>
        <w:pStyle w:val="Heading2"/>
        <w:keepNext/>
        <w:keepLines/>
        <w:spacing w:after="160" w:before="400"/>
      </w:pPr>
      <w:r>
        <w:rPr>
          <w:rFonts w:ascii="Calibri" w:cs="Calibri" w:eastAsia="Calibri" w:hAnsi="Calibri"/>
          <w:b/>
          <w:bCs/>
          <w:color w:val="5B2D8E"/>
          <w:sz w:val="36"/>
          <w:szCs w:val="36"/>
        </w:rPr>
        <w:t xml:space="preserve">3.4 Security Configuration</w:t>
      </w:r>
    </w:p>
    <w:p>
      <w:pPr>
        <w:spacing w:after="120" w:before="80" w:line="276"/>
        <w:jc w:val="both"/>
      </w:pPr>
      <w:r>
        <w:rPr>
          <w:rFonts w:ascii="Calibri" w:cs="Calibri" w:eastAsia="Calibri" w:hAnsi="Calibri"/>
          <w:color w:val="4A4A4A"/>
          <w:sz w:val="22"/>
          <w:szCs w:val="22"/>
        </w:rPr>
        <w:t xml:space="preserve">Security configuration parameters in PolicyCenter control session management, password policies, and audit logging behaviour. These parameters must be aligned with the carrier's information security policies and any applicable regulatory requirements.</w:t>
      </w: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700"/>
        <w:gridCol w:w="6660"/>
      </w:tblGrid>
      <w:tr>
        <w:trPr>
          <w:tblHeader/>
        </w:trPr>
        <w:tc>
          <w:tcPr>
            <w:tcW w:type="dxa" w:w="2700"/>
            <w:shd w:fill="5B2D8E" w:val="clear"/>
            <w:tcMar>
              <w:top w:type="dxa" w:w="80"/>
              <w:left w:type="dxa" w:w="160"/>
              <w:bottom w:type="dxa" w:w="80"/>
              <w:right w:type="dxa" w:w="160"/>
            </w:tcMar>
          </w:tcPr>
          <w:p>
            <w:pPr>
              <w:spacing w:after="0"/>
            </w:pPr>
            <w:r>
              <w:rPr>
                <w:rFonts w:ascii="Calibri" w:cs="Calibri" w:eastAsia="Calibri" w:hAnsi="Calibri"/>
                <w:b/>
                <w:bCs/>
                <w:color w:val="FFFFFF"/>
                <w:sz w:val="20"/>
                <w:szCs w:val="20"/>
              </w:rPr>
              <w:t xml:space="preserve">Parameter</w:t>
            </w:r>
          </w:p>
        </w:tc>
        <w:tc>
          <w:tcPr>
            <w:tcW w:type="dxa" w:w="6660"/>
            <w:shd w:fill="5B2D8E" w:val="clear"/>
            <w:tcMar>
              <w:top w:type="dxa" w:w="80"/>
              <w:left w:type="dxa" w:w="160"/>
              <w:bottom w:type="dxa" w:w="80"/>
              <w:right w:type="dxa" w:w="160"/>
            </w:tcMar>
          </w:tcPr>
          <w:p>
            <w:pPr>
              <w:spacing w:after="0"/>
            </w:pPr>
            <w:r>
              <w:rPr>
                <w:rFonts w:ascii="Calibri" w:cs="Calibri" w:eastAsia="Calibri" w:hAnsi="Calibri"/>
                <w:color w:val="FFFFFF"/>
                <w:sz w:val="20"/>
                <w:szCs w:val="20"/>
              </w:rPr>
              <w:t xml:space="preserve">Description &amp; Guidance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security.sessiontimeoutminutes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Number of minutes of inactivity before a user session is automatically terminated. Default: 30. Regulatory requirements may mandate shorter timeouts for sensitive data environments.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security.maxfailedlogins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Maximum consecutive failed login attempts before an account is locked. Default: 5. NIST 800-63B recommends a minimum of 10 to balance security and usability.</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security.lockoutdurationminutes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Duration of account lockout after exceeding maxfailedlogins. Default: 30. A value of -1 requires manual unlock by an administrator.</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security.auditloginall</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Whether to log all successful login events. Default: true. Required for SOC 2 and ISO 27001 compliance.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security.auditdataaccess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Whether to log read access to sensitive policy data fields (PII). Default: false. Enable for high-compliance environments.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security.requiremfa</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Whether multi-factor authentication is required for all users. Default: false in non-production. Strongly recommended for production environments.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security.passwordminlength</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Minimum password length. Default: 12. NIST guidelines recommend a minimum of 8 but 12+ is preferred.</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security.passwordexpiredays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Days before a password expires and must be changed. Default: 90. NIST 2017 guidelines recommend against mandatory rotation unless evidence of compromise exists.</w:t>
            </w:r>
          </w:p>
        </w:tc>
      </w:tr>
    </w:tbl>
    <w:p>
      <w:pPr>
        <w:pStyle w:val="Heading2"/>
        <w:keepNext/>
        <w:keepLines/>
        <w:spacing w:after="160" w:before="400"/>
      </w:pPr>
      <w:r>
        <w:rPr>
          <w:rFonts w:ascii="Calibri" w:cs="Calibri" w:eastAsia="Calibri" w:hAnsi="Calibri"/>
          <w:b/>
          <w:bCs/>
          <w:color w:val="5B2D8E"/>
          <w:sz w:val="36"/>
          <w:szCs w:val="36"/>
        </w:rPr>
        <w:t xml:space="preserve">3.5 Cache Configuration</w:t>
      </w:r>
    </w:p>
    <w:p>
      <w:pPr>
        <w:spacing w:after="120" w:before="80" w:line="276"/>
        <w:jc w:val="both"/>
      </w:pPr>
      <w:r>
        <w:rPr>
          <w:rFonts w:ascii="Calibri" w:cs="Calibri" w:eastAsia="Calibri" w:hAnsi="Calibri"/>
          <w:color w:val="4A4A4A"/>
          <w:sz w:val="22"/>
          <w:szCs w:val="22"/>
        </w:rPr>
        <w:t xml:space="preserve">PolicyCenter uses an in-memory caching layer to reduce database load for frequently accessed, relatively static data such as type lists, product model metadata, and rate tables. Cache parameters control the size and expiration of these caches. Incorrect cache configuration is a common source of performance issues in PolicyCenter implementations.</w:t>
      </w: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700"/>
        <w:gridCol w:w="6660"/>
      </w:tblGrid>
      <w:tr>
        <w:trPr>
          <w:tblHeader/>
        </w:trPr>
        <w:tc>
          <w:tcPr>
            <w:tcW w:type="dxa" w:w="2700"/>
            <w:shd w:fill="5B2D8E" w:val="clear"/>
            <w:tcMar>
              <w:top w:type="dxa" w:w="80"/>
              <w:left w:type="dxa" w:w="160"/>
              <w:bottom w:type="dxa" w:w="80"/>
              <w:right w:type="dxa" w:w="160"/>
            </w:tcMar>
          </w:tcPr>
          <w:p>
            <w:pPr>
              <w:spacing w:after="0"/>
            </w:pPr>
            <w:r>
              <w:rPr>
                <w:rFonts w:ascii="Calibri" w:cs="Calibri" w:eastAsia="Calibri" w:hAnsi="Calibri"/>
                <w:b/>
                <w:bCs/>
                <w:color w:val="FFFFFF"/>
                <w:sz w:val="20"/>
                <w:szCs w:val="20"/>
              </w:rPr>
              <w:t xml:space="preserve">Parameter</w:t>
            </w:r>
          </w:p>
        </w:tc>
        <w:tc>
          <w:tcPr>
            <w:tcW w:type="dxa" w:w="6660"/>
            <w:shd w:fill="5B2D8E" w:val="clear"/>
            <w:tcMar>
              <w:top w:type="dxa" w:w="80"/>
              <w:left w:type="dxa" w:w="160"/>
              <w:bottom w:type="dxa" w:w="80"/>
              <w:right w:type="dxa" w:w="160"/>
            </w:tcMar>
          </w:tcPr>
          <w:p>
            <w:pPr>
              <w:spacing w:after="0"/>
            </w:pPr>
            <w:r>
              <w:rPr>
                <w:rFonts w:ascii="Calibri" w:cs="Calibri" w:eastAsia="Calibri" w:hAnsi="Calibri"/>
                <w:color w:val="FFFFFF"/>
                <w:sz w:val="20"/>
                <w:szCs w:val="20"/>
              </w:rPr>
              <w:t xml:space="preserve">Description &amp; Guidance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cache.typelist.ttlminutes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Time-to-live in minutes for the typelist cache. Default: 60. The typelist cache stores all typekey values and their display names. Changes to typelists do not take effect until this cache expires or the server is restarted.</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cache.productmodel.ttlminutes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TTL for the product model cache. Default: 120. Increase in stable production environments to reduce database load.</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cache.ratedata.ttlminutes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TTL for rate table data. Default: 30. Set to a value that balances performance with the need to pick up rate table updates promptly.</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cache.maxentries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Maximum number of entries per cache region. Default: 10000. Increase if memory permits for systems with large product catalogs.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cache.evictionpolicy</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Cache eviction policy when maxentries is reached: LRU (Least Recently Used) or LFU (Least Frequently Used). Default: LRU.</w:t>
            </w:r>
          </w:p>
        </w:tc>
      </w:tr>
    </w:tbl>
    <w:p>
      <w:r>
        <w:br w:type="page"/>
      </w:r>
    </w:p>
    <w:p>
      <w:pPr>
        <w:pStyle w:val="Heading1"/>
        <w:keepNext/>
        <w:keepLines/>
        <w:spacing w:after="160" w:before="400"/>
      </w:pPr>
      <w:r>
        <w:rPr>
          <w:rFonts w:ascii="Calibri" w:cs="Calibri" w:eastAsia="Calibri" w:hAnsi="Calibri"/>
          <w:b/>
          <w:bCs/>
          <w:color w:val="5B2D8E"/>
          <w:sz w:val="48"/>
          <w:szCs w:val="48"/>
        </w:rPr>
        <w:t xml:space="preserve">Chapter 4: Security, Roles &amp; Authority Limits</w:t>
      </w:r>
    </w:p>
    <w:p>
      <w:pPr>
        <w:spacing w:after="120" w:before="80" w:line="276"/>
        <w:jc w:val="both"/>
      </w:pPr>
      <w:r>
        <w:rPr>
          <w:rFonts w:ascii="Calibri" w:cs="Calibri" w:eastAsia="Calibri" w:hAnsi="Calibri"/>
          <w:color w:val="4A4A4A"/>
          <w:sz w:val="22"/>
          <w:szCs w:val="22"/>
        </w:rPr>
        <w:t xml:space="preserve">PolicyCenter's security model governs who can access the system, what actions they can perform, and the limits within which they can operate. It is built around three core concepts: Users, Groups, and Roles. These three entities interact to define the effective permissions and authority limits of every person who accesses PolicyCenter.</w:t>
      </w:r>
    </w:p>
    <w:p>
      <w:pPr>
        <w:pStyle w:val="Heading2"/>
        <w:keepNext/>
        <w:keepLines/>
        <w:spacing w:after="160" w:before="400"/>
      </w:pPr>
      <w:r>
        <w:rPr>
          <w:rFonts w:ascii="Calibri" w:cs="Calibri" w:eastAsia="Calibri" w:hAnsi="Calibri"/>
          <w:b/>
          <w:bCs/>
          <w:color w:val="5B2D8E"/>
          <w:sz w:val="36"/>
          <w:szCs w:val="36"/>
        </w:rPr>
        <w:t xml:space="preserve">4.1 The Security Model</w:t>
      </w:r>
    </w:p>
    <w:p>
      <w:pPr>
        <w:spacing w:after="120" w:before="80" w:line="276"/>
        <w:jc w:val="both"/>
      </w:pPr>
      <w:r>
        <w:rPr>
          <w:rFonts w:ascii="Calibri" w:cs="Calibri" w:eastAsia="Calibri" w:hAnsi="Calibri"/>
          <w:color w:val="4A4A4A"/>
          <w:sz w:val="22"/>
          <w:szCs w:val="22"/>
        </w:rPr>
        <w:t xml:space="preserve">The PolicyCenter security model is role-based access control (RBAC) with a layered structure. A User is assigned to one or more Groups. A Group is associated with a Role. A Role defines a set of Permissions and a set of Authority Limits. The combination of a user's groups and their associated roles determines the user's effective access rights.</w:t>
      </w:r>
    </w:p>
    <w:p>
      <w:pPr>
        <w:spacing w:after="120" w:before="80" w:line="276"/>
        <w:jc w:val="both"/>
      </w:pPr>
      <w:r>
        <w:rPr>
          <w:rFonts w:ascii="Calibri" w:cs="Calibri" w:eastAsia="Calibri" w:hAnsi="Calibri"/>
          <w:color w:val="4A4A4A"/>
          <w:sz w:val="22"/>
          <w:szCs w:val="22"/>
        </w:rPr>
        <w:t xml:space="preserve">Permissions in PolicyCenter are organized into permission categories corresponding to functional areas of the application. Permissions follow a naming convention of &lt;area&gt;_&lt;verb&gt;, for example Policy_View, Submission_Edit, Cancellation_Approve. Roles are configured by administrators and can be created from scratch or copied from the system-provided base roles.</w:t>
      </w: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700"/>
        <w:gridCol w:w="6660"/>
      </w:tblGrid>
      <w:tr>
        <w:trPr>
          <w:tblHeader/>
        </w:trPr>
        <w:tc>
          <w:tcPr>
            <w:tcW w:type="dxa" w:w="2700"/>
            <w:shd w:fill="5B2D8E" w:val="clear"/>
            <w:tcMar>
              <w:top w:type="dxa" w:w="80"/>
              <w:left w:type="dxa" w:w="160"/>
              <w:bottom w:type="dxa" w:w="80"/>
              <w:right w:type="dxa" w:w="160"/>
            </w:tcMar>
          </w:tcPr>
          <w:p>
            <w:pPr>
              <w:spacing w:after="0"/>
            </w:pPr>
            <w:r>
              <w:rPr>
                <w:rFonts w:ascii="Calibri" w:cs="Calibri" w:eastAsia="Calibri" w:hAnsi="Calibri"/>
                <w:b/>
                <w:bCs/>
                <w:color w:val="FFFFFF"/>
                <w:sz w:val="20"/>
                <w:szCs w:val="20"/>
              </w:rPr>
              <w:t xml:space="preserve">Role</w:t>
            </w:r>
          </w:p>
        </w:tc>
        <w:tc>
          <w:tcPr>
            <w:tcW w:type="dxa" w:w="6660"/>
            <w:shd w:fill="5B2D8E" w:val="clear"/>
            <w:tcMar>
              <w:top w:type="dxa" w:w="80"/>
              <w:left w:type="dxa" w:w="160"/>
              <w:bottom w:type="dxa" w:w="80"/>
              <w:right w:type="dxa" w:w="160"/>
            </w:tcMar>
          </w:tcPr>
          <w:p>
            <w:pPr>
              <w:spacing w:after="0"/>
            </w:pPr>
            <w:r>
              <w:rPr>
                <w:rFonts w:ascii="Calibri" w:cs="Calibri" w:eastAsia="Calibri" w:hAnsi="Calibri"/>
                <w:color w:val="FFFFFF"/>
                <w:sz w:val="20"/>
                <w:szCs w:val="20"/>
              </w:rPr>
              <w:t xml:space="preserve">Typical Permissions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Underwriter</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Can create and edit submissions, perform quoting, resolve underwriting issues within their authority, and bind policies. Cannot approve issues above their authority level.</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Senior Underwriter</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All Underwriter permissions plus the ability to approve underwriting issues up to a higher authority level and override certain eligibility rules.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Underwriting Manager</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All Senior Underwriter permissions plus the ability to approve issues at the highest authority level and manage user authority limits.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Agent</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External portal access for creating submissions and viewing policy status. Cannot access internal screens or underwriting issue detail.</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Policy Administrator</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Can process policy changes, renewals, and cancellations. Cannot bind new business.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Billing Specialist</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Read-only access to billing-relevant policy data. Cannot modify policy coverage or terms.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System Administrator</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Full administrative access including user management, security configuration, and system administration screens. Should not be used for policy operations.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Read-Only Auditor</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View-only access to policy data for internal audit and compliance purposes. Cannot modify any data.</w:t>
            </w:r>
          </w:p>
        </w:tc>
      </w:tr>
    </w:tbl>
    <w:p>
      <w:pPr>
        <w:pStyle w:val="Heading2"/>
        <w:keepNext/>
        <w:keepLines/>
        <w:spacing w:after="160" w:before="400"/>
      </w:pPr>
      <w:r>
        <w:rPr>
          <w:rFonts w:ascii="Calibri" w:cs="Calibri" w:eastAsia="Calibri" w:hAnsi="Calibri"/>
          <w:b/>
          <w:bCs/>
          <w:color w:val="5B2D8E"/>
          <w:sz w:val="36"/>
          <w:szCs w:val="36"/>
        </w:rPr>
        <w:t xml:space="preserve">4.2 Authority Limits</w:t>
      </w:r>
    </w:p>
    <w:p>
      <w:pPr>
        <w:spacing w:after="120" w:before="80" w:line="276"/>
        <w:jc w:val="both"/>
      </w:pPr>
      <w:r>
        <w:rPr>
          <w:rFonts w:ascii="Calibri" w:cs="Calibri" w:eastAsia="Calibri" w:hAnsi="Calibri"/>
          <w:color w:val="4A4A4A"/>
          <w:sz w:val="22"/>
          <w:szCs w:val="22"/>
        </w:rPr>
        <w:t xml:space="preserve">Authority limits define the boundaries within which a user can act without seeking additional approval. They are attached to roles and can be overridden at the group or individual user level. Authority limits are evaluated at the time a user attempts to bind a submission, approve an underwriting issue, or take another authority-dependent action.</w:t>
      </w:r>
    </w:p>
    <w:p>
      <w:pPr>
        <w:spacing w:after="120" w:before="80" w:line="276"/>
        <w:jc w:val="both"/>
      </w:pPr>
      <w:r>
        <w:rPr>
          <w:rFonts w:ascii="Calibri" w:cs="Calibri" w:eastAsia="Calibri" w:hAnsi="Calibri"/>
          <w:color w:val="4A4A4A"/>
          <w:sz w:val="22"/>
          <w:szCs w:val="22"/>
        </w:rPr>
        <w:t xml:space="preserve">PolicyCenter supports multiple types of authority limits, which carriers configure to match their underwriting appetite and governance structure:</w:t>
      </w:r>
    </w:p>
    <w:p>
      <w:pPr>
        <w:pStyle w:val="ListParagraph"/>
        <w:numPr>
          <w:ilvl w:val="0"/>
          <w:numId w:val="1"/>
        </w:numPr>
        <w:spacing w:after="60" w:before="40"/>
      </w:pPr>
      <w:r>
        <w:rPr>
          <w:rFonts w:ascii="Calibri" w:cs="Calibri" w:eastAsia="Calibri" w:hAnsi="Calibri"/>
          <w:color w:val="4A4A4A"/>
          <w:sz w:val="22"/>
          <w:szCs w:val="22"/>
        </w:rPr>
        <w:t xml:space="preserve">Premium Authority Limits: Define the maximum written premium the user can bind without escalating for approval. Can be configured per product, per line of business, or globally.</w:t>
      </w:r>
    </w:p>
    <w:p>
      <w:pPr>
        <w:pStyle w:val="ListParagraph"/>
        <w:numPr>
          <w:ilvl w:val="0"/>
          <w:numId w:val="1"/>
        </w:numPr>
        <w:spacing w:after="60" w:before="40"/>
      </w:pPr>
      <w:r>
        <w:rPr>
          <w:rFonts w:ascii="Calibri" w:cs="Calibri" w:eastAsia="Calibri" w:hAnsi="Calibri"/>
          <w:color w:val="4A4A4A"/>
          <w:sz w:val="22"/>
          <w:szCs w:val="22"/>
        </w:rPr>
        <w:t xml:space="preserve">Coverage Limit Authority: Defines the maximum coverage limit (e.g., property value, liability limit) the user can approve.</w:t>
      </w:r>
    </w:p>
    <w:p>
      <w:pPr>
        <w:pStyle w:val="ListParagraph"/>
        <w:numPr>
          <w:ilvl w:val="0"/>
          <w:numId w:val="1"/>
        </w:numPr>
        <w:spacing w:after="60" w:before="40"/>
      </w:pPr>
      <w:r>
        <w:rPr>
          <w:rFonts w:ascii="Calibri" w:cs="Calibri" w:eastAsia="Calibri" w:hAnsi="Calibri"/>
          <w:color w:val="4A4A4A"/>
          <w:sz w:val="22"/>
          <w:szCs w:val="22"/>
        </w:rPr>
        <w:t xml:space="preserve">UWI Approval Authority: Defines which categories and severities of underwriting issues the user is authorized to approve.</w:t>
      </w:r>
    </w:p>
    <w:p>
      <w:pPr>
        <w:pStyle w:val="ListParagraph"/>
        <w:numPr>
          <w:ilvl w:val="0"/>
          <w:numId w:val="1"/>
        </w:numPr>
        <w:spacing w:after="60" w:before="40"/>
      </w:pPr>
      <w:r>
        <w:rPr>
          <w:rFonts w:ascii="Calibri" w:cs="Calibri" w:eastAsia="Calibri" w:hAnsi="Calibri"/>
          <w:color w:val="4A4A4A"/>
          <w:sz w:val="22"/>
          <w:szCs w:val="22"/>
        </w:rPr>
        <w:t xml:space="preserve">Deductible Authority: Minimum deductibles the user is authorized to approve (lower deductibles represent more risk to the carrier).</w:t>
      </w:r>
    </w:p>
    <w:p>
      <w:pPr>
        <w:pStyle w:val="ListParagraph"/>
        <w:numPr>
          <w:ilvl w:val="0"/>
          <w:numId w:val="1"/>
        </w:numPr>
        <w:spacing w:after="60" w:before="40"/>
      </w:pPr>
      <w:r>
        <w:rPr>
          <w:rFonts w:ascii="Calibri" w:cs="Calibri" w:eastAsia="Calibri" w:hAnsi="Calibri"/>
          <w:color w:val="4A4A4A"/>
          <w:sz w:val="22"/>
          <w:szCs w:val="22"/>
        </w:rPr>
        <w:t xml:space="preserve">Geographic Authority: Restricts a user's binding authority to specific states, regions, or territories.</w:t>
      </w:r>
    </w:p>
    <w:p>
      <w:pPr>
        <w:pStyle w:val="ListParagraph"/>
        <w:numPr>
          <w:ilvl w:val="0"/>
          <w:numId w:val="1"/>
        </w:numPr>
        <w:spacing w:after="60" w:before="40"/>
      </w:pPr>
      <w:r>
        <w:rPr>
          <w:rFonts w:ascii="Calibri" w:cs="Calibri" w:eastAsia="Calibri" w:hAnsi="Calibri"/>
          <w:color w:val="4A4A4A"/>
          <w:sz w:val="22"/>
          <w:szCs w:val="22"/>
        </w:rPr>
        <w:t xml:space="preserve">Risk Class Authority: Restricts authority to specific risk classes or customer segments.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thick" w:color="5B2D8E" w:sz="18"/>
              <w:bottom w:val="none"/>
              <w:right w:val="none"/>
            </w:tcBorders>
            <w:shd w:fill="F5F5F5" w:val="clear"/>
            <w:tcMar>
              <w:top w:type="dxa" w:w="120"/>
              <w:left w:type="dxa" w:w="200"/>
              <w:bottom w:type="dxa" w:w="120"/>
              <w:right w:type="dxa" w:w="200"/>
            </w:tcMar>
          </w:tcPr>
          <w:p>
            <w:pPr>
              <w:spacing w:after="0"/>
            </w:pPr>
            <w:r>
              <w:rPr>
                <w:rFonts w:ascii="Calibri" w:cs="Calibri" w:eastAsia="Calibri" w:hAnsi="Calibri"/>
                <w:i/>
                <w:iCs/>
                <w:color w:val="1A1A2E"/>
                <w:sz w:val="20"/>
                <w:szCs w:val="20"/>
              </w:rPr>
              <w:t xml:space="preserve">Best Practice: Authority limits should be reviewed as part of each annual underwriting guidelines review. Limits that were appropriate for a startup book of business may not be appropriate once the carrier has more data about adverse selection at various risk segments.</w:t>
            </w:r>
          </w:p>
        </w:tc>
      </w:tr>
    </w:tbl>
    <w:p>
      <w:pPr>
        <w:pStyle w:val="Heading2"/>
        <w:keepNext/>
        <w:keepLines/>
        <w:spacing w:after="160" w:before="400"/>
      </w:pPr>
      <w:r>
        <w:rPr>
          <w:rFonts w:ascii="Calibri" w:cs="Calibri" w:eastAsia="Calibri" w:hAnsi="Calibri"/>
          <w:b/>
          <w:bCs/>
          <w:color w:val="5B2D8E"/>
          <w:sz w:val="36"/>
          <w:szCs w:val="36"/>
        </w:rPr>
        <w:t xml:space="preserve">4.3 Permission Groups and Inheritance</w:t>
      </w:r>
    </w:p>
    <w:p>
      <w:pPr>
        <w:spacing w:after="120" w:before="80" w:line="276"/>
        <w:jc w:val="both"/>
      </w:pPr>
      <w:r>
        <w:rPr>
          <w:rFonts w:ascii="Calibri" w:cs="Calibri" w:eastAsia="Calibri" w:hAnsi="Calibri"/>
          <w:color w:val="4A4A4A"/>
          <w:sz w:val="22"/>
          <w:szCs w:val="22"/>
        </w:rPr>
        <w:t xml:space="preserve">Groups in PolicyCenter serve as the link between users and roles. A user can be a member of multiple groups, which allows for complex authority structures where, for example, an underwriter has standard underwriting permissions via a general UW group and additional authority for a specific product via a product-specific group.</w:t>
      </w:r>
    </w:p>
    <w:p>
      <w:pPr>
        <w:spacing w:after="120" w:before="80" w:line="276"/>
        <w:jc w:val="both"/>
      </w:pPr>
      <w:r>
        <w:rPr>
          <w:rFonts w:ascii="Calibri" w:cs="Calibri" w:eastAsia="Calibri" w:hAnsi="Calibri"/>
          <w:color w:val="4A4A4A"/>
          <w:sz w:val="22"/>
          <w:szCs w:val="22"/>
        </w:rPr>
        <w:t xml:space="preserve">When a user belongs to multiple groups with different roles, PolicyCenter resolves the effective permission set by taking the union of all permissions across all their roles. For authority limits, PolicyCenter takes the maximum authority value across all roles (i.e., the user gets the highest authority limit from any of their active roles).</w:t>
      </w:r>
    </w:p>
    <w:p>
      <w:pPr>
        <w:spacing w:after="120" w:before="80" w:line="276"/>
        <w:jc w:val="both"/>
      </w:pPr>
      <w:r>
        <w:rPr>
          <w:rFonts w:ascii="Calibri" w:cs="Calibri" w:eastAsia="Calibri" w:hAnsi="Calibri"/>
          <w:color w:val="4A4A4A"/>
          <w:sz w:val="22"/>
          <w:szCs w:val="22"/>
        </w:rPr>
        <w:t xml:space="preserve">This means that granting a user membership in any group with high authority effectively gives them that high authority for the dimensions covered by that group's role. This is a common source of unintended privilege escalation. Administrators should regularly audit user group memberships and run authority limit reports to ensure no user has been accidentally granted excessive authority through multi-group membership.</w:t>
      </w:r>
    </w:p>
    <w:p>
      <w:pPr>
        <w:pStyle w:val="Heading2"/>
        <w:keepNext/>
        <w:keepLines/>
        <w:spacing w:after="160" w:before="400"/>
      </w:pPr>
      <w:r>
        <w:rPr>
          <w:rFonts w:ascii="Calibri" w:cs="Calibri" w:eastAsia="Calibri" w:hAnsi="Calibri"/>
          <w:b/>
          <w:bCs/>
          <w:color w:val="5B2D8E"/>
          <w:sz w:val="36"/>
          <w:szCs w:val="36"/>
        </w:rPr>
        <w:t xml:space="preserve">4.4 External Authentication Integration</w:t>
      </w:r>
    </w:p>
    <w:p>
      <w:pPr>
        <w:spacing w:after="120" w:before="80" w:line="276"/>
        <w:jc w:val="both"/>
      </w:pPr>
      <w:r>
        <w:rPr>
          <w:rFonts w:ascii="Calibri" w:cs="Calibri" w:eastAsia="Calibri" w:hAnsi="Calibri"/>
          <w:color w:val="4A4A4A"/>
          <w:sz w:val="22"/>
          <w:szCs w:val="22"/>
        </w:rPr>
        <w:t xml:space="preserve">PolicyCenter supports integration with enterprise Identity Provider (IdP) systems via SAML 2.0 and OAuth 2.0 protocols. In a cloud deployment, external authentication is typically the preferred model, as it allows carriers to manage PolicyCenter user identities through their existing enterprise identity management infrastructure (e.g., Microsoft Azure AD, Okta, Ping Identity).</w:t>
      </w:r>
    </w:p>
    <w:p>
      <w:pPr>
        <w:spacing w:after="120" w:before="80" w:line="276"/>
        <w:jc w:val="both"/>
      </w:pPr>
      <w:r>
        <w:rPr>
          <w:rFonts w:ascii="Calibri" w:cs="Calibri" w:eastAsia="Calibri" w:hAnsi="Calibri"/>
          <w:color w:val="4A4A4A"/>
          <w:sz w:val="22"/>
          <w:szCs w:val="22"/>
        </w:rPr>
        <w:t xml:space="preserve">When external authentication is configured, PolicyCenter delegates the authentication decision to the external IdP. The IdP authenticates the user and returns a SAML assertion or OAuth token. PolicyCenter maps the claims in this assertion to its internal user record, including group memberships asserted by the IdP directory.</w:t>
      </w:r>
    </w:p>
    <w:p>
      <w:pPr>
        <w:spacing w:after="120" w:before="80" w:line="276"/>
        <w:jc w:val="both"/>
      </w:pPr>
      <w:r>
        <w:rPr>
          <w:rFonts w:ascii="Calibri" w:cs="Calibri" w:eastAsia="Calibri" w:hAnsi="Calibri"/>
          <w:color w:val="4A4A4A"/>
          <w:sz w:val="22"/>
          <w:szCs w:val="22"/>
        </w:rPr>
        <w:t xml:space="preserve">Attribute mapping between the IdP directory and PolicyCenter groups must be carefully planned. A common pattern is to map Active Directory security groups to PolicyCenter roles — users who are members of the AD group "GW-Underwriters" are automatically granted the Underwriter role in PolicyCenter. Changes to group membership in AD are reflected in PolicyCenter on the user's next login.</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00"/>
        </w:tblCellMar>
      </w:tblPr>
      <w:tblGrid>
        <w:gridCol w:w="9360"/>
      </w:tblGrid>
      <w:tr>
        <w:tc>
          <w:tcPr>
            <w:tcW w:type="dxa" w:w="9360"/>
            <w:shd w:fill="5B2D8E" w:val="clear"/>
            <w:tcMar>
              <w:top w:type="dxa" w:w="300"/>
              <w:left w:type="dxa" w:w="400"/>
              <w:bottom w:type="dxa" w:w="300"/>
              <w:right w:type="dxa" w:w="400"/>
            </w:tcMar>
          </w:tcPr>
          <w:p>
            <w:pPr>
              <w:spacing w:after="60"/>
            </w:pPr>
            <w:r>
              <w:rPr>
                <w:rFonts w:ascii="Calibri" w:cs="Calibri" w:eastAsia="Calibri" w:hAnsi="Calibri"/>
                <w:b/>
                <w:bCs/>
                <w:caps/>
                <w:color w:val="F5A623"/>
                <w:spacing w:val="60"/>
                <w:sz w:val="18"/>
                <w:szCs w:val="18"/>
              </w:rPr>
              <w:t xml:space="preserve">RAPIDAI TECH™</w:t>
            </w:r>
          </w:p>
          <w:p>
            <w:pPr>
              <w:spacing w:after="80"/>
            </w:pPr>
            <w:r>
              <w:rPr>
                <w:rFonts w:ascii="Calibri" w:cs="Calibri" w:eastAsia="Calibri" w:hAnsi="Calibri"/>
                <w:b/>
                <w:bCs/>
                <w:color w:val="FFFFFF"/>
                <w:sz w:val="52"/>
                <w:szCs w:val="52"/>
              </w:rPr>
              <w:t xml:space="preserve">PART II</w:t>
            </w:r>
          </w:p>
          <w:p>
            <w:pPr>
              <w:spacing w:after="0"/>
            </w:pPr>
            <w:r>
              <w:rPr>
                <w:rFonts w:ascii="Calibri" w:cs="Calibri" w:eastAsia="Calibri" w:hAnsi="Calibri"/>
                <w:color w:val="E0E0E0"/>
                <w:sz w:val="24"/>
                <w:szCs w:val="24"/>
              </w:rPr>
              <w:t xml:space="preserve">ClaimCenter — Claims Management</w:t>
            </w:r>
          </w:p>
        </w:tc>
      </w:tr>
    </w:tbl>
    <w:p>
      <w:r>
        <w:br w:type="page"/>
      </w:r>
    </w:p>
    <w:p>
      <w:pPr>
        <w:pStyle w:val="Heading1"/>
        <w:keepNext/>
        <w:keepLines/>
        <w:spacing w:after="160" w:before="400"/>
      </w:pPr>
      <w:r>
        <w:rPr>
          <w:rFonts w:ascii="Calibri" w:cs="Calibri" w:eastAsia="Calibri" w:hAnsi="Calibri"/>
          <w:b/>
          <w:bCs/>
          <w:color w:val="5B2D8E"/>
          <w:sz w:val="48"/>
          <w:szCs w:val="48"/>
        </w:rPr>
        <w:t xml:space="preserve">Chapter 5: ClaimCenter Overview</w:t>
      </w:r>
    </w:p>
    <w:p>
      <w:pPr>
        <w:spacing w:after="120" w:before="80" w:line="276"/>
        <w:jc w:val="both"/>
      </w:pPr>
      <w:r>
        <w:rPr>
          <w:rFonts w:ascii="Calibri" w:cs="Calibri" w:eastAsia="Calibri" w:hAnsi="Calibri"/>
          <w:color w:val="4A4A4A"/>
          <w:sz w:val="22"/>
          <w:szCs w:val="22"/>
        </w:rPr>
        <w:t xml:space="preserve">ClaimCenter is the Guidewire InsuranceSuite application for managing the end-to-end property and casualty claims lifecycle. It supports all lines of business from simple personal auto claims to complex commercial liability claims with multiple claimants, coverage layers, and litigation matters. ClaimCenter provides claims examiners, adjusters, and managers with a unified workbench for claim intake, investigation, reserving, payment, recovery, and closure.</w:t>
      </w:r>
    </w:p>
    <w:p>
      <w:pPr>
        <w:spacing w:after="120" w:before="80" w:line="276"/>
        <w:jc w:val="both"/>
      </w:pPr>
      <w:r>
        <w:rPr>
          <w:rFonts w:ascii="Calibri" w:cs="Calibri" w:eastAsia="Calibri" w:hAnsi="Calibri"/>
          <w:color w:val="4A4A4A"/>
          <w:sz w:val="22"/>
          <w:szCs w:val="22"/>
        </w:rPr>
        <w:t xml:space="preserve">ClaimCenter 10.2.2 (the on-premise release referenced in this handbook) continues the product's trajectory toward a cloud-native architecture while maintaining full backwards compatibility with existing on-premise implementations. The configuration patterns described in this part apply to both the on-premise 10.2.2 release and the cloud releases.</w:t>
      </w:r>
    </w:p>
    <w:p>
      <w:pPr>
        <w:pStyle w:val="Heading2"/>
        <w:keepNext/>
        <w:keepLines/>
        <w:spacing w:after="160" w:before="400"/>
      </w:pPr>
      <w:r>
        <w:rPr>
          <w:rFonts w:ascii="Calibri" w:cs="Calibri" w:eastAsia="Calibri" w:hAnsi="Calibri"/>
          <w:b/>
          <w:bCs/>
          <w:color w:val="5B2D8E"/>
          <w:sz w:val="36"/>
          <w:szCs w:val="36"/>
        </w:rPr>
        <w:t xml:space="preserve">5.1 Key Architectural Concepts</w:t>
      </w:r>
    </w:p>
    <w:p>
      <w:pPr>
        <w:spacing w:after="120" w:before="80" w:line="276"/>
        <w:jc w:val="both"/>
      </w:pPr>
      <w:r>
        <w:rPr>
          <w:rFonts w:ascii="Calibri" w:cs="Calibri" w:eastAsia="Calibri" w:hAnsi="Calibri"/>
          <w:color w:val="4A4A4A"/>
          <w:sz w:val="22"/>
          <w:szCs w:val="22"/>
        </w:rPr>
        <w:t xml:space="preserve">ClaimCenter is built around the Claim entity, which is the top-level container for all data and activity related to a single loss event. Each Claim has one Policy (the in-force policy at the time of loss) and one or more Exposures — the specific coverage lines under which losses are being claimed. This separation between the Claim (the loss event) and Exposure (the coverage response) is fundamental to ClaimCenter's model and enables complex multi-coverage, multi-claimant scenarios.</w:t>
      </w: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700"/>
        <w:gridCol w:w="6660"/>
      </w:tblGrid>
      <w:tr>
        <w:trPr>
          <w:tblHeader/>
        </w:trPr>
        <w:tc>
          <w:tcPr>
            <w:tcW w:type="dxa" w:w="2700"/>
            <w:shd w:fill="5B2D8E" w:val="clear"/>
            <w:tcMar>
              <w:top w:type="dxa" w:w="80"/>
              <w:left w:type="dxa" w:w="160"/>
              <w:bottom w:type="dxa" w:w="80"/>
              <w:right w:type="dxa" w:w="160"/>
            </w:tcMar>
          </w:tcPr>
          <w:p>
            <w:pPr>
              <w:spacing w:after="0"/>
            </w:pPr>
            <w:r>
              <w:rPr>
                <w:rFonts w:ascii="Calibri" w:cs="Calibri" w:eastAsia="Calibri" w:hAnsi="Calibri"/>
                <w:b/>
                <w:bCs/>
                <w:color w:val="FFFFFF"/>
                <w:sz w:val="20"/>
                <w:szCs w:val="20"/>
              </w:rPr>
              <w:t xml:space="preserve">Entity</w:t>
            </w:r>
          </w:p>
        </w:tc>
        <w:tc>
          <w:tcPr>
            <w:tcW w:type="dxa" w:w="6660"/>
            <w:shd w:fill="5B2D8E" w:val="clear"/>
            <w:tcMar>
              <w:top w:type="dxa" w:w="80"/>
              <w:left w:type="dxa" w:w="160"/>
              <w:bottom w:type="dxa" w:w="80"/>
              <w:right w:type="dxa" w:w="160"/>
            </w:tcMar>
          </w:tcPr>
          <w:p>
            <w:pPr>
              <w:spacing w:after="0"/>
            </w:pPr>
            <w:r>
              <w:rPr>
                <w:rFonts w:ascii="Calibri" w:cs="Calibri" w:eastAsia="Calibri" w:hAnsi="Calibri"/>
                <w:color w:val="FFFFFF"/>
                <w:sz w:val="20"/>
                <w:szCs w:val="20"/>
              </w:rPr>
              <w:t xml:space="preserve">Description</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Claim</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Top-level entity representing a single loss event. Contains loss date, location, description, status, and all associated exposures, payments, recoveries, notes, and activities.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Exposure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Represents the claim against a specific coverage. A Claim can have multiple Exposures — one for each coverage and claimant combination. Reserves, payments, and losses are tracked at the Exposure level.</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Claimant</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The person or entity making a claim. May be the insured, a third party, or a medical provider. Claimants are linked to Exposures.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Coverage (Claim)</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The specific coverage from the policy that applies to an Exposure. ClaimCenter validates that the selected coverage was in force at the date of loss.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Incident</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specific event within the loss — for example, a vehicle involved in an accident, a property item damaged in a fire, or a person injured in a slip-and-fall. Incidents are linked to Exposures.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Reserve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financial estimate of the ultimate cost of an Exposure, broken down into reserve types (damages, expenses, legal, etc.). Reserves drive the carrier's IBNR and outstanding loss calculations.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Payment</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An actual payment made to a claimant, vendor, or attorney. Payments reduce the outstanding reserve balance.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Recovery</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An amount recovered from a subrogation claim, salvage sale, or reinsurance recovery. Recoveries offset the net incurred loss on an Exposure.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Matter</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Represents a litigation case associated with a claim. Matters have their own set of activities, documents, and financial tracking separate from the underlying claim.</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Service Request</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An assignment to a vendor (independent adjuster, appraiser, repair shop) to perform a service related to the claim. Service Requests have their own workflow, status, and financial tracking.</w:t>
            </w:r>
          </w:p>
        </w:tc>
      </w:tr>
    </w:tbl>
    <w:p>
      <w:pPr>
        <w:pStyle w:val="Heading2"/>
        <w:keepNext/>
        <w:keepLines/>
        <w:spacing w:after="160" w:before="400"/>
      </w:pPr>
      <w:r>
        <w:rPr>
          <w:rFonts w:ascii="Calibri" w:cs="Calibri" w:eastAsia="Calibri" w:hAnsi="Calibri"/>
          <w:b/>
          <w:bCs/>
          <w:color w:val="5B2D8E"/>
          <w:sz w:val="36"/>
          <w:szCs w:val="36"/>
        </w:rPr>
        <w:t xml:space="preserve">5.2 ClaimCenter Integration with PolicyCenter</w:t>
      </w:r>
    </w:p>
    <w:p>
      <w:pPr>
        <w:spacing w:after="120" w:before="80" w:line="276"/>
        <w:jc w:val="both"/>
      </w:pPr>
      <w:r>
        <w:rPr>
          <w:rFonts w:ascii="Calibri" w:cs="Calibri" w:eastAsia="Calibri" w:hAnsi="Calibri"/>
          <w:color w:val="4A4A4A"/>
          <w:sz w:val="22"/>
          <w:szCs w:val="22"/>
        </w:rPr>
        <w:t xml:space="preserve">ClaimCenter integrates tightly with PolicyCenter through the Policy Retrieval integration. When a new claim is created, ClaimCenter looks up the policy in PolicyCenter to verify coverage, retrieve policy details, and populate the Claim with coverage information. This integration is critical to accurate claims processing and must be configured and tested thoroughly in every implementation.</w:t>
      </w:r>
    </w:p>
    <w:p>
      <w:pPr>
        <w:spacing w:after="120" w:before="80" w:line="276"/>
        <w:jc w:val="both"/>
      </w:pPr>
      <w:r>
        <w:rPr>
          <w:rFonts w:ascii="Calibri" w:cs="Calibri" w:eastAsia="Calibri" w:hAnsi="Calibri"/>
          <w:color w:val="4A4A4A"/>
          <w:sz w:val="22"/>
          <w:szCs w:val="22"/>
        </w:rPr>
        <w:t xml:space="preserve">The Policy Retrieval integration is implemented as a SOAP web service call from ClaimCenter to PolicyCenter. PolicyCenter exposes a PolicySearch web service that accepts a policy number, effective date, and insured information, and returns the matching policy with its coverages and limits. ClaimCenter uses this information to populate the Exposure coverage selections and validate that coverage applies to the loss date.</w:t>
      </w:r>
    </w:p>
    <w:p>
      <w:pPr>
        <w:spacing w:after="120" w:before="80" w:line="276"/>
        <w:jc w:val="both"/>
      </w:pPr>
      <w:r>
        <w:rPr>
          <w:rFonts w:ascii="Calibri" w:cs="Calibri" w:eastAsia="Calibri" w:hAnsi="Calibri"/>
          <w:color w:val="4A4A4A"/>
          <w:sz w:val="22"/>
          <w:szCs w:val="22"/>
        </w:rPr>
        <w:t xml:space="preserve">In integrated InsuranceSuite deployments, carriers also configure the ClaimCenter-to-BillingCenter integration to enable deductible collection and premium impact tracking. When a claim payment is made that involves a deductible, ClaimCenter notifies BillingCenter to create a deductible charge on the billing account.</w:t>
      </w:r>
    </w:p>
    <w:p>
      <w:pPr>
        <w:pStyle w:val="Heading2"/>
        <w:keepNext/>
        <w:keepLines/>
        <w:spacing w:after="160" w:before="400"/>
      </w:pPr>
      <w:r>
        <w:rPr>
          <w:rFonts w:ascii="Calibri" w:cs="Calibri" w:eastAsia="Calibri" w:hAnsi="Calibri"/>
          <w:b/>
          <w:bCs/>
          <w:color w:val="5B2D8E"/>
          <w:sz w:val="36"/>
          <w:szCs w:val="36"/>
        </w:rPr>
        <w:t xml:space="preserve">5.3 FNOL (First Notice of Loss)</w:t>
      </w:r>
    </w:p>
    <w:p>
      <w:pPr>
        <w:spacing w:after="120" w:before="80" w:line="276"/>
        <w:jc w:val="both"/>
      </w:pPr>
      <w:r>
        <w:rPr>
          <w:rFonts w:ascii="Calibri" w:cs="Calibri" w:eastAsia="Calibri" w:hAnsi="Calibri"/>
          <w:color w:val="4A4A4A"/>
          <w:sz w:val="22"/>
          <w:szCs w:val="22"/>
        </w:rPr>
        <w:t xml:space="preserve">First Notice of Loss (FNOL) is the process by which a claimant or insured reports a new loss to the carrier. It is the entry point to the ClaimCenter claim lifecycle. ClaimCenter supports multiple FNOL intake channels: direct data entry by claims staff, self-service web portals, integration with third-party FNOL vendors, and automated intake from IoT data sources.</w:t>
      </w:r>
    </w:p>
    <w:p>
      <w:pPr>
        <w:spacing w:after="120" w:before="80" w:line="276"/>
        <w:jc w:val="both"/>
      </w:pPr>
      <w:r>
        <w:rPr>
          <w:rFonts w:ascii="Calibri" w:cs="Calibri" w:eastAsia="Calibri" w:hAnsi="Calibri"/>
          <w:color w:val="4A4A4A"/>
          <w:sz w:val="22"/>
          <w:szCs w:val="22"/>
        </w:rPr>
        <w:t xml:space="preserve">The FNOL process in ClaimCenter collects the minimum information needed to open a claim: the policy number, the date and location of loss, the type of loss, and the claimant's contact information. Based on this initial data, ClaimCenter assigns the claim to the appropriate adjuster or team queue, applies the appropriate claim handling instructions (CHIs), and creates initial reserve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thick" w:color="5B2D8E" w:sz="18"/>
              <w:bottom w:val="none"/>
              <w:right w:val="none"/>
            </w:tcBorders>
            <w:shd w:fill="F5F5F5" w:val="clear"/>
            <w:tcMar>
              <w:top w:type="dxa" w:w="120"/>
              <w:left w:type="dxa" w:w="200"/>
              <w:bottom w:type="dxa" w:w="120"/>
              <w:right w:type="dxa" w:w="200"/>
            </w:tcMar>
          </w:tcPr>
          <w:p>
            <w:pPr>
              <w:spacing w:after="0"/>
            </w:pPr>
            <w:r>
              <w:rPr>
                <w:rFonts w:ascii="Calibri" w:cs="Calibri" w:eastAsia="Calibri" w:hAnsi="Calibri"/>
                <w:i/>
                <w:iCs/>
                <w:color w:val="1A1A2E"/>
                <w:sz w:val="20"/>
                <w:szCs w:val="20"/>
              </w:rPr>
              <w:t xml:space="preserve">FNOL Tip: The speed and accuracy of the FNOL process has a significant impact on both customer satisfaction and claim outcomes. Carriers who implement streamlined FNOL intake — particularly self-service digital FNOL — consistently see faster time-to-closure and lower average claim costs due to earlier engagement with claimants and vendors.</w:t>
            </w:r>
          </w:p>
        </w:tc>
      </w:tr>
    </w:tbl>
    <w:p>
      <w:r>
        <w:br w:type="page"/>
      </w:r>
    </w:p>
    <w:p>
      <w:pPr>
        <w:pStyle w:val="Heading1"/>
        <w:keepNext/>
        <w:keepLines/>
        <w:spacing w:after="160" w:before="400"/>
      </w:pPr>
      <w:r>
        <w:rPr>
          <w:rFonts w:ascii="Calibri" w:cs="Calibri" w:eastAsia="Calibri" w:hAnsi="Calibri"/>
          <w:b/>
          <w:bCs/>
          <w:color w:val="5B2D8E"/>
          <w:sz w:val="48"/>
          <w:szCs w:val="48"/>
        </w:rPr>
        <w:t xml:space="preserve">Chapter 6: Claim Lifecycle &amp; Financial Management</w:t>
      </w:r>
    </w:p>
    <w:p>
      <w:pPr>
        <w:spacing w:after="120" w:before="80" w:line="276"/>
        <w:jc w:val="both"/>
      </w:pPr>
      <w:r>
        <w:rPr>
          <w:rFonts w:ascii="Calibri" w:cs="Calibri" w:eastAsia="Calibri" w:hAnsi="Calibri"/>
          <w:color w:val="4A4A4A"/>
          <w:sz w:val="22"/>
          <w:szCs w:val="22"/>
        </w:rPr>
        <w:t xml:space="preserve">The claim lifecycle in ClaimCenter encompasses every stage from initial loss report through final closure. Each stage has defined activities, workflow steps, financial milestones, and compliance checkpoints. The lifecycle is configurable to match the carrier's claims handling philosophy and regulatory requirements.</w:t>
      </w:r>
    </w:p>
    <w:p>
      <w:pPr>
        <w:pStyle w:val="Heading2"/>
        <w:keepNext/>
        <w:keepLines/>
        <w:spacing w:after="160" w:before="400"/>
      </w:pPr>
      <w:r>
        <w:rPr>
          <w:rFonts w:ascii="Calibri" w:cs="Calibri" w:eastAsia="Calibri" w:hAnsi="Calibri"/>
          <w:b/>
          <w:bCs/>
          <w:color w:val="5B2D8E"/>
          <w:sz w:val="36"/>
          <w:szCs w:val="36"/>
        </w:rPr>
        <w:t xml:space="preserve">6.1 Claim Lifecycle Stages</w:t>
      </w: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700"/>
        <w:gridCol w:w="6660"/>
      </w:tblGrid>
      <w:tr>
        <w:trPr>
          <w:tblHeader/>
        </w:trPr>
        <w:tc>
          <w:tcPr>
            <w:tcW w:type="dxa" w:w="2700"/>
            <w:shd w:fill="5B2D8E" w:val="clear"/>
            <w:tcMar>
              <w:top w:type="dxa" w:w="80"/>
              <w:left w:type="dxa" w:w="160"/>
              <w:bottom w:type="dxa" w:w="80"/>
              <w:right w:type="dxa" w:w="160"/>
            </w:tcMar>
          </w:tcPr>
          <w:p>
            <w:pPr>
              <w:spacing w:after="0"/>
            </w:pPr>
            <w:r>
              <w:rPr>
                <w:rFonts w:ascii="Calibri" w:cs="Calibri" w:eastAsia="Calibri" w:hAnsi="Calibri"/>
                <w:b/>
                <w:bCs/>
                <w:color w:val="FFFFFF"/>
                <w:sz w:val="20"/>
                <w:szCs w:val="20"/>
              </w:rPr>
              <w:t xml:space="preserve">Stage</w:t>
            </w:r>
          </w:p>
        </w:tc>
        <w:tc>
          <w:tcPr>
            <w:tcW w:type="dxa" w:w="6660"/>
            <w:shd w:fill="5B2D8E" w:val="clear"/>
            <w:tcMar>
              <w:top w:type="dxa" w:w="80"/>
              <w:left w:type="dxa" w:w="160"/>
              <w:bottom w:type="dxa" w:w="80"/>
              <w:right w:type="dxa" w:w="160"/>
            </w:tcMar>
          </w:tcPr>
          <w:p>
            <w:pPr>
              <w:spacing w:after="0"/>
            </w:pPr>
            <w:r>
              <w:rPr>
                <w:rFonts w:ascii="Calibri" w:cs="Calibri" w:eastAsia="Calibri" w:hAnsi="Calibri"/>
                <w:color w:val="FFFFFF"/>
                <w:sz w:val="20"/>
                <w:szCs w:val="20"/>
              </w:rPr>
              <w:t xml:space="preserve">Description</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Open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The initial state when a claim is created. Investigation, assignment, and initial reserving occur in this stage.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In Litigation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When a claim has one or more associated litigation matters. Claim handling is coordinated with defense counsel.</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Under Appeal</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The claim decision has been appealed by the claimant. Further payment activity may be restricted pending resolution.</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Denied</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Coverage has been denied. Denial letters must be generated and a denial record maintained for the statute of limitations period.</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Closed</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All exposures are closed, all payments have been made, and the file is complete. A closed claim can be reopened if new information emerges.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Recalled</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closed claim that has been reopened for additional activity. Recalls often require management approval and must be documented.</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Void</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The claim was opened in error and has been voided. Voiding is limited to claims with no financial activity.</w:t>
            </w:r>
          </w:p>
        </w:tc>
      </w:tr>
    </w:tbl>
    <w:p>
      <w:pPr>
        <w:pStyle w:val="Heading2"/>
        <w:keepNext/>
        <w:keepLines/>
        <w:spacing w:after="160" w:before="400"/>
      </w:pPr>
      <w:r>
        <w:rPr>
          <w:rFonts w:ascii="Calibri" w:cs="Calibri" w:eastAsia="Calibri" w:hAnsi="Calibri"/>
          <w:b/>
          <w:bCs/>
          <w:color w:val="5B2D8E"/>
          <w:sz w:val="36"/>
          <w:szCs w:val="36"/>
        </w:rPr>
        <w:t xml:space="preserve">6.2 Reserve Management</w:t>
      </w:r>
    </w:p>
    <w:p>
      <w:pPr>
        <w:spacing w:after="120" w:before="80" w:line="276"/>
        <w:jc w:val="both"/>
      </w:pPr>
      <w:r>
        <w:rPr>
          <w:rFonts w:ascii="Calibri" w:cs="Calibri" w:eastAsia="Calibri" w:hAnsi="Calibri"/>
          <w:color w:val="4A4A4A"/>
          <w:sz w:val="22"/>
          <w:szCs w:val="22"/>
        </w:rPr>
        <w:t xml:space="preserve">Reserves are the financial cornerstone of claims management. A reserve is a carrier's estimate of the total ultimate cost to settle an Exposure, including indemnity payments, allocated loss adjustment expenses (ALAE), legal fees, and medical costs. Accurate reserving is critical to financial reporting, regulatory compliance, and reinsurance treaty management.</w:t>
      </w:r>
    </w:p>
    <w:p>
      <w:pPr>
        <w:spacing w:after="120" w:before="80" w:line="276"/>
        <w:jc w:val="both"/>
      </w:pPr>
      <w:r>
        <w:rPr>
          <w:rFonts w:ascii="Calibri" w:cs="Calibri" w:eastAsia="Calibri" w:hAnsi="Calibri"/>
          <w:color w:val="4A4A4A"/>
          <w:sz w:val="22"/>
          <w:szCs w:val="22"/>
        </w:rPr>
        <w:t xml:space="preserve">ClaimCenter maintains reserves at the Exposure level, broken down by reserve type. The system tracks the history of every reserve change — who changed it, when, why (via a mandatory reserve description field), and by how much. This audit trail is essential for regulatory examination and internal audits.</w:t>
      </w:r>
    </w:p>
    <w:p>
      <w:pPr>
        <w:spacing w:after="120" w:before="80" w:line="276"/>
        <w:jc w:val="both"/>
      </w:pPr>
      <w:r>
        <w:rPr>
          <w:rFonts w:ascii="Calibri" w:cs="Calibri" w:eastAsia="Calibri" w:hAnsi="Calibri"/>
          <w:color w:val="4A4A4A"/>
          <w:sz w:val="22"/>
          <w:szCs w:val="22"/>
        </w:rPr>
        <w:t xml:space="preserve">Reserve adequacy is monitored through ClaimCenter's built-in reserve monitoring rules. Carriers configure rules that alert supervisors or create activities when a reserve falls below a threshold relative to the latest payment pattern, when a case is approaching a statute of limitations, or when reserve changes exceed defined thresholds without management approval.</w:t>
      </w: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700"/>
        <w:gridCol w:w="6660"/>
      </w:tblGrid>
      <w:tr>
        <w:trPr>
          <w:tblHeader/>
        </w:trPr>
        <w:tc>
          <w:tcPr>
            <w:tcW w:type="dxa" w:w="2700"/>
            <w:shd w:fill="5B2D8E" w:val="clear"/>
            <w:tcMar>
              <w:top w:type="dxa" w:w="80"/>
              <w:left w:type="dxa" w:w="160"/>
              <w:bottom w:type="dxa" w:w="80"/>
              <w:right w:type="dxa" w:w="160"/>
            </w:tcMar>
          </w:tcPr>
          <w:p>
            <w:pPr>
              <w:spacing w:after="0"/>
            </w:pPr>
            <w:r>
              <w:rPr>
                <w:rFonts w:ascii="Calibri" w:cs="Calibri" w:eastAsia="Calibri" w:hAnsi="Calibri"/>
                <w:b/>
                <w:bCs/>
                <w:color w:val="FFFFFF"/>
                <w:sz w:val="20"/>
                <w:szCs w:val="20"/>
              </w:rPr>
              <w:t xml:space="preserve">Reserve Type</w:t>
            </w:r>
          </w:p>
        </w:tc>
        <w:tc>
          <w:tcPr>
            <w:tcW w:type="dxa" w:w="6660"/>
            <w:shd w:fill="5B2D8E" w:val="clear"/>
            <w:tcMar>
              <w:top w:type="dxa" w:w="80"/>
              <w:left w:type="dxa" w:w="160"/>
              <w:bottom w:type="dxa" w:w="80"/>
              <w:right w:type="dxa" w:w="160"/>
            </w:tcMar>
          </w:tcPr>
          <w:p>
            <w:pPr>
              <w:spacing w:after="0"/>
            </w:pPr>
            <w:r>
              <w:rPr>
                <w:rFonts w:ascii="Calibri" w:cs="Calibri" w:eastAsia="Calibri" w:hAnsi="Calibri"/>
                <w:color w:val="FFFFFF"/>
                <w:sz w:val="20"/>
                <w:szCs w:val="20"/>
              </w:rPr>
              <w:t xml:space="preserve">Description</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Damages Reserve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Estimate of the indemnity amount to be paid to the claimant for their loss. Also called the indemnity reserve.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Expenses Reserve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Estimate of allocated loss adjustment expenses — costs directly attributable to settling this specific claim (e.g., adjuster fees, court costs, expert witnesses).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Legal Reserve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Estimate of defense legal costs when the claim is in litigation.</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Medical Reserve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Estimate of medical expenses for bodily injury claims. Often maintained separately for bodily injury programs.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Recovery Reserve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Expected recovery from subrogation or salvage, recorded as a negative reserve to offset the gross loss reserve.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Statutory Reserve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reserve maintained to satisfy state regulatory reporting requirements, which may differ from the carrier's own actuarial estimates.</w:t>
            </w:r>
          </w:p>
        </w:tc>
      </w:tr>
    </w:tbl>
    <w:p>
      <w:pPr>
        <w:pStyle w:val="Heading2"/>
        <w:keepNext/>
        <w:keepLines/>
        <w:spacing w:after="160" w:before="400"/>
      </w:pPr>
      <w:r>
        <w:rPr>
          <w:rFonts w:ascii="Calibri" w:cs="Calibri" w:eastAsia="Calibri" w:hAnsi="Calibri"/>
          <w:b/>
          <w:bCs/>
          <w:color w:val="5B2D8E"/>
          <w:sz w:val="36"/>
          <w:szCs w:val="36"/>
        </w:rPr>
        <w:t xml:space="preserve">6.3 Payments and Disbursements</w:t>
      </w:r>
    </w:p>
    <w:p>
      <w:pPr>
        <w:spacing w:after="120" w:before="80" w:line="276"/>
        <w:jc w:val="both"/>
      </w:pPr>
      <w:r>
        <w:rPr>
          <w:rFonts w:ascii="Calibri" w:cs="Calibri" w:eastAsia="Calibri" w:hAnsi="Calibri"/>
          <w:color w:val="4A4A4A"/>
          <w:sz w:val="22"/>
          <w:szCs w:val="22"/>
        </w:rPr>
        <w:t xml:space="preserve">ClaimCenter manages the full disbursement lifecycle for claim payments. A payment in ClaimCenter goes through a defined approval and disbursement workflow before funds are released. The workflow enforces payment authority limits, validates payee information, checks for duplicate payments, and integrates with the carrier's financial systems for actual fund disbursement.</w:t>
      </w:r>
    </w:p>
    <w:p>
      <w:pPr>
        <w:spacing w:after="120" w:before="80" w:line="276"/>
        <w:jc w:val="both"/>
      </w:pPr>
      <w:r>
        <w:rPr>
          <w:rFonts w:ascii="Calibri" w:cs="Calibri" w:eastAsia="Calibri" w:hAnsi="Calibri"/>
          <w:color w:val="4A4A4A"/>
          <w:sz w:val="22"/>
          <w:szCs w:val="22"/>
        </w:rPr>
        <w:t xml:space="preserve">Payment types in ClaimCenter include:</w:t>
      </w:r>
    </w:p>
    <w:p>
      <w:pPr>
        <w:pStyle w:val="ListParagraph"/>
        <w:numPr>
          <w:ilvl w:val="0"/>
          <w:numId w:val="1"/>
        </w:numPr>
        <w:spacing w:after="60" w:before="40"/>
      </w:pPr>
      <w:r>
        <w:rPr>
          <w:rFonts w:ascii="Calibri" w:cs="Calibri" w:eastAsia="Calibri" w:hAnsi="Calibri"/>
          <w:color w:val="4A4A4A"/>
          <w:sz w:val="22"/>
          <w:szCs w:val="22"/>
        </w:rPr>
        <w:t xml:space="preserve">Indemnity Payments: Payments to the claimant for their covered loss.</w:t>
      </w:r>
    </w:p>
    <w:p>
      <w:pPr>
        <w:pStyle w:val="ListParagraph"/>
        <w:numPr>
          <w:ilvl w:val="0"/>
          <w:numId w:val="1"/>
        </w:numPr>
        <w:spacing w:after="60" w:before="40"/>
      </w:pPr>
      <w:r>
        <w:rPr>
          <w:rFonts w:ascii="Calibri" w:cs="Calibri" w:eastAsia="Calibri" w:hAnsi="Calibri"/>
          <w:color w:val="4A4A4A"/>
          <w:sz w:val="22"/>
          <w:szCs w:val="22"/>
        </w:rPr>
        <w:t xml:space="preserve">Expense Payments: Payments to vendors (appraisers, attorneys, investigators) for services rendered.</w:t>
      </w:r>
    </w:p>
    <w:p>
      <w:pPr>
        <w:pStyle w:val="ListParagraph"/>
        <w:numPr>
          <w:ilvl w:val="0"/>
          <w:numId w:val="1"/>
        </w:numPr>
        <w:spacing w:after="60" w:before="40"/>
      </w:pPr>
      <w:r>
        <w:rPr>
          <w:rFonts w:ascii="Calibri" w:cs="Calibri" w:eastAsia="Calibri" w:hAnsi="Calibri"/>
          <w:color w:val="4A4A4A"/>
          <w:sz w:val="22"/>
          <w:szCs w:val="22"/>
        </w:rPr>
        <w:t xml:space="preserve">Advance Payments: Partial payments made before the final settlement, typically for urgent needs like living expenses after a homeowner's loss.</w:t>
      </w:r>
    </w:p>
    <w:p>
      <w:pPr>
        <w:pStyle w:val="ListParagraph"/>
        <w:numPr>
          <w:ilvl w:val="0"/>
          <w:numId w:val="1"/>
        </w:numPr>
        <w:spacing w:after="60" w:before="40"/>
      </w:pPr>
      <w:r>
        <w:rPr>
          <w:rFonts w:ascii="Calibri" w:cs="Calibri" w:eastAsia="Calibri" w:hAnsi="Calibri"/>
          <w:color w:val="4A4A4A"/>
          <w:sz w:val="22"/>
          <w:szCs w:val="22"/>
        </w:rPr>
        <w:t xml:space="preserve">Deductible Payments: Payments made net of the applicable deductible, with a corresponding deductible collection request sent to BillingCenter.</w:t>
      </w:r>
    </w:p>
    <w:p>
      <w:pPr>
        <w:pStyle w:val="ListParagraph"/>
        <w:numPr>
          <w:ilvl w:val="0"/>
          <w:numId w:val="1"/>
        </w:numPr>
        <w:spacing w:after="60" w:before="40"/>
      </w:pPr>
      <w:r>
        <w:rPr>
          <w:rFonts w:ascii="Calibri" w:cs="Calibri" w:eastAsia="Calibri" w:hAnsi="Calibri"/>
          <w:color w:val="4A4A4A"/>
          <w:sz w:val="22"/>
          <w:szCs w:val="22"/>
        </w:rPr>
        <w:t xml:space="preserve">Salted Checks: Test checks (for "salting" payment file tests) that are generated but flagged to the payment processor for exclusion from actual disbursement.</w:t>
      </w:r>
    </w:p>
    <w:p>
      <w:pPr>
        <w:spacing w:after="120" w:before="80" w:line="276"/>
        <w:jc w:val="both"/>
      </w:pPr>
      <w:r>
        <w:rPr>
          <w:rFonts w:ascii="Calibri" w:cs="Calibri" w:eastAsia="Calibri" w:hAnsi="Calibri"/>
          <w:color w:val="4A4A4A"/>
          <w:sz w:val="22"/>
          <w:szCs w:val="22"/>
        </w:rPr>
        <w:t xml:space="preserve">The payment approval matrix is one of the most important configuration items in ClaimCenter. It defines who can approve payments of what size, for what coverage types, at what stage of the claim lifecycle. Payment authority limits are configured as structured approval rules that evaluate the payment amount, the exposure coverage type, the claimant type, and the claim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thick" w:color="5B2D8E" w:sz="18"/>
              <w:bottom w:val="none"/>
              <w:right w:val="none"/>
            </w:tcBorders>
            <w:shd w:fill="F5F5F5" w:val="clear"/>
            <w:tcMar>
              <w:top w:type="dxa" w:w="120"/>
              <w:left w:type="dxa" w:w="200"/>
              <w:bottom w:type="dxa" w:w="120"/>
              <w:right w:type="dxa" w:w="200"/>
            </w:tcMar>
          </w:tcPr>
          <w:p>
            <w:pPr>
              <w:spacing w:after="0"/>
            </w:pPr>
            <w:r>
              <w:rPr>
                <w:rFonts w:ascii="Calibri" w:cs="Calibri" w:eastAsia="Calibri" w:hAnsi="Calibri"/>
                <w:i/>
                <w:iCs/>
                <w:color w:val="1A1A2E"/>
                <w:sz w:val="20"/>
                <w:szCs w:val="20"/>
              </w:rPr>
              <w:t xml:space="preserve">Payment Control: ClaimCenter includes a duplicate payment detection feature that flags transactions where the same payee, amount, and coverage type have been paid within a configurable lookback window. This is an important fraud and error prevention control that should be enabled in all production implementations.</w:t>
            </w:r>
          </w:p>
        </w:tc>
      </w:tr>
    </w:tbl>
    <w:p>
      <w:pPr>
        <w:pStyle w:val="Heading2"/>
        <w:keepNext/>
        <w:keepLines/>
        <w:spacing w:after="160" w:before="400"/>
      </w:pPr>
      <w:r>
        <w:rPr>
          <w:rFonts w:ascii="Calibri" w:cs="Calibri" w:eastAsia="Calibri" w:hAnsi="Calibri"/>
          <w:b/>
          <w:bCs/>
          <w:color w:val="5B2D8E"/>
          <w:sz w:val="36"/>
          <w:szCs w:val="36"/>
        </w:rPr>
        <w:t xml:space="preserve">6.4 Subrogation and Recovery</w:t>
      </w:r>
    </w:p>
    <w:p>
      <w:pPr>
        <w:spacing w:after="120" w:before="80" w:line="276"/>
        <w:jc w:val="both"/>
      </w:pPr>
      <w:r>
        <w:rPr>
          <w:rFonts w:ascii="Calibri" w:cs="Calibri" w:eastAsia="Calibri" w:hAnsi="Calibri"/>
          <w:color w:val="4A4A4A"/>
          <w:sz w:val="22"/>
          <w:szCs w:val="22"/>
        </w:rPr>
        <w:t xml:space="preserve">Subrogation is the process by which a carrier recovers losses paid on behalf of its insured from a responsible third party. ClaimCenter provides a dedicated subrogation module that tracks recovery potential, records subrogation demands, manages negotiation and settlement, and books recovery receipts against the appropriate exposures.</w:t>
      </w:r>
    </w:p>
    <w:p>
      <w:pPr>
        <w:spacing w:after="120" w:before="80" w:line="276"/>
        <w:jc w:val="both"/>
      </w:pPr>
      <w:r>
        <w:rPr>
          <w:rFonts w:ascii="Calibri" w:cs="Calibri" w:eastAsia="Calibri" w:hAnsi="Calibri"/>
          <w:color w:val="4A4A4A"/>
          <w:sz w:val="22"/>
          <w:szCs w:val="22"/>
        </w:rPr>
        <w:t xml:space="preserve">The subrogation process in ClaimCenter begins with the identification of recovery potential — the determination that a third party may be wholly or partly liable for the insured's loss. This is typically flagged by the adjuster at FNOL or during investigation, and can also be flagged automatically by ClaimCenter rules when certain loss types or circumstances are detected.</w:t>
      </w:r>
    </w:p>
    <w:p>
      <w:pPr>
        <w:spacing w:after="120" w:before="80" w:line="276"/>
        <w:jc w:val="both"/>
      </w:pPr>
      <w:r>
        <w:rPr>
          <w:rFonts w:ascii="Calibri" w:cs="Calibri" w:eastAsia="Calibri" w:hAnsi="Calibri"/>
          <w:color w:val="4A4A4A"/>
          <w:sz w:val="22"/>
          <w:szCs w:val="22"/>
        </w:rPr>
        <w:t xml:space="preserve">Recovery amounts are applied against the gross incurred loss at the exposure level, reducing the net incurred loss. Recovery allocations can be complex in multi-coverage, multi-claimant claims and ClaimCenter provides tools for proportional allocation of recovery amounts across multiple exposures.</w:t>
      </w:r>
    </w:p>
    <w:p>
      <w:pPr>
        <w:pStyle w:val="Heading2"/>
        <w:keepNext/>
        <w:keepLines/>
        <w:spacing w:after="160" w:before="400"/>
      </w:pPr>
      <w:r>
        <w:rPr>
          <w:rFonts w:ascii="Calibri" w:cs="Calibri" w:eastAsia="Calibri" w:hAnsi="Calibri"/>
          <w:b/>
          <w:bCs/>
          <w:color w:val="5B2D8E"/>
          <w:sz w:val="36"/>
          <w:szCs w:val="36"/>
        </w:rPr>
        <w:t xml:space="preserve">6.5 Catastrophe Management</w:t>
      </w:r>
    </w:p>
    <w:p>
      <w:pPr>
        <w:spacing w:after="120" w:before="80" w:line="276"/>
        <w:jc w:val="both"/>
      </w:pPr>
      <w:r>
        <w:rPr>
          <w:rFonts w:ascii="Calibri" w:cs="Calibri" w:eastAsia="Calibri" w:hAnsi="Calibri"/>
          <w:color w:val="4A4A4A"/>
          <w:sz w:val="22"/>
          <w:szCs w:val="22"/>
        </w:rPr>
        <w:t xml:space="preserve">ClaimCenter includes a Catastrophe Management module for managing claims arising from major weather events, natural disasters, and other mass-loss events. A Catastrophe is a named event in ClaimCenter that groups all associated claims for aggregate reporting, workforce management, and reinsurance notification.</w:t>
      </w:r>
    </w:p>
    <w:p>
      <w:pPr>
        <w:spacing w:after="120" w:before="80" w:line="276"/>
        <w:jc w:val="both"/>
      </w:pPr>
      <w:r>
        <w:rPr>
          <w:rFonts w:ascii="Calibri" w:cs="Calibri" w:eastAsia="Calibri" w:hAnsi="Calibri"/>
          <w:color w:val="4A4A4A"/>
          <w:sz w:val="22"/>
          <w:szCs w:val="22"/>
        </w:rPr>
        <w:t xml:space="preserve">When a Catastrophe is declared, ClaimCenter can automatically assign all new claims with matching loss date, location, and loss type to the Catastrophe event. Catastrophe claim handling workflows can differ from standard individual claim workflows — for example, fast-track payment authorities may be increased, certain inspection requirements may be waived, and vendor dispatch may be automated.</w:t>
      </w:r>
    </w:p>
    <w:p>
      <w:pPr>
        <w:spacing w:after="120" w:before="80" w:line="276"/>
        <w:jc w:val="both"/>
      </w:pPr>
      <w:r>
        <w:rPr>
          <w:rFonts w:ascii="Calibri" w:cs="Calibri" w:eastAsia="Calibri" w:hAnsi="Calibri"/>
          <w:color w:val="4A4A4A"/>
          <w:sz w:val="22"/>
          <w:szCs w:val="22"/>
        </w:rPr>
        <w:t xml:space="preserve">Catastrophe reporting in ClaimCenter provides aggregate views of total losses, open claims, reserve adequacy, and payment velocity for the event. These reports are critical for communicating with reinsurers, regulators, and senior management during a major loss event.</w:t>
      </w:r>
    </w:p>
    <w:p>
      <w:r>
        <w:br w:type="page"/>
      </w:r>
    </w:p>
    <w:p>
      <w:pPr>
        <w:pStyle w:val="Heading1"/>
        <w:keepNext/>
        <w:keepLines/>
        <w:spacing w:after="160" w:before="400"/>
      </w:pPr>
      <w:r>
        <w:rPr>
          <w:rFonts w:ascii="Calibri" w:cs="Calibri" w:eastAsia="Calibri" w:hAnsi="Calibri"/>
          <w:b/>
          <w:bCs/>
          <w:color w:val="5B2D8E"/>
          <w:sz w:val="48"/>
          <w:szCs w:val="48"/>
        </w:rPr>
        <w:t xml:space="preserve">Chapter 7: ClaimCenter Configuration Parameters</w:t>
      </w:r>
    </w:p>
    <w:p>
      <w:pPr>
        <w:spacing w:after="120" w:before="80" w:line="276"/>
        <w:jc w:val="both"/>
      </w:pPr>
      <w:r>
        <w:rPr>
          <w:rFonts w:ascii="Calibri" w:cs="Calibri" w:eastAsia="Calibri" w:hAnsi="Calibri"/>
          <w:color w:val="4A4A4A"/>
          <w:sz w:val="22"/>
          <w:szCs w:val="22"/>
        </w:rPr>
        <w:t xml:space="preserve">ClaimCenter exposes configuration parameters across multiple functional domains. These parameters are set in the ClaimCenter configuration files and control the runtime behaviour of the application without requiring code changes.</w:t>
      </w:r>
    </w:p>
    <w:p>
      <w:pPr>
        <w:pStyle w:val="Heading2"/>
        <w:keepNext/>
        <w:keepLines/>
        <w:spacing w:after="160" w:before="400"/>
      </w:pPr>
      <w:r>
        <w:rPr>
          <w:rFonts w:ascii="Calibri" w:cs="Calibri" w:eastAsia="Calibri" w:hAnsi="Calibri"/>
          <w:b/>
          <w:bCs/>
          <w:color w:val="5B2D8E"/>
          <w:sz w:val="36"/>
          <w:szCs w:val="36"/>
        </w:rPr>
        <w:t xml:space="preserve">7.1 Approval and Payment Authority Configuration</w:t>
      </w: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700"/>
        <w:gridCol w:w="6660"/>
      </w:tblGrid>
      <w:tr>
        <w:trPr>
          <w:tblHeader/>
        </w:trPr>
        <w:tc>
          <w:tcPr>
            <w:tcW w:type="dxa" w:w="2700"/>
            <w:shd w:fill="5B2D8E" w:val="clear"/>
            <w:tcMar>
              <w:top w:type="dxa" w:w="80"/>
              <w:left w:type="dxa" w:w="160"/>
              <w:bottom w:type="dxa" w:w="80"/>
              <w:right w:type="dxa" w:w="160"/>
            </w:tcMar>
          </w:tcPr>
          <w:p>
            <w:pPr>
              <w:spacing w:after="0"/>
            </w:pPr>
            <w:r>
              <w:rPr>
                <w:rFonts w:ascii="Calibri" w:cs="Calibri" w:eastAsia="Calibri" w:hAnsi="Calibri"/>
                <w:b/>
                <w:bCs/>
                <w:color w:val="FFFFFF"/>
                <w:sz w:val="20"/>
                <w:szCs w:val="20"/>
              </w:rPr>
              <w:t xml:space="preserve">Parameter</w:t>
            </w:r>
          </w:p>
        </w:tc>
        <w:tc>
          <w:tcPr>
            <w:tcW w:type="dxa" w:w="6660"/>
            <w:shd w:fill="5B2D8E" w:val="clear"/>
            <w:tcMar>
              <w:top w:type="dxa" w:w="80"/>
              <w:left w:type="dxa" w:w="160"/>
              <w:bottom w:type="dxa" w:w="80"/>
              <w:right w:type="dxa" w:w="160"/>
            </w:tcMar>
          </w:tcPr>
          <w:p>
            <w:pPr>
              <w:spacing w:after="0"/>
            </w:pPr>
            <w:r>
              <w:rPr>
                <w:rFonts w:ascii="Calibri" w:cs="Calibri" w:eastAsia="Calibri" w:hAnsi="Calibri"/>
                <w:color w:val="FFFFFF"/>
                <w:sz w:val="20"/>
                <w:szCs w:val="20"/>
              </w:rPr>
              <w:t xml:space="preserve">Description &amp; Guidance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approval.paymentlimit.default</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Default payment approval limit for adjusters without a specific authority assignment. Default: $5,000. Set conservatively — adjusters who need higher authority should receive it explicitly.</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approval.reservechange.threshold</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Dollar amount by which a reserve must change before supervisor approval is required. Default: $10,000. Set based on the carrier's reserve adequacy monitoring philosophy.</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approval.requiresupervisor.days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Number of days a claim can remain open before supervisor review is required. Default: 90.</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approval.voiddayslimit</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Maximum age in days of a claim that can be voided without management approval. Default: 30. Beyond this, voiding requires a higher approval level.</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approval.denialrequiresreview</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Whether claim denials require supervisor review before the denial letter is generated. Default: true. Strongly recommended for all lines of business.</w:t>
            </w:r>
          </w:p>
        </w:tc>
      </w:tr>
    </w:tbl>
    <w:p>
      <w:pPr>
        <w:pStyle w:val="Heading2"/>
        <w:keepNext/>
        <w:keepLines/>
        <w:spacing w:after="160" w:before="400"/>
      </w:pPr>
      <w:r>
        <w:rPr>
          <w:rFonts w:ascii="Calibri" w:cs="Calibri" w:eastAsia="Calibri" w:hAnsi="Calibri"/>
          <w:b/>
          <w:bCs/>
          <w:color w:val="5B2D8E"/>
          <w:sz w:val="36"/>
          <w:szCs w:val="36"/>
        </w:rPr>
        <w:t xml:space="preserve">7.2 Assignment and Workflow Configuration</w:t>
      </w: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700"/>
        <w:gridCol w:w="6660"/>
      </w:tblGrid>
      <w:tr>
        <w:trPr>
          <w:tblHeader/>
        </w:trPr>
        <w:tc>
          <w:tcPr>
            <w:tcW w:type="dxa" w:w="2700"/>
            <w:shd w:fill="5B2D8E" w:val="clear"/>
            <w:tcMar>
              <w:top w:type="dxa" w:w="80"/>
              <w:left w:type="dxa" w:w="160"/>
              <w:bottom w:type="dxa" w:w="80"/>
              <w:right w:type="dxa" w:w="160"/>
            </w:tcMar>
          </w:tcPr>
          <w:p>
            <w:pPr>
              <w:spacing w:after="0"/>
            </w:pPr>
            <w:r>
              <w:rPr>
                <w:rFonts w:ascii="Calibri" w:cs="Calibri" w:eastAsia="Calibri" w:hAnsi="Calibri"/>
                <w:b/>
                <w:bCs/>
                <w:color w:val="FFFFFF"/>
                <w:sz w:val="20"/>
                <w:szCs w:val="20"/>
              </w:rPr>
              <w:t xml:space="preserve">Parameter</w:t>
            </w:r>
          </w:p>
        </w:tc>
        <w:tc>
          <w:tcPr>
            <w:tcW w:type="dxa" w:w="6660"/>
            <w:shd w:fill="5B2D8E" w:val="clear"/>
            <w:tcMar>
              <w:top w:type="dxa" w:w="80"/>
              <w:left w:type="dxa" w:w="160"/>
              <w:bottom w:type="dxa" w:w="80"/>
              <w:right w:type="dxa" w:w="160"/>
            </w:tcMar>
          </w:tcPr>
          <w:p>
            <w:pPr>
              <w:spacing w:after="0"/>
            </w:pPr>
            <w:r>
              <w:rPr>
                <w:rFonts w:ascii="Calibri" w:cs="Calibri" w:eastAsia="Calibri" w:hAnsi="Calibri"/>
                <w:color w:val="FFFFFF"/>
                <w:sz w:val="20"/>
                <w:szCs w:val="20"/>
              </w:rPr>
              <w:t xml:space="preserve">Description &amp; Guidance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assignment.autoclaimsassign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Whether new claims are automatically assigned based on the configured assignment strategy. Default: true. If false, claims go to an unassigned queue.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assignment.catastroassignstrategy</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Assignment strategy for claims linked to a Catastrophe event: Roster (from a pre-configured CAT team), Standard (same as normal), or Queue. Default: Queue.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assignment.skillmatch.enabled</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Whether skill-based matching is used to assign claims to adjusters with relevant expertise. Default: false. Requires adjuster skill profiles to be configured.</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assignment.maxadjusterclaims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Maximum claims per adjuster before they are considered at capacity for assignment purposes. Default: 100. Calibrate based on the complexity of the carrier's claims mix.</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assignment.escalationdays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Days before an unworked assigned claim generates a supervisor escalation activity. Default: 5.</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assignment.litigationreassign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Whether claims that enter litigation status are automatically reassigned to a litigation specialist queue. Default: false. Recommended for carriers with litigation teams.</w:t>
            </w:r>
          </w:p>
        </w:tc>
      </w:tr>
    </w:tbl>
    <w:p>
      <w:pPr>
        <w:pStyle w:val="Heading2"/>
        <w:keepNext/>
        <w:keepLines/>
        <w:spacing w:after="160" w:before="400"/>
      </w:pPr>
      <w:r>
        <w:rPr>
          <w:rFonts w:ascii="Calibri" w:cs="Calibri" w:eastAsia="Calibri" w:hAnsi="Calibri"/>
          <w:b/>
          <w:bCs/>
          <w:color w:val="5B2D8E"/>
          <w:sz w:val="36"/>
          <w:szCs w:val="36"/>
        </w:rPr>
        <w:t xml:space="preserve">7.3 Financial and Reserve Configuration</w:t>
      </w: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700"/>
        <w:gridCol w:w="6660"/>
      </w:tblGrid>
      <w:tr>
        <w:trPr>
          <w:tblHeader/>
        </w:trPr>
        <w:tc>
          <w:tcPr>
            <w:tcW w:type="dxa" w:w="2700"/>
            <w:shd w:fill="5B2D8E" w:val="clear"/>
            <w:tcMar>
              <w:top w:type="dxa" w:w="80"/>
              <w:left w:type="dxa" w:w="160"/>
              <w:bottom w:type="dxa" w:w="80"/>
              <w:right w:type="dxa" w:w="160"/>
            </w:tcMar>
          </w:tcPr>
          <w:p>
            <w:pPr>
              <w:spacing w:after="0"/>
            </w:pPr>
            <w:r>
              <w:rPr>
                <w:rFonts w:ascii="Calibri" w:cs="Calibri" w:eastAsia="Calibri" w:hAnsi="Calibri"/>
                <w:b/>
                <w:bCs/>
                <w:color w:val="FFFFFF"/>
                <w:sz w:val="20"/>
                <w:szCs w:val="20"/>
              </w:rPr>
              <w:t xml:space="preserve">Parameter</w:t>
            </w:r>
          </w:p>
        </w:tc>
        <w:tc>
          <w:tcPr>
            <w:tcW w:type="dxa" w:w="6660"/>
            <w:shd w:fill="5B2D8E" w:val="clear"/>
            <w:tcMar>
              <w:top w:type="dxa" w:w="80"/>
              <w:left w:type="dxa" w:w="160"/>
              <w:bottom w:type="dxa" w:w="80"/>
              <w:right w:type="dxa" w:w="160"/>
            </w:tcMar>
          </w:tcPr>
          <w:p>
            <w:pPr>
              <w:spacing w:after="0"/>
            </w:pPr>
            <w:r>
              <w:rPr>
                <w:rFonts w:ascii="Calibri" w:cs="Calibri" w:eastAsia="Calibri" w:hAnsi="Calibri"/>
                <w:color w:val="FFFFFF"/>
                <w:sz w:val="20"/>
                <w:szCs w:val="20"/>
              </w:rPr>
              <w:t xml:space="preserve">Description &amp; Guidance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financials.ibnrmodel</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The IBNR estimation model used for reserve adequacy monitoring: Factor, BornhuetterFerguson, or Custom. Default: Factor. Factor-based IBNR uses development factors applied to the current case reserve.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financials.reservehistory.retainyears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Years of reserve history to retain in the active database. Default: 7 years. Regulatory requirements mandate retention for the applicable statute of limitations period.</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financials.duplicatepayment.windowdays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Lookback window in days for duplicate payment detection. Default: 365. Increase to catch fraud patterns that span more than one year.</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financials.deductible.integrationenabled</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Whether the BillingCenter integration for deductible collection is active. Default: false. Must be enabled and tested before production deployment.</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financials.recovery.autoapply</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Whether recovery receipts are automatically applied to the oldest outstanding exposure recovery reserve. Default: true. Disable if manual allocation is preferred.</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financials.maxpaymentrunsize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Maximum number of payments processed in a single payment file run. Default: 5000. Limit based on the payment processor's file size constraints.</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00"/>
        </w:tblCellMar>
      </w:tblPr>
      <w:tblGrid>
        <w:gridCol w:w="9360"/>
      </w:tblGrid>
      <w:tr>
        <w:tc>
          <w:tcPr>
            <w:tcW w:type="dxa" w:w="9360"/>
            <w:shd w:fill="5B2D8E" w:val="clear"/>
            <w:tcMar>
              <w:top w:type="dxa" w:w="300"/>
              <w:left w:type="dxa" w:w="400"/>
              <w:bottom w:type="dxa" w:w="300"/>
              <w:right w:type="dxa" w:w="400"/>
            </w:tcMar>
          </w:tcPr>
          <w:p>
            <w:pPr>
              <w:spacing w:after="60"/>
            </w:pPr>
            <w:r>
              <w:rPr>
                <w:rFonts w:ascii="Calibri" w:cs="Calibri" w:eastAsia="Calibri" w:hAnsi="Calibri"/>
                <w:b/>
                <w:bCs/>
                <w:caps/>
                <w:color w:val="F5A623"/>
                <w:spacing w:val="60"/>
                <w:sz w:val="18"/>
                <w:szCs w:val="18"/>
              </w:rPr>
              <w:t xml:space="preserve">RAPIDAI TECH™</w:t>
            </w:r>
          </w:p>
          <w:p>
            <w:pPr>
              <w:spacing w:after="80"/>
            </w:pPr>
            <w:r>
              <w:rPr>
                <w:rFonts w:ascii="Calibri" w:cs="Calibri" w:eastAsia="Calibri" w:hAnsi="Calibri"/>
                <w:b/>
                <w:bCs/>
                <w:color w:val="FFFFFF"/>
                <w:sz w:val="52"/>
                <w:szCs w:val="52"/>
              </w:rPr>
              <w:t xml:space="preserve">PART III</w:t>
            </w:r>
          </w:p>
          <w:p>
            <w:pPr>
              <w:spacing w:after="0"/>
            </w:pPr>
            <w:r>
              <w:rPr>
                <w:rFonts w:ascii="Calibri" w:cs="Calibri" w:eastAsia="Calibri" w:hAnsi="Calibri"/>
                <w:color w:val="E0E0E0"/>
                <w:sz w:val="24"/>
                <w:szCs w:val="24"/>
              </w:rPr>
              <w:t xml:space="preserve">BillingCenter — Billing Management</w:t>
            </w:r>
          </w:p>
        </w:tc>
      </w:tr>
    </w:tbl>
    <w:p>
      <w:r>
        <w:br w:type="page"/>
      </w:r>
    </w:p>
    <w:p>
      <w:pPr>
        <w:pStyle w:val="Heading1"/>
        <w:keepNext/>
        <w:keepLines/>
        <w:spacing w:after="160" w:before="400"/>
      </w:pPr>
      <w:r>
        <w:rPr>
          <w:rFonts w:ascii="Calibri" w:cs="Calibri" w:eastAsia="Calibri" w:hAnsi="Calibri"/>
          <w:b/>
          <w:bCs/>
          <w:color w:val="5B2D8E"/>
          <w:sz w:val="48"/>
          <w:szCs w:val="48"/>
        </w:rPr>
        <w:t xml:space="preserve">Chapter 8: BillingCenter Overview</w:t>
      </w:r>
    </w:p>
    <w:p>
      <w:pPr>
        <w:spacing w:after="120" w:before="80" w:line="276"/>
        <w:jc w:val="both"/>
      </w:pPr>
      <w:r>
        <w:rPr>
          <w:rFonts w:ascii="Calibri" w:cs="Calibri" w:eastAsia="Calibri" w:hAnsi="Calibri"/>
          <w:color w:val="4A4A4A"/>
          <w:sz w:val="22"/>
          <w:szCs w:val="22"/>
        </w:rPr>
        <w:t xml:space="preserve">BillingCenter is the Guidewire InsuranceSuite application for managing the financial relationship between a carrier and its policyholders. It handles premium billing, payment collection, commission calculation and payment, agency statement generation, delinquency management, and the financial reconciliation between insurance premiums earned and cash collected.</w:t>
      </w:r>
    </w:p>
    <w:p>
      <w:pPr>
        <w:spacing w:after="120" w:before="80" w:line="276"/>
        <w:jc w:val="both"/>
      </w:pPr>
      <w:r>
        <w:rPr>
          <w:rFonts w:ascii="Calibri" w:cs="Calibri" w:eastAsia="Calibri" w:hAnsi="Calibri"/>
          <w:color w:val="4A4A4A"/>
          <w:sz w:val="22"/>
          <w:szCs w:val="22"/>
        </w:rPr>
        <w:t xml:space="preserve">BillingCenter sits at the intersection of policy administration and financial accounting. It receives premium and coverage data from PolicyCenter via integration and translates those policy lifecycle events (new business, endorsements, renewals, cancellations) into billing transactions — charges, adjustments, and credits on the policyholder's billing account. The collected cash is then reconciled and transmitted to the carrier's general ledger system.</w:t>
      </w:r>
    </w:p>
    <w:p>
      <w:pPr>
        <w:pStyle w:val="Heading2"/>
        <w:keepNext/>
        <w:keepLines/>
        <w:spacing w:after="160" w:before="400"/>
      </w:pPr>
      <w:r>
        <w:rPr>
          <w:rFonts w:ascii="Calibri" w:cs="Calibri" w:eastAsia="Calibri" w:hAnsi="Calibri"/>
          <w:b/>
          <w:bCs/>
          <w:color w:val="5B2D8E"/>
          <w:sz w:val="36"/>
          <w:szCs w:val="36"/>
        </w:rPr>
        <w:t xml:space="preserve">8.1 Core Data Model</w:t>
      </w: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700"/>
        <w:gridCol w:w="6660"/>
      </w:tblGrid>
      <w:tr>
        <w:trPr>
          <w:tblHeader/>
        </w:trPr>
        <w:tc>
          <w:tcPr>
            <w:tcW w:type="dxa" w:w="2700"/>
            <w:shd w:fill="5B2D8E" w:val="clear"/>
            <w:tcMar>
              <w:top w:type="dxa" w:w="80"/>
              <w:left w:type="dxa" w:w="160"/>
              <w:bottom w:type="dxa" w:w="80"/>
              <w:right w:type="dxa" w:w="160"/>
            </w:tcMar>
          </w:tcPr>
          <w:p>
            <w:pPr>
              <w:spacing w:after="0"/>
            </w:pPr>
            <w:r>
              <w:rPr>
                <w:rFonts w:ascii="Calibri" w:cs="Calibri" w:eastAsia="Calibri" w:hAnsi="Calibri"/>
                <w:b/>
                <w:bCs/>
                <w:color w:val="FFFFFF"/>
                <w:sz w:val="20"/>
                <w:szCs w:val="20"/>
              </w:rPr>
              <w:t xml:space="preserve">Entity</w:t>
            </w:r>
          </w:p>
        </w:tc>
        <w:tc>
          <w:tcPr>
            <w:tcW w:type="dxa" w:w="6660"/>
            <w:shd w:fill="5B2D8E" w:val="clear"/>
            <w:tcMar>
              <w:top w:type="dxa" w:w="80"/>
              <w:left w:type="dxa" w:w="160"/>
              <w:bottom w:type="dxa" w:w="80"/>
              <w:right w:type="dxa" w:w="160"/>
            </w:tcMar>
          </w:tcPr>
          <w:p>
            <w:pPr>
              <w:spacing w:after="0"/>
            </w:pPr>
            <w:r>
              <w:rPr>
                <w:rFonts w:ascii="Calibri" w:cs="Calibri" w:eastAsia="Calibri" w:hAnsi="Calibri"/>
                <w:color w:val="FFFFFF"/>
                <w:sz w:val="20"/>
                <w:szCs w:val="20"/>
              </w:rPr>
              <w:t xml:space="preserve">Description</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BillingAccount</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The master account for a policyholder. All billing transactions are associated with a BillingAccount. An account can have multiple policies and can be structured as a primary account with sub-accounts for complex billing arrangements.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Policy (Billing)</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reference to the policy from PolicyCenter. In BillingCenter, the Policy entity holds billing-specific data about the policy: the billing plan, the payment plan, the agency, and the current charge status.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Charge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financial obligation placed on a BillingAccount. Charges include premium charges (from policy transactions), tax charges, and fee charges. Each charge has a due date, a charge amount, and a status.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Payment</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cash receipt applied to one or more charges on a BillingAccount. Payments can be applied manually or automatically according to a configured payment application rule.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BillingInstruction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Instructions from PolicyCenter to BillingCenter to create charges, adjustments, or other billing transactions as a result of a policy lifecycle event.</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Agency</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Represents a producing agency. Agencies earn commissions on premiums and receive periodic agency statements from BillingCenter.</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Commission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financial amount owed to an agent or agency based on premium booked. Commissions are calculated automatically by BillingCenter based on the commission schedule.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Delinquency</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Represents the state of a billing account that has missed one or more payment obligations. Delinquency triggers automated workflows including notices, late fees, and policy cancellation referrals.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WorkQueue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queue of asynchronous financial processing tasks managed by the Work Queue Engine. Work queues handle high-volume transaction processing without blocking the application.</w:t>
            </w:r>
          </w:p>
        </w:tc>
      </w:tr>
    </w:tbl>
    <w:p>
      <w:pPr>
        <w:pStyle w:val="Heading2"/>
        <w:keepNext/>
        <w:keepLines/>
        <w:spacing w:after="160" w:before="400"/>
      </w:pPr>
      <w:r>
        <w:rPr>
          <w:rFonts w:ascii="Calibri" w:cs="Calibri" w:eastAsia="Calibri" w:hAnsi="Calibri"/>
          <w:b/>
          <w:bCs/>
          <w:color w:val="5B2D8E"/>
          <w:sz w:val="36"/>
          <w:szCs w:val="36"/>
        </w:rPr>
        <w:t xml:space="preserve">8.2 Billing Plans and Payment Plans</w:t>
      </w:r>
    </w:p>
    <w:p>
      <w:pPr>
        <w:spacing w:after="120" w:before="80" w:line="276"/>
        <w:jc w:val="both"/>
      </w:pPr>
      <w:r>
        <w:rPr>
          <w:rFonts w:ascii="Calibri" w:cs="Calibri" w:eastAsia="Calibri" w:hAnsi="Calibri"/>
          <w:color w:val="4A4A4A"/>
          <w:sz w:val="22"/>
          <w:szCs w:val="22"/>
        </w:rPr>
        <w:t xml:space="preserve">BillingCenter uses two types of plans to govern the billing relationship with a policyholder: the Billing Plan and the Payment Plan. These plans are configured by the carrier and selected at policy issuance (or changed via endorsement).</w:t>
      </w:r>
    </w:p>
    <w:p>
      <w:pPr>
        <w:spacing w:after="120" w:before="80" w:line="276"/>
        <w:jc w:val="both"/>
      </w:pPr>
      <w:r>
        <w:rPr>
          <w:rFonts w:ascii="Calibri" w:cs="Calibri" w:eastAsia="Calibri" w:hAnsi="Calibri"/>
          <w:color w:val="4A4A4A"/>
          <w:sz w:val="22"/>
          <w:szCs w:val="22"/>
        </w:rPr>
        <w:t xml:space="preserve">The Billing Plan defines who receives the bill — the direct insured (direct billing), the producing agent (agency billing), or a third party (mortgage holder, fleet lessor). It also defines the billing cycle (monthly statement, anniversary billing) and the statement format.</w:t>
      </w:r>
    </w:p>
    <w:p>
      <w:pPr>
        <w:spacing w:after="120" w:before="80" w:line="276"/>
        <w:jc w:val="both"/>
      </w:pPr>
      <w:r>
        <w:rPr>
          <w:rFonts w:ascii="Calibri" w:cs="Calibri" w:eastAsia="Calibri" w:hAnsi="Calibri"/>
          <w:color w:val="4A4A4A"/>
          <w:sz w:val="22"/>
          <w:szCs w:val="22"/>
        </w:rPr>
        <w:t xml:space="preserve">The Payment Plan defines how the premium is divided into installments. Common payment plans include: Annual (one payment for the full term), Semi-Annual (two payments), Quarterly (four payments), Monthly (twelve payments), and custom plans configured by the carrier. Each installment has a defined amount and due 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thick" w:color="5B2D8E" w:sz="18"/>
              <w:bottom w:val="none"/>
              <w:right w:val="none"/>
            </w:tcBorders>
            <w:shd w:fill="F5F5F5" w:val="clear"/>
            <w:tcMar>
              <w:top w:type="dxa" w:w="120"/>
              <w:left w:type="dxa" w:w="200"/>
              <w:bottom w:type="dxa" w:w="120"/>
              <w:right w:type="dxa" w:w="200"/>
            </w:tcMar>
          </w:tcPr>
          <w:p>
            <w:pPr>
              <w:spacing w:after="0"/>
            </w:pPr>
            <w:r>
              <w:rPr>
                <w:rFonts w:ascii="Calibri" w:cs="Calibri" w:eastAsia="Calibri" w:hAnsi="Calibri"/>
                <w:i/>
                <w:iCs/>
                <w:color w:val="1A1A2E"/>
                <w:sz w:val="20"/>
                <w:szCs w:val="20"/>
              </w:rPr>
              <w:t xml:space="preserve">Implementation Note: The selection of billing plan and payment plan at policy inception has downstream impacts on commission calculation timing, delinquency processing, and the premium installment fee schedule. Ensure that billing plan and payment plan selection is governed by product-level configuration in PolicyCenter, not left as a free choice for agents.</w:t>
            </w:r>
          </w:p>
        </w:tc>
      </w:tr>
    </w:tbl>
    <w:p>
      <w:pPr>
        <w:pStyle w:val="Heading2"/>
        <w:keepNext/>
        <w:keepLines/>
        <w:spacing w:after="160" w:before="400"/>
      </w:pPr>
      <w:r>
        <w:rPr>
          <w:rFonts w:ascii="Calibri" w:cs="Calibri" w:eastAsia="Calibri" w:hAnsi="Calibri"/>
          <w:b/>
          <w:bCs/>
          <w:color w:val="5B2D8E"/>
          <w:sz w:val="36"/>
          <w:szCs w:val="36"/>
        </w:rPr>
        <w:t xml:space="preserve">8.3 Work Queue Engine</w:t>
      </w:r>
    </w:p>
    <w:p>
      <w:pPr>
        <w:spacing w:after="120" w:before="80" w:line="276"/>
        <w:jc w:val="both"/>
      </w:pPr>
      <w:r>
        <w:rPr>
          <w:rFonts w:ascii="Calibri" w:cs="Calibri" w:eastAsia="Calibri" w:hAnsi="Calibri"/>
          <w:color w:val="4A4A4A"/>
          <w:sz w:val="22"/>
          <w:szCs w:val="22"/>
        </w:rPr>
        <w:t xml:space="preserve">The Work Queue Engine (WQE) is the asynchronous processing backbone of BillingCenter. High-volume financial operations — premium charge creation, payment application, commission calculation, and delinquency processing — are handled as work queue items rather than synchronous transactions. This architecture ensures that BillingCenter remains responsive under load and that financial operations are reliably processed even when processing volumes spike.</w:t>
      </w:r>
    </w:p>
    <w:p>
      <w:pPr>
        <w:spacing w:after="120" w:before="80" w:line="276"/>
        <w:jc w:val="both"/>
      </w:pPr>
      <w:r>
        <w:rPr>
          <w:rFonts w:ascii="Calibri" w:cs="Calibri" w:eastAsia="Calibri" w:hAnsi="Calibri"/>
          <w:color w:val="4A4A4A"/>
          <w:sz w:val="22"/>
          <w:szCs w:val="22"/>
        </w:rPr>
        <w:t xml:space="preserve">Work queues in BillingCenter are typed — each type of financial operation has its own work queue with its own processing logic, priority, and retry behaviour. Work queue items are created by BillingCenter application logic and processed by the Work Queue Engine on a configurable schedule. Items that fail processing are automatically retried according to the configured retry policy and escalated if they continue to fail.</w:t>
      </w:r>
    </w:p>
    <w:p>
      <w:pPr>
        <w:spacing w:after="120" w:before="80" w:line="276"/>
        <w:jc w:val="both"/>
      </w:pPr>
      <w:r>
        <w:rPr>
          <w:rFonts w:ascii="Calibri" w:cs="Calibri" w:eastAsia="Calibri" w:hAnsi="Calibri"/>
          <w:color w:val="4A4A4A"/>
          <w:sz w:val="22"/>
          <w:szCs w:val="22"/>
        </w:rPr>
        <w:t xml:space="preserve">The Work Queue Engine also handles the integration with PolicyCenter and ClaimCenter. When BillingCenter receives a BillingInstruction from PolicyCenter (e.g., a new business premium charge), it creates a work queue item for premium charge creation. This asynchronous processing model ensures that the PolicyCenter bind operation is not blocked by BillingCenter processing.</w:t>
      </w:r>
    </w:p>
    <w:p>
      <w:pPr>
        <w:pStyle w:val="Heading2"/>
        <w:keepNext/>
        <w:keepLines/>
        <w:spacing w:after="160" w:before="400"/>
      </w:pPr>
      <w:r>
        <w:rPr>
          <w:rFonts w:ascii="Calibri" w:cs="Calibri" w:eastAsia="Calibri" w:hAnsi="Calibri"/>
          <w:b/>
          <w:bCs/>
          <w:color w:val="5B2D8E"/>
          <w:sz w:val="36"/>
          <w:szCs w:val="36"/>
        </w:rPr>
        <w:t xml:space="preserve">8.4 Delinquency Management</w:t>
      </w:r>
    </w:p>
    <w:p>
      <w:pPr>
        <w:spacing w:after="120" w:before="80" w:line="276"/>
        <w:jc w:val="both"/>
      </w:pPr>
      <w:r>
        <w:rPr>
          <w:rFonts w:ascii="Calibri" w:cs="Calibri" w:eastAsia="Calibri" w:hAnsi="Calibri"/>
          <w:color w:val="4A4A4A"/>
          <w:sz w:val="22"/>
          <w:szCs w:val="22"/>
        </w:rPr>
        <w:t xml:space="preserve">Delinquency management is the process by which BillingCenter identifies and acts on billing accounts that have missed payment obligations. The delinquency lifecycle in BillingCenter includes: missed payment detection, first notice generation, late fee application, cancellation referral to PolicyCenter, and reinstatement processing when payment is received.</w:t>
      </w:r>
    </w:p>
    <w:p>
      <w:pPr>
        <w:spacing w:after="120" w:before="80" w:line="276"/>
        <w:jc w:val="both"/>
      </w:pPr>
      <w:r>
        <w:rPr>
          <w:rFonts w:ascii="Calibri" w:cs="Calibri" w:eastAsia="Calibri" w:hAnsi="Calibri"/>
          <w:color w:val="4A4A4A"/>
          <w:sz w:val="22"/>
          <w:szCs w:val="22"/>
        </w:rPr>
        <w:t xml:space="preserve">BillingCenter's delinquency process is governed by delinquency plans. A Delinquency Plan defines the sequence of actions taken after a payment is missed, the timing of each action, and the conditions under which each action is applied. Delinquency plans are configurable by product, state, and billing plan to accommodate varying state regulatory requirements and carrier business rules.</w:t>
      </w:r>
    </w:p>
    <w:p>
      <w:pPr>
        <w:spacing w:after="120" w:before="80" w:line="276"/>
        <w:jc w:val="both"/>
      </w:pPr>
      <w:r>
        <w:rPr>
          <w:rFonts w:ascii="Calibri" w:cs="Calibri" w:eastAsia="Calibri" w:hAnsi="Calibri"/>
          <w:color w:val="4A4A4A"/>
          <w:sz w:val="22"/>
          <w:szCs w:val="22"/>
        </w:rPr>
        <w:t xml:space="preserve">State regulatory compliance is a major driver of delinquency plan configuration. Most states mandate specific notice periods, notice formats, and grace periods before a policy can be cancelled for non-payment. PolicyCenter's cancellation notice generation must be tightly coordinated with BillingCenter's delinquency processing to ensure that cancellations are not processed before the regulatory notice period has expired.</w:t>
      </w:r>
    </w:p>
    <w:p>
      <w:r>
        <w:br w:type="page"/>
      </w:r>
    </w:p>
    <w:p>
      <w:pPr>
        <w:pStyle w:val="Heading1"/>
        <w:keepNext/>
        <w:keepLines/>
        <w:spacing w:after="160" w:before="400"/>
      </w:pPr>
      <w:r>
        <w:rPr>
          <w:rFonts w:ascii="Calibri" w:cs="Calibri" w:eastAsia="Calibri" w:hAnsi="Calibri"/>
          <w:b/>
          <w:bCs/>
          <w:color w:val="5B2D8E"/>
          <w:sz w:val="48"/>
          <w:szCs w:val="48"/>
        </w:rPr>
        <w:t xml:space="preserve">Chapter 9: BillingCenter Configuration Parameters</w:t>
      </w:r>
    </w:p>
    <w:p>
      <w:pPr>
        <w:spacing w:after="120" w:before="80" w:line="276"/>
        <w:jc w:val="both"/>
      </w:pPr>
      <w:r>
        <w:rPr>
          <w:rFonts w:ascii="Calibri" w:cs="Calibri" w:eastAsia="Calibri" w:hAnsi="Calibri"/>
          <w:color w:val="4A4A4A"/>
          <w:sz w:val="22"/>
          <w:szCs w:val="22"/>
        </w:rPr>
        <w:t xml:space="preserve">BillingCenter configuration parameters are organized into functional domains that parallel the structure of the application. The parameters below represent the most commonly configured items in BillingCenter implementations.</w:t>
      </w:r>
    </w:p>
    <w:p>
      <w:pPr>
        <w:pStyle w:val="Heading2"/>
        <w:keepNext/>
        <w:keepLines/>
        <w:spacing w:after="160" w:before="400"/>
      </w:pPr>
      <w:r>
        <w:rPr>
          <w:rFonts w:ascii="Calibri" w:cs="Calibri" w:eastAsia="Calibri" w:hAnsi="Calibri"/>
          <w:b/>
          <w:bCs/>
          <w:color w:val="5B2D8E"/>
          <w:sz w:val="36"/>
          <w:szCs w:val="36"/>
        </w:rPr>
        <w:t xml:space="preserve">9.1 Financial Configuration</w:t>
      </w: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700"/>
        <w:gridCol w:w="6660"/>
      </w:tblGrid>
      <w:tr>
        <w:trPr>
          <w:tblHeader/>
        </w:trPr>
        <w:tc>
          <w:tcPr>
            <w:tcW w:type="dxa" w:w="2700"/>
            <w:shd w:fill="5B2D8E" w:val="clear"/>
            <w:tcMar>
              <w:top w:type="dxa" w:w="80"/>
              <w:left w:type="dxa" w:w="160"/>
              <w:bottom w:type="dxa" w:w="80"/>
              <w:right w:type="dxa" w:w="160"/>
            </w:tcMar>
          </w:tcPr>
          <w:p>
            <w:pPr>
              <w:spacing w:after="0"/>
            </w:pPr>
            <w:r>
              <w:rPr>
                <w:rFonts w:ascii="Calibri" w:cs="Calibri" w:eastAsia="Calibri" w:hAnsi="Calibri"/>
                <w:b/>
                <w:bCs/>
                <w:color w:val="FFFFFF"/>
                <w:sz w:val="20"/>
                <w:szCs w:val="20"/>
              </w:rPr>
              <w:t xml:space="preserve">Parameter</w:t>
            </w:r>
          </w:p>
        </w:tc>
        <w:tc>
          <w:tcPr>
            <w:tcW w:type="dxa" w:w="6660"/>
            <w:shd w:fill="5B2D8E" w:val="clear"/>
            <w:tcMar>
              <w:top w:type="dxa" w:w="80"/>
              <w:left w:type="dxa" w:w="160"/>
              <w:bottom w:type="dxa" w:w="80"/>
              <w:right w:type="dxa" w:w="160"/>
            </w:tcMar>
          </w:tcPr>
          <w:p>
            <w:pPr>
              <w:spacing w:after="0"/>
            </w:pPr>
            <w:r>
              <w:rPr>
                <w:rFonts w:ascii="Calibri" w:cs="Calibri" w:eastAsia="Calibri" w:hAnsi="Calibri"/>
                <w:color w:val="FFFFFF"/>
                <w:sz w:val="20"/>
                <w:szCs w:val="20"/>
              </w:rPr>
              <w:t xml:space="preserve">Description &amp; Guidance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financials.currency.default</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Default currency for the BillingCenter installation. Default: USD. Multi-currency deployments require additional configuration.</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financials.rounding.mode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Rounding mode applied to financial calculations: HalfUp, HalfDown, Ceiling, Floor. Default: HalfUp. Must match the carrier's actuarial and accounting rounding conventions.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financials.installmentfee.amount</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Default installment fee charged when a policyholder selects an installment payment plan. Default: $5.00. Must comply with state regulations that cap or prohibit installment fees.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financials.latefee.amount</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Default late payment fee charged when a payment is received after the due date. Default: $25.00. Subject to state regulatory limits.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financials.nsfee.amount</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Non-sufficient funds fee charged when a payment is returned by the bank. Default: $30.00. Subject to state limits and must be disclosed in the billing plan.</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financials.minimumpayment</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Minimum payment amount accepted by the payment processing system. Default: $1.00. Prevents processing of nominal payments that cost more to process than they collect.</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financials.suspenseaccount</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GL account code to which unallocated payment receipts are posted. Must match the carrier's chart of accounts.</w:t>
            </w:r>
          </w:p>
        </w:tc>
      </w:tr>
    </w:tbl>
    <w:p>
      <w:pPr>
        <w:pStyle w:val="Heading2"/>
        <w:keepNext/>
        <w:keepLines/>
        <w:spacing w:after="160" w:before="400"/>
      </w:pPr>
      <w:r>
        <w:rPr>
          <w:rFonts w:ascii="Calibri" w:cs="Calibri" w:eastAsia="Calibri" w:hAnsi="Calibri"/>
          <w:b/>
          <w:bCs/>
          <w:color w:val="5B2D8E"/>
          <w:sz w:val="36"/>
          <w:szCs w:val="36"/>
        </w:rPr>
        <w:t xml:space="preserve">9.2 Delinquency Configuration</w:t>
      </w: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700"/>
        <w:gridCol w:w="6660"/>
      </w:tblGrid>
      <w:tr>
        <w:trPr>
          <w:tblHeader/>
        </w:trPr>
        <w:tc>
          <w:tcPr>
            <w:tcW w:type="dxa" w:w="2700"/>
            <w:shd w:fill="5B2D8E" w:val="clear"/>
            <w:tcMar>
              <w:top w:type="dxa" w:w="80"/>
              <w:left w:type="dxa" w:w="160"/>
              <w:bottom w:type="dxa" w:w="80"/>
              <w:right w:type="dxa" w:w="160"/>
            </w:tcMar>
          </w:tcPr>
          <w:p>
            <w:pPr>
              <w:spacing w:after="0"/>
            </w:pPr>
            <w:r>
              <w:rPr>
                <w:rFonts w:ascii="Calibri" w:cs="Calibri" w:eastAsia="Calibri" w:hAnsi="Calibri"/>
                <w:b/>
                <w:bCs/>
                <w:color w:val="FFFFFF"/>
                <w:sz w:val="20"/>
                <w:szCs w:val="20"/>
              </w:rPr>
              <w:t xml:space="preserve">Parameter</w:t>
            </w:r>
          </w:p>
        </w:tc>
        <w:tc>
          <w:tcPr>
            <w:tcW w:type="dxa" w:w="6660"/>
            <w:shd w:fill="5B2D8E" w:val="clear"/>
            <w:tcMar>
              <w:top w:type="dxa" w:w="80"/>
              <w:left w:type="dxa" w:w="160"/>
              <w:bottom w:type="dxa" w:w="80"/>
              <w:right w:type="dxa" w:w="160"/>
            </w:tcMar>
          </w:tcPr>
          <w:p>
            <w:pPr>
              <w:spacing w:after="0"/>
            </w:pPr>
            <w:r>
              <w:rPr>
                <w:rFonts w:ascii="Calibri" w:cs="Calibri" w:eastAsia="Calibri" w:hAnsi="Calibri"/>
                <w:color w:val="FFFFFF"/>
                <w:sz w:val="20"/>
                <w:szCs w:val="20"/>
              </w:rPr>
              <w:t xml:space="preserve">Description &amp; Guidance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delinquency.graceperioddays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Number of days after the payment due date before a delinquency is triggered. Default: 10. Must accommodate state-mandated grace periods.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delinquency.firstnoticedays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Days after delinquency trigger before the first notice is generated. Default: 5. The first notice informs the insured of the missed payment and the consequences.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delinquency.secondnoticedays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Days after the first notice before the second (final) notice is generated. Default: 15. The second notice typically states the cancellation date.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delinquency.cancellationreferraldays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Days after the second notice before BillingCenter sends a cancellation referral to PolicyCenter. Must leave at least the state-required notice period between the referral and the cancellation effective date.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delinquency.reinstatementwindowdays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Number of days after a cancellation for non-payment within which the insured can reinstate by paying the outstanding balance. Default: 30.</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delinquency.autorescindminimum</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If the outstanding balance falls below this amount due to a credit or adjustment, the delinquency is automatically rescinded. Default: $5.00.</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delinquency.escalationthreshold</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Number of delinquency events on an account within a rolling 12-month period that triggers an underwriting alert. Default: 2.</w:t>
            </w:r>
          </w:p>
        </w:tc>
      </w:tr>
    </w:tbl>
    <w:p>
      <w:pPr>
        <w:pStyle w:val="Heading2"/>
        <w:keepNext/>
        <w:keepLines/>
        <w:spacing w:after="160" w:before="400"/>
      </w:pPr>
      <w:r>
        <w:rPr>
          <w:rFonts w:ascii="Calibri" w:cs="Calibri" w:eastAsia="Calibri" w:hAnsi="Calibri"/>
          <w:b/>
          <w:bCs/>
          <w:color w:val="5B2D8E"/>
          <w:sz w:val="36"/>
          <w:szCs w:val="36"/>
        </w:rPr>
        <w:t xml:space="preserve">9.3 Work Queue Configuration</w:t>
      </w: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700"/>
        <w:gridCol w:w="6660"/>
      </w:tblGrid>
      <w:tr>
        <w:trPr>
          <w:tblHeader/>
        </w:trPr>
        <w:tc>
          <w:tcPr>
            <w:tcW w:type="dxa" w:w="2700"/>
            <w:shd w:fill="5B2D8E" w:val="clear"/>
            <w:tcMar>
              <w:top w:type="dxa" w:w="80"/>
              <w:left w:type="dxa" w:w="160"/>
              <w:bottom w:type="dxa" w:w="80"/>
              <w:right w:type="dxa" w:w="160"/>
            </w:tcMar>
          </w:tcPr>
          <w:p>
            <w:pPr>
              <w:spacing w:after="0"/>
            </w:pPr>
            <w:r>
              <w:rPr>
                <w:rFonts w:ascii="Calibri" w:cs="Calibri" w:eastAsia="Calibri" w:hAnsi="Calibri"/>
                <w:b/>
                <w:bCs/>
                <w:color w:val="FFFFFF"/>
                <w:sz w:val="20"/>
                <w:szCs w:val="20"/>
              </w:rPr>
              <w:t xml:space="preserve">Parameter</w:t>
            </w:r>
          </w:p>
        </w:tc>
        <w:tc>
          <w:tcPr>
            <w:tcW w:type="dxa" w:w="6660"/>
            <w:shd w:fill="5B2D8E" w:val="clear"/>
            <w:tcMar>
              <w:top w:type="dxa" w:w="80"/>
              <w:left w:type="dxa" w:w="160"/>
              <w:bottom w:type="dxa" w:w="80"/>
              <w:right w:type="dxa" w:w="160"/>
            </w:tcMar>
          </w:tcPr>
          <w:p>
            <w:pPr>
              <w:spacing w:after="0"/>
            </w:pPr>
            <w:r>
              <w:rPr>
                <w:rFonts w:ascii="Calibri" w:cs="Calibri" w:eastAsia="Calibri" w:hAnsi="Calibri"/>
                <w:color w:val="FFFFFF"/>
                <w:sz w:val="20"/>
                <w:szCs w:val="20"/>
              </w:rPr>
              <w:t xml:space="preserve">Description &amp; Guidance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workqueue.maxthreads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Maximum threads available to the Work Queue Engine. Default: 8. Increase for high-volume implementations; ensure database connection pool is sized accordingly.</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workqueue.pollingintervalms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Interval in milliseconds between work queue polling cycles. Default: 5000 (5 seconds). Reduce to improve throughput in high-volume implementations; increase to reduce database load.</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workqueue.maxbatchsize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Maximum items processed per work queue batch. Default: 200. Balance between throughput and transaction size.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workqueue.retryattempts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Number of retry attempts for failed work queue items before marking as permanently failed. Default: 3.</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workqueue.retrydelaymins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Minutes between retry attempts. Default: 10.</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workqueue.alertonfailure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Whether to generate an operational alert when a work queue item is permanently failed. Default: true. Essential for monitoring financial processing health.</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workqueue.auditlog</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Whether to maintain a detailed audit log of all work queue item transitions. Default: true in production. Creates significant log volume but essential for financial reconciliation.</w:t>
            </w:r>
          </w:p>
        </w:tc>
      </w:tr>
    </w:tbl>
    <w:p>
      <w:pPr>
        <w:pStyle w:val="Heading2"/>
        <w:keepNext/>
        <w:keepLines/>
        <w:spacing w:after="160" w:before="400"/>
      </w:pPr>
      <w:r>
        <w:rPr>
          <w:rFonts w:ascii="Calibri" w:cs="Calibri" w:eastAsia="Calibri" w:hAnsi="Calibri"/>
          <w:b/>
          <w:bCs/>
          <w:color w:val="5B2D8E"/>
          <w:sz w:val="36"/>
          <w:szCs w:val="36"/>
        </w:rPr>
        <w:t xml:space="preserve">9.4 Commission Configuration</w:t>
      </w: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700"/>
        <w:gridCol w:w="6660"/>
      </w:tblGrid>
      <w:tr>
        <w:trPr>
          <w:tblHeader/>
        </w:trPr>
        <w:tc>
          <w:tcPr>
            <w:tcW w:type="dxa" w:w="2700"/>
            <w:shd w:fill="5B2D8E" w:val="clear"/>
            <w:tcMar>
              <w:top w:type="dxa" w:w="80"/>
              <w:left w:type="dxa" w:w="160"/>
              <w:bottom w:type="dxa" w:w="80"/>
              <w:right w:type="dxa" w:w="160"/>
            </w:tcMar>
          </w:tcPr>
          <w:p>
            <w:pPr>
              <w:spacing w:after="0"/>
            </w:pPr>
            <w:r>
              <w:rPr>
                <w:rFonts w:ascii="Calibri" w:cs="Calibri" w:eastAsia="Calibri" w:hAnsi="Calibri"/>
                <w:b/>
                <w:bCs/>
                <w:color w:val="FFFFFF"/>
                <w:sz w:val="20"/>
                <w:szCs w:val="20"/>
              </w:rPr>
              <w:t xml:space="preserve">Parameter</w:t>
            </w:r>
          </w:p>
        </w:tc>
        <w:tc>
          <w:tcPr>
            <w:tcW w:type="dxa" w:w="6660"/>
            <w:shd w:fill="5B2D8E" w:val="clear"/>
            <w:tcMar>
              <w:top w:type="dxa" w:w="80"/>
              <w:left w:type="dxa" w:w="160"/>
              <w:bottom w:type="dxa" w:w="80"/>
              <w:right w:type="dxa" w:w="160"/>
            </w:tcMar>
          </w:tcPr>
          <w:p>
            <w:pPr>
              <w:spacing w:after="0"/>
            </w:pPr>
            <w:r>
              <w:rPr>
                <w:rFonts w:ascii="Calibri" w:cs="Calibri" w:eastAsia="Calibri" w:hAnsi="Calibri"/>
                <w:color w:val="FFFFFF"/>
                <w:sz w:val="20"/>
                <w:szCs w:val="20"/>
              </w:rPr>
              <w:t xml:space="preserve">Description &amp; Guidance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commission.defaultrate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Default commission rate applied when no specific commission schedule matches. Default: 0.0 (no commission paid without explicit schedule). Set to 0 intentionally — never rely on a default commission rate in production.</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commission.paymentcycle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How frequently commission statements are generated and commission checks are issued: Weekly, Biweekly, Monthly. Default: Monthly.</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commission.holddays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Number of days after premium is earned before commission on that premium is released for payment. Default: 0. Increase for lines with high return premium risk.</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commission.chargebackwindowdays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Number of days after policy cancellation within which commission paid on cancelled premium is charged back to the agent. Default: 365.</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commission.minpayoutamount</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Minimum commission balance required to generate a commission payment. Default: $50.00. Prevents processing of trivial commission amounts.</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00"/>
        </w:tblCellMar>
      </w:tblPr>
      <w:tblGrid>
        <w:gridCol w:w="9360"/>
      </w:tblGrid>
      <w:tr>
        <w:tc>
          <w:tcPr>
            <w:tcW w:type="dxa" w:w="9360"/>
            <w:shd w:fill="5B2D8E" w:val="clear"/>
            <w:tcMar>
              <w:top w:type="dxa" w:w="300"/>
              <w:left w:type="dxa" w:w="400"/>
              <w:bottom w:type="dxa" w:w="300"/>
              <w:right w:type="dxa" w:w="400"/>
            </w:tcMar>
          </w:tcPr>
          <w:p>
            <w:pPr>
              <w:spacing w:after="60"/>
            </w:pPr>
            <w:r>
              <w:rPr>
                <w:rFonts w:ascii="Calibri" w:cs="Calibri" w:eastAsia="Calibri" w:hAnsi="Calibri"/>
                <w:b/>
                <w:bCs/>
                <w:caps/>
                <w:color w:val="F5A623"/>
                <w:spacing w:val="60"/>
                <w:sz w:val="18"/>
                <w:szCs w:val="18"/>
              </w:rPr>
              <w:t xml:space="preserve">RAPIDAI TECH™</w:t>
            </w:r>
          </w:p>
          <w:p>
            <w:pPr>
              <w:spacing w:after="80"/>
            </w:pPr>
            <w:r>
              <w:rPr>
                <w:rFonts w:ascii="Calibri" w:cs="Calibri" w:eastAsia="Calibri" w:hAnsi="Calibri"/>
                <w:b/>
                <w:bCs/>
                <w:color w:val="FFFFFF"/>
                <w:sz w:val="52"/>
                <w:szCs w:val="52"/>
              </w:rPr>
              <w:t xml:space="preserve">PART IV</w:t>
            </w:r>
          </w:p>
          <w:p>
            <w:pPr>
              <w:spacing w:after="0"/>
            </w:pPr>
            <w:r>
              <w:rPr>
                <w:rFonts w:ascii="Calibri" w:cs="Calibri" w:eastAsia="Calibri" w:hAnsi="Calibri"/>
                <w:color w:val="E0E0E0"/>
                <w:sz w:val="24"/>
                <w:szCs w:val="24"/>
              </w:rPr>
              <w:t xml:space="preserve">Integration Architecture &amp; Patterns</w:t>
            </w:r>
          </w:p>
        </w:tc>
      </w:tr>
    </w:tbl>
    <w:p>
      <w:r>
        <w:br w:type="page"/>
      </w:r>
    </w:p>
    <w:p>
      <w:pPr>
        <w:pStyle w:val="Heading1"/>
        <w:keepNext/>
        <w:keepLines/>
        <w:spacing w:after="160" w:before="400"/>
      </w:pPr>
      <w:r>
        <w:rPr>
          <w:rFonts w:ascii="Calibri" w:cs="Calibri" w:eastAsia="Calibri" w:hAnsi="Calibri"/>
          <w:b/>
          <w:bCs/>
          <w:color w:val="5B2D8E"/>
          <w:sz w:val="48"/>
          <w:szCs w:val="48"/>
        </w:rPr>
        <w:t xml:space="preserve">Chapter 10: Integration Architecture Overview</w:t>
      </w:r>
    </w:p>
    <w:p>
      <w:pPr>
        <w:spacing w:after="120" w:before="80" w:line="276"/>
        <w:jc w:val="both"/>
      </w:pPr>
      <w:r>
        <w:rPr>
          <w:rFonts w:ascii="Calibri" w:cs="Calibri" w:eastAsia="Calibri" w:hAnsi="Calibri"/>
          <w:color w:val="4A4A4A"/>
          <w:sz w:val="22"/>
          <w:szCs w:val="22"/>
        </w:rPr>
        <w:t xml:space="preserve">The Guidewire InsuranceSuite provides multiple integration patterns for connecting PolicyCenter, ClaimCenter, and BillingCenter to external systems. Selecting the right integration pattern is one of the most consequential architectural decisions in a Guidewire implementation. The wrong choice can create technical debt that is expensive to correct and can limit the carrier's ability to adapt as their technology landscape evolves.</w:t>
      </w:r>
    </w:p>
    <w:p>
      <w:pPr>
        <w:spacing w:after="120" w:before="80" w:line="276"/>
        <w:jc w:val="both"/>
      </w:pPr>
      <w:r>
        <w:rPr>
          <w:rFonts w:ascii="Calibri" w:cs="Calibri" w:eastAsia="Calibri" w:hAnsi="Calibri"/>
          <w:color w:val="4A4A4A"/>
          <w:sz w:val="22"/>
          <w:szCs w:val="22"/>
        </w:rPr>
        <w:t xml:space="preserve">Guidewire provides three primary integration mechanisms: SOAP Web Services (for traditional enterprise integration), the Cloud API (a REST-based API for modern integration patterns), and the Plugin Framework (for embedding custom business logic and third-party service integration within the application). These mechanisms are complementary, not mutually exclusive — a typical implementation uses all three.</w:t>
      </w:r>
    </w:p>
    <w:p>
      <w:pPr>
        <w:pStyle w:val="Heading2"/>
        <w:keepNext/>
        <w:keepLines/>
        <w:spacing w:after="160" w:before="400"/>
      </w:pPr>
      <w:r>
        <w:rPr>
          <w:rFonts w:ascii="Calibri" w:cs="Calibri" w:eastAsia="Calibri" w:hAnsi="Calibri"/>
          <w:b/>
          <w:bCs/>
          <w:color w:val="5B2D8E"/>
          <w:sz w:val="36"/>
          <w:szCs w:val="36"/>
        </w:rPr>
        <w:t xml:space="preserve">10.1 Integration Pattern Selection</w:t>
      </w: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700"/>
        <w:gridCol w:w="6660"/>
      </w:tblGrid>
      <w:tr>
        <w:trPr>
          <w:tblHeader/>
        </w:trPr>
        <w:tc>
          <w:tcPr>
            <w:tcW w:type="dxa" w:w="2700"/>
            <w:shd w:fill="5B2D8E" w:val="clear"/>
            <w:tcMar>
              <w:top w:type="dxa" w:w="80"/>
              <w:left w:type="dxa" w:w="160"/>
              <w:bottom w:type="dxa" w:w="80"/>
              <w:right w:type="dxa" w:w="160"/>
            </w:tcMar>
          </w:tcPr>
          <w:p>
            <w:pPr>
              <w:spacing w:after="0"/>
            </w:pPr>
            <w:r>
              <w:rPr>
                <w:rFonts w:ascii="Calibri" w:cs="Calibri" w:eastAsia="Calibri" w:hAnsi="Calibri"/>
                <w:b/>
                <w:bCs/>
                <w:color w:val="FFFFFF"/>
                <w:sz w:val="20"/>
                <w:szCs w:val="20"/>
              </w:rPr>
              <w:t xml:space="preserve">Pattern</w:t>
            </w:r>
          </w:p>
        </w:tc>
        <w:tc>
          <w:tcPr>
            <w:tcW w:type="dxa" w:w="6660"/>
            <w:shd w:fill="5B2D8E" w:val="clear"/>
            <w:tcMar>
              <w:top w:type="dxa" w:w="80"/>
              <w:left w:type="dxa" w:w="160"/>
              <w:bottom w:type="dxa" w:w="80"/>
              <w:right w:type="dxa" w:w="160"/>
            </w:tcMar>
          </w:tcPr>
          <w:p>
            <w:pPr>
              <w:spacing w:after="0"/>
            </w:pPr>
            <w:r>
              <w:rPr>
                <w:rFonts w:ascii="Calibri" w:cs="Calibri" w:eastAsia="Calibri" w:hAnsi="Calibri"/>
                <w:color w:val="FFFFFF"/>
                <w:sz w:val="20"/>
                <w:szCs w:val="20"/>
              </w:rPr>
              <w:t xml:space="preserve">Selection Guidance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SOAP Web Services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Best for: synchronous request-response integration with external systems that already speak SOAP; legacy ESB/middleware integration; multi-step workflows that span PolicyCenter, ClaimCenter, and BillingCenter via a central orchestrator. Not suitable for: high-volume event-driven integration; modern API consumers (prefer REST).</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Cloud API (REST)</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Best for: integration with modern API consumers (web portals, mobile apps, third-party insurtechs); policyholder and agent self-service applications; event-driven integration via webhooks. Not suitable for: complex business logic that requires server-side Gosu evaluation; high-latency synchronous processes.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Plugin Framework</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Best for: embedding third-party service calls within the Guidewire application (geocoding, credit scoring, motor vehicle report retrieval, document generation, payment processing); custom business logic that must execute within the transaction boundary. Not suitable for: external system integration that should be loosely coupled; batch data exchange.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Messaging / Async</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Best for: event-driven integration where external systems need to react to Guidewire events (claim opened, policy bound, payment received). Implemented via Guidewire's Messaging framework (JMS or Kafka in cloud) in combination with the Plugin or Cloud API.</w:t>
            </w:r>
          </w:p>
        </w:tc>
      </w:tr>
    </w:tbl>
    <w:p>
      <w:pPr>
        <w:pStyle w:val="Heading2"/>
        <w:keepNext/>
        <w:keepLines/>
        <w:spacing w:after="160" w:before="400"/>
      </w:pPr>
      <w:r>
        <w:rPr>
          <w:rFonts w:ascii="Calibri" w:cs="Calibri" w:eastAsia="Calibri" w:hAnsi="Calibri"/>
          <w:b/>
          <w:bCs/>
          <w:color w:val="5B2D8E"/>
          <w:sz w:val="36"/>
          <w:szCs w:val="36"/>
        </w:rPr>
        <w:t xml:space="preserve">10.2 Integration Security</w:t>
      </w:r>
    </w:p>
    <w:p>
      <w:pPr>
        <w:spacing w:after="120" w:before="80" w:line="276"/>
        <w:jc w:val="both"/>
      </w:pPr>
      <w:r>
        <w:rPr>
          <w:rFonts w:ascii="Calibri" w:cs="Calibri" w:eastAsia="Calibri" w:hAnsi="Calibri"/>
          <w:color w:val="4A4A4A"/>
          <w:sz w:val="22"/>
          <w:szCs w:val="22"/>
        </w:rPr>
        <w:t xml:space="preserve">All integration with Guidewire applications must be authenticated. The supported authentication mechanisms vary by integration pattern and deployment model.</w:t>
      </w:r>
    </w:p>
    <w:p>
      <w:pPr>
        <w:spacing w:after="120" w:before="80" w:line="276"/>
        <w:jc w:val="both"/>
      </w:pPr>
      <w:r>
        <w:rPr>
          <w:rFonts w:ascii="Calibri" w:cs="Calibri" w:eastAsia="Calibri" w:hAnsi="Calibri"/>
          <w:color w:val="4A4A4A"/>
          <w:sz w:val="22"/>
          <w:szCs w:val="22"/>
        </w:rPr>
        <w:t xml:space="preserve">For Cloud API (REST) integrations, OAuth 2.0 Client Credentials flow is the required authentication mechanism. Each external system receives a client ID and client secret, which are used to obtain a time-limited access token from the Guidewire authorization server. The access token is included in the Authorization header of each API request.</w:t>
      </w:r>
    </w:p>
    <w:p>
      <w:pPr>
        <w:spacing w:after="120" w:before="80" w:line="276"/>
        <w:jc w:val="both"/>
      </w:pPr>
      <w:r>
        <w:rPr>
          <w:rFonts w:ascii="Calibri" w:cs="Calibri" w:eastAsia="Calibri" w:hAnsi="Calibri"/>
          <w:color w:val="4A4A4A"/>
          <w:sz w:val="22"/>
          <w:szCs w:val="22"/>
        </w:rPr>
        <w:t xml:space="preserve">For SOAP web service integrations, OAuth 2.0 is also the preferred authentication mechanism. However, the older WS-Security (Username Token and X.509 certificate) patterns remain supported for backward compatibility. Basic Authentication over TLS is supported but not recommended for new integrations.</w:t>
      </w:r>
    </w:p>
    <w:p>
      <w:pPr>
        <w:spacing w:after="120" w:before="80" w:line="276"/>
        <w:jc w:val="both"/>
      </w:pPr>
      <w:r>
        <w:rPr>
          <w:rFonts w:ascii="Calibri" w:cs="Calibri" w:eastAsia="Calibri" w:hAnsi="Calibri"/>
          <w:color w:val="4A4A4A"/>
          <w:sz w:val="22"/>
          <w:szCs w:val="22"/>
        </w:rPr>
        <w:t xml:space="preserve">The Guidewire plugin framework executes within the application server's security context. Plugins do not require separate authentication for Guidewire APIs they call, as they execute with the permissions of the authenticated user context. However, plugins that call external services (e.g., a motor vehicle report vendor) must manage their own credentials for those external services, which are typically stored in encrypted configuration files or the carrier's secrets management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thick" w:color="5B2D8E" w:sz="18"/>
              <w:bottom w:val="none"/>
              <w:right w:val="none"/>
            </w:tcBorders>
            <w:shd w:fill="F5F5F5" w:val="clear"/>
            <w:tcMar>
              <w:top w:type="dxa" w:w="120"/>
              <w:left w:type="dxa" w:w="200"/>
              <w:bottom w:type="dxa" w:w="120"/>
              <w:right w:type="dxa" w:w="200"/>
            </w:tcMar>
          </w:tcPr>
          <w:p>
            <w:pPr>
              <w:spacing w:after="0"/>
            </w:pPr>
            <w:r>
              <w:rPr>
                <w:rFonts w:ascii="Calibri" w:cs="Calibri" w:eastAsia="Calibri" w:hAnsi="Calibri"/>
                <w:i/>
                <w:iCs/>
                <w:color w:val="1A1A2E"/>
                <w:sz w:val="20"/>
                <w:szCs w:val="20"/>
              </w:rPr>
              <w:t xml:space="preserve">Security Warning: Never store integration credentials in plain text in configuration files or version control. Use your carrier's secrets management platform (HashiCorp Vault, AWS Secrets Manager, Azure Key Vault) for all integration credentials. Rotate credentials on a defined schedule and immediately upon any suspected compromise.</w:t>
            </w:r>
          </w:p>
        </w:tc>
      </w:tr>
    </w:tbl>
    <w:p>
      <w:pPr>
        <w:pStyle w:val="Heading2"/>
        <w:keepNext/>
        <w:keepLines/>
        <w:spacing w:after="160" w:before="400"/>
      </w:pPr>
      <w:r>
        <w:rPr>
          <w:rFonts w:ascii="Calibri" w:cs="Calibri" w:eastAsia="Calibri" w:hAnsi="Calibri"/>
          <w:b/>
          <w:bCs/>
          <w:color w:val="5B2D8E"/>
          <w:sz w:val="36"/>
          <w:szCs w:val="36"/>
        </w:rPr>
        <w:t xml:space="preserve">10.3 PublicIDs and Data Mapping</w:t>
      </w:r>
    </w:p>
    <w:p>
      <w:pPr>
        <w:spacing w:after="120" w:before="80" w:line="276"/>
        <w:jc w:val="both"/>
      </w:pPr>
      <w:r>
        <w:rPr>
          <w:rFonts w:ascii="Calibri" w:cs="Calibri" w:eastAsia="Calibri" w:hAnsi="Calibri"/>
          <w:color w:val="4A4A4A"/>
          <w:sz w:val="22"/>
          <w:szCs w:val="22"/>
        </w:rPr>
        <w:t xml:space="preserve">PublicIDs are the stable external identifiers for Guidewire entities. When integrating with external systems, PublicIDs should always be used as the reference key — never internal database IDs (which are implementation-specific and not stable across database migrations or environment restores). Every Guidewire entity that is designed to be referenced externally has a PublicID field.</w:t>
      </w:r>
    </w:p>
    <w:p>
      <w:pPr>
        <w:spacing w:after="120" w:before="80" w:line="276"/>
        <w:jc w:val="both"/>
      </w:pPr>
      <w:r>
        <w:rPr>
          <w:rFonts w:ascii="Calibri" w:cs="Calibri" w:eastAsia="Calibri" w:hAnsi="Calibri"/>
          <w:color w:val="4A4A4A"/>
          <w:sz w:val="22"/>
          <w:szCs w:val="22"/>
        </w:rPr>
        <w:t xml:space="preserve">PublicIDs are typically assigned at entity creation and never change. They are used in SOAP web service parameters, Cloud API resource paths, and messaging payloads. External systems should store and use the PublicID when they need to reference a specific Guidewire record in subsequent interactions.</w:t>
      </w:r>
    </w:p>
    <w:p>
      <w:pPr>
        <w:spacing w:after="120" w:before="80" w:line="276"/>
        <w:jc w:val="both"/>
      </w:pPr>
      <w:r>
        <w:rPr>
          <w:rFonts w:ascii="Calibri" w:cs="Calibri" w:eastAsia="Calibri" w:hAnsi="Calibri"/>
          <w:color w:val="4A4A4A"/>
          <w:sz w:val="22"/>
          <w:szCs w:val="22"/>
        </w:rPr>
        <w:t xml:space="preserve">Data mapping — the translation of data between Guidewire's internal model and the external system's model — is one of the most labour-intensive aspects of Guidewire integration. The Guidewire Cloud API provides schema documentation that defines the shape of each resource and the valid values for each field. SOAP web services provide WSDL and XSD schema files. In both cases, careful analysis of the external system's data model is required to build accurate, maintainable mappings.</w:t>
      </w:r>
    </w:p>
    <w:p>
      <w:r>
        <w:br w:type="page"/>
      </w:r>
    </w:p>
    <w:p>
      <w:pPr>
        <w:pStyle w:val="Heading1"/>
        <w:keepNext/>
        <w:keepLines/>
        <w:spacing w:after="160" w:before="400"/>
      </w:pPr>
      <w:r>
        <w:rPr>
          <w:rFonts w:ascii="Calibri" w:cs="Calibri" w:eastAsia="Calibri" w:hAnsi="Calibri"/>
          <w:b/>
          <w:bCs/>
          <w:color w:val="5B2D8E"/>
          <w:sz w:val="48"/>
          <w:szCs w:val="48"/>
        </w:rPr>
        <w:t xml:space="preserve">Chapter 11: SOAP Web Services</w:t>
      </w:r>
    </w:p>
    <w:p>
      <w:pPr>
        <w:spacing w:after="120" w:before="80" w:line="276"/>
        <w:jc w:val="both"/>
      </w:pPr>
      <w:r>
        <w:rPr>
          <w:rFonts w:ascii="Calibri" w:cs="Calibri" w:eastAsia="Calibri" w:hAnsi="Calibri"/>
          <w:color w:val="4A4A4A"/>
          <w:sz w:val="22"/>
          <w:szCs w:val="22"/>
        </w:rPr>
        <w:t xml:space="preserve">Guidewire InsuranceSuite exposes a comprehensive set of SOAP web services for each application. These services provide programmatic access to the core business functions of each product, enabling external systems to create, retrieve, and modify data within the application. SOAP web services use the XML-based SOAP protocol with WSDL service contracts, making them interoperable with any SOAP-capable middleware or application.</w:t>
      </w:r>
    </w:p>
    <w:p>
      <w:pPr>
        <w:pStyle w:val="Heading2"/>
        <w:keepNext/>
        <w:keepLines/>
        <w:spacing w:after="160" w:before="400"/>
      </w:pPr>
      <w:r>
        <w:rPr>
          <w:rFonts w:ascii="Calibri" w:cs="Calibri" w:eastAsia="Calibri" w:hAnsi="Calibri"/>
          <w:b/>
          <w:bCs/>
          <w:color w:val="5B2D8E"/>
          <w:sz w:val="36"/>
          <w:szCs w:val="36"/>
        </w:rPr>
        <w:t xml:space="preserve">11.1 PolicyCenter SOAP Web Services</w:t>
      </w:r>
    </w:p>
    <w:p>
      <w:pPr>
        <w:spacing w:after="120" w:before="80" w:line="276"/>
        <w:jc w:val="both"/>
      </w:pPr>
      <w:r>
        <w:rPr>
          <w:rFonts w:ascii="Calibri" w:cs="Calibri" w:eastAsia="Calibri" w:hAnsi="Calibri"/>
          <w:color w:val="4A4A4A"/>
          <w:sz w:val="22"/>
          <w:szCs w:val="22"/>
        </w:rPr>
        <w:t xml:space="preserve">PolicyCenter exposes SOAP web services for Account management, Policy search and retrieval, and Job operations. The primary services are:</w:t>
      </w: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700"/>
        <w:gridCol w:w="6660"/>
      </w:tblGrid>
      <w:tr>
        <w:trPr>
          <w:tblHeader/>
        </w:trPr>
        <w:tc>
          <w:tcPr>
            <w:tcW w:type="dxa" w:w="2700"/>
            <w:shd w:fill="5B2D8E" w:val="clear"/>
            <w:tcMar>
              <w:top w:type="dxa" w:w="80"/>
              <w:left w:type="dxa" w:w="160"/>
              <w:bottom w:type="dxa" w:w="80"/>
              <w:right w:type="dxa" w:w="160"/>
            </w:tcMar>
          </w:tcPr>
          <w:p>
            <w:pPr>
              <w:spacing w:after="0"/>
            </w:pPr>
            <w:r>
              <w:rPr>
                <w:rFonts w:ascii="Calibri" w:cs="Calibri" w:eastAsia="Calibri" w:hAnsi="Calibri"/>
                <w:b/>
                <w:bCs/>
                <w:color w:val="FFFFFF"/>
                <w:sz w:val="20"/>
                <w:szCs w:val="20"/>
              </w:rPr>
              <w:t xml:space="preserve">Service</w:t>
            </w:r>
          </w:p>
        </w:tc>
        <w:tc>
          <w:tcPr>
            <w:tcW w:type="dxa" w:w="6660"/>
            <w:shd w:fill="5B2D8E" w:val="clear"/>
            <w:tcMar>
              <w:top w:type="dxa" w:w="80"/>
              <w:left w:type="dxa" w:w="160"/>
              <w:bottom w:type="dxa" w:w="80"/>
              <w:right w:type="dxa" w:w="160"/>
            </w:tcMar>
          </w:tcPr>
          <w:p>
            <w:pPr>
              <w:spacing w:after="0"/>
            </w:pPr>
            <w:r>
              <w:rPr>
                <w:rFonts w:ascii="Calibri" w:cs="Calibri" w:eastAsia="Calibri" w:hAnsi="Calibri"/>
                <w:color w:val="FFFFFF"/>
                <w:sz w:val="20"/>
                <w:szCs w:val="20"/>
              </w:rPr>
              <w:t xml:space="preserve">Description</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AccountAPI</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Create and manage Accounts. Used by CRM and agency portal integrations to create accounts before submissions are started, and to retrieve account information for customer service applications.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PolicyAPI</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Search for and retrieve policy information. Used by ClaimCenter for policy verification at FNOL, by billing systems for premium information, and by agent portals for policy display.</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JobAPI</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Initiate and manage policy jobs (Submission, PolicyChange, Renewal, Cancellation). The most complex API — allows external systems to start policy transactions and retrieve their status.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ContactAPI</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Manage contacts (insureds, agents, additional insureds) associated with accounts and policies. Used for CRM integration and contact management.</w:t>
            </w:r>
          </w:p>
        </w:tc>
      </w:tr>
    </w:tbl>
    <w:p>
      <w:pPr>
        <w:pStyle w:val="Heading2"/>
        <w:keepNext/>
        <w:keepLines/>
        <w:spacing w:after="160" w:before="400"/>
      </w:pPr>
      <w:r>
        <w:rPr>
          <w:rFonts w:ascii="Calibri" w:cs="Calibri" w:eastAsia="Calibri" w:hAnsi="Calibri"/>
          <w:b/>
          <w:bCs/>
          <w:color w:val="5B2D8E"/>
          <w:sz w:val="36"/>
          <w:szCs w:val="36"/>
        </w:rPr>
        <w:t xml:space="preserve">11.2 Calling Guidewire SOAP Services from Gosu</w:t>
      </w:r>
    </w:p>
    <w:p>
      <w:pPr>
        <w:spacing w:after="120" w:before="80" w:line="276"/>
        <w:jc w:val="both"/>
      </w:pPr>
      <w:r>
        <w:rPr>
          <w:rFonts w:ascii="Calibri" w:cs="Calibri" w:eastAsia="Calibri" w:hAnsi="Calibri"/>
          <w:color w:val="4A4A4A"/>
          <w:sz w:val="22"/>
          <w:szCs w:val="22"/>
        </w:rPr>
        <w:t xml:space="preserve">Within the Guidewire application, Gosu code can call external SOAP web services using the built-in SOAP client support. This pattern is used in plugins when external data must be retrieved as part of a PolicyCenter or ClaimCenter business operation — for example, pulling a motor vehicle report during a submission or calling a court records service during a claim investigation.</w:t>
      </w:r>
    </w:p>
    <w:p>
      <w:pPr>
        <w:spacing w:after="120" w:before="80" w:line="276"/>
        <w:jc w:val="both"/>
      </w:pPr>
      <w:r>
        <w:rPr>
          <w:rFonts w:ascii="Calibri" w:cs="Calibri" w:eastAsia="Calibri" w:hAnsi="Calibri"/>
          <w:color w:val="4A4A4A"/>
          <w:sz w:val="22"/>
          <w:szCs w:val="22"/>
        </w:rPr>
        <w:t xml:space="preserve">Gosu provides the SOAPService annotation and the WSDLFactory class for binding to external WSDL definitions at compile time. The generated proxy classes provide strongly-typed access to the remote service operations. Error handling must be implemented explicitly in Gosu, as SOAP faults from external services do not automatically generate Guidewire validation issues — they must be caught and translated into application-appropriate error conditions.</w:t>
      </w:r>
    </w:p>
    <w:p>
      <w:pPr>
        <w:spacing w:after="120" w:before="80" w:line="276"/>
        <w:jc w:val="both"/>
      </w:pPr>
      <w:r>
        <w:rPr>
          <w:rFonts w:ascii="Calibri" w:cs="Calibri" w:eastAsia="Calibri" w:hAnsi="Calibri"/>
          <w:color w:val="4A4A4A"/>
          <w:sz w:val="22"/>
          <w:szCs w:val="22"/>
        </w:rPr>
        <w:t xml:space="preserve">From Java plugin code, standard Java SOAP client libraries (JAX-WS, Apache CXF) can be used to call external services. The plugin's execution context provides access to a configured HTTP client that respects the carrier's proxy and certificate trust settings.</w:t>
      </w:r>
    </w:p>
    <w:p>
      <w:pPr>
        <w:pStyle w:val="Heading2"/>
        <w:keepNext/>
        <w:keepLines/>
        <w:spacing w:after="160" w:before="400"/>
      </w:pPr>
      <w:r>
        <w:rPr>
          <w:rFonts w:ascii="Calibri" w:cs="Calibri" w:eastAsia="Calibri" w:hAnsi="Calibri"/>
          <w:b/>
          <w:bCs/>
          <w:color w:val="5B2D8E"/>
          <w:sz w:val="36"/>
          <w:szCs w:val="36"/>
        </w:rPr>
        <w:t xml:space="preserve">11.3 Configuring SOAP Authentication</w:t>
      </w:r>
    </w:p>
    <w:p>
      <w:pPr>
        <w:spacing w:after="120" w:before="80" w:line="276"/>
        <w:jc w:val="both"/>
      </w:pPr>
      <w:r>
        <w:rPr>
          <w:rFonts w:ascii="Calibri" w:cs="Calibri" w:eastAsia="Calibri" w:hAnsi="Calibri"/>
          <w:color w:val="4A4A4A"/>
          <w:sz w:val="22"/>
          <w:szCs w:val="22"/>
        </w:rPr>
        <w:t xml:space="preserve">PolicyCenter and ClaimCenter support three authentication mechanisms for inbound SOAP calls: OAuth 2.0 Bearer Token (preferred), WS-Security Username Token, and WS-Security X.509 Certificate. Each mechanism has different configuration requirements and security characteristics.</w:t>
      </w: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700"/>
        <w:gridCol w:w="6660"/>
      </w:tblGrid>
      <w:tr>
        <w:trPr>
          <w:tblHeader/>
        </w:trPr>
        <w:tc>
          <w:tcPr>
            <w:tcW w:type="dxa" w:w="2700"/>
            <w:shd w:fill="5B2D8E" w:val="clear"/>
            <w:tcMar>
              <w:top w:type="dxa" w:w="80"/>
              <w:left w:type="dxa" w:w="160"/>
              <w:bottom w:type="dxa" w:w="80"/>
              <w:right w:type="dxa" w:w="160"/>
            </w:tcMar>
          </w:tcPr>
          <w:p>
            <w:pPr>
              <w:spacing w:after="0"/>
            </w:pPr>
            <w:r>
              <w:rPr>
                <w:rFonts w:ascii="Calibri" w:cs="Calibri" w:eastAsia="Calibri" w:hAnsi="Calibri"/>
                <w:b/>
                <w:bCs/>
                <w:color w:val="FFFFFF"/>
                <w:sz w:val="20"/>
                <w:szCs w:val="20"/>
              </w:rPr>
              <w:t xml:space="preserve">Mechanism</w:t>
            </w:r>
          </w:p>
        </w:tc>
        <w:tc>
          <w:tcPr>
            <w:tcW w:type="dxa" w:w="6660"/>
            <w:shd w:fill="5B2D8E" w:val="clear"/>
            <w:tcMar>
              <w:top w:type="dxa" w:w="80"/>
              <w:left w:type="dxa" w:w="160"/>
              <w:bottom w:type="dxa" w:w="80"/>
              <w:right w:type="dxa" w:w="160"/>
            </w:tcMar>
          </w:tcPr>
          <w:p>
            <w:pPr>
              <w:spacing w:after="0"/>
            </w:pPr>
            <w:r>
              <w:rPr>
                <w:rFonts w:ascii="Calibri" w:cs="Calibri" w:eastAsia="Calibri" w:hAnsi="Calibri"/>
                <w:color w:val="FFFFFF"/>
                <w:sz w:val="20"/>
                <w:szCs w:val="20"/>
              </w:rPr>
              <w:t xml:space="preserve">Description</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OAuth 2.0 Bearer Token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The recommended approach for all new integrations. The calling system obtains a token from the Guidewire authorization server using Client Credentials flow. The token is passed in the HTTP Authorization header. Tokens are time-limited and must be refreshed. Eliminates the need to store passwords in the calling system.</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WS-Security Username Token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username and password embedded in the SOAP envelope header using the WS-Security standard. Simpler to implement than OAuth but less secure, as credentials are transmitted with every request. Use only for legacy system integration where OAuth is not feasible.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WS-Security X.509 Certificate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The calling system signs the SOAP message with its private key, and PolicyCenter validates the signature against the trusted certificate. High security but complex to implement and manage. Certificate rotation requires coordination. Suitable for highly regulated environments.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Mutual TLS (mTLS)</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Transport-level mutual authentication where both the client and server present certificates. Can be combined with any of the above message-level authentication mechanisms. Provides defense in depth for particularly sensitive integration endpoints.</w:t>
            </w:r>
          </w:p>
        </w:tc>
      </w:tr>
    </w:tbl>
    <w:p>
      <w:pPr>
        <w:pStyle w:val="Heading2"/>
        <w:keepNext/>
        <w:keepLines/>
        <w:spacing w:after="160" w:before="400"/>
      </w:pPr>
      <w:r>
        <w:rPr>
          <w:rFonts w:ascii="Calibri" w:cs="Calibri" w:eastAsia="Calibri" w:hAnsi="Calibri"/>
          <w:b/>
          <w:bCs/>
          <w:color w:val="5B2D8E"/>
          <w:sz w:val="36"/>
          <w:szCs w:val="36"/>
        </w:rPr>
        <w:t xml:space="preserve">11.4 SOAP Web Service Limitations and Best Practices</w:t>
      </w:r>
    </w:p>
    <w:p>
      <w:pPr>
        <w:spacing w:after="120" w:before="80" w:line="276"/>
        <w:jc w:val="both"/>
      </w:pPr>
      <w:r>
        <w:rPr>
          <w:rFonts w:ascii="Calibri" w:cs="Calibri" w:eastAsia="Calibri" w:hAnsi="Calibri"/>
          <w:color w:val="4A4A4A"/>
          <w:sz w:val="22"/>
          <w:szCs w:val="22"/>
        </w:rPr>
        <w:t xml:space="preserve">SOAP web services are synchronous by nature — the calling system waits for the response before continuing. For high-volume or long-running operations, this synchronous model creates challenges. Guidewire recommends the following practices for SOAP integration:</w:t>
      </w:r>
    </w:p>
    <w:p>
      <w:pPr>
        <w:pStyle w:val="ListParagraph"/>
        <w:numPr>
          <w:ilvl w:val="0"/>
          <w:numId w:val="1"/>
        </w:numPr>
        <w:spacing w:after="60" w:before="40"/>
      </w:pPr>
      <w:r>
        <w:rPr>
          <w:rFonts w:ascii="Calibri" w:cs="Calibri" w:eastAsia="Calibri" w:hAnsi="Calibri"/>
          <w:color w:val="4A4A4A"/>
          <w:sz w:val="22"/>
          <w:szCs w:val="22"/>
        </w:rPr>
        <w:t xml:space="preserve">Always implement connection and read timeouts in the calling system. A Guidewire application under load may respond slowly; without timeouts, calling system threads can be exhausted waiting for responses.</w:t>
      </w:r>
    </w:p>
    <w:p>
      <w:pPr>
        <w:pStyle w:val="ListParagraph"/>
        <w:numPr>
          <w:ilvl w:val="0"/>
          <w:numId w:val="1"/>
        </w:numPr>
        <w:spacing w:after="60" w:before="40"/>
      </w:pPr>
      <w:r>
        <w:rPr>
          <w:rFonts w:ascii="Calibri" w:cs="Calibri" w:eastAsia="Calibri" w:hAnsi="Calibri"/>
          <w:color w:val="4A4A4A"/>
          <w:sz w:val="22"/>
          <w:szCs w:val="22"/>
        </w:rPr>
        <w:t xml:space="preserve">Implement exponential backoff and retry logic for transient failures. Network blips and temporary application unavailability are normal in any enterprise system; calling systems must be resilient to them.</w:t>
      </w:r>
    </w:p>
    <w:p>
      <w:pPr>
        <w:pStyle w:val="ListParagraph"/>
        <w:numPr>
          <w:ilvl w:val="0"/>
          <w:numId w:val="1"/>
        </w:numPr>
        <w:spacing w:after="60" w:before="40"/>
      </w:pPr>
      <w:r>
        <w:rPr>
          <w:rFonts w:ascii="Calibri" w:cs="Calibri" w:eastAsia="Calibri" w:hAnsi="Calibri"/>
          <w:color w:val="4A4A4A"/>
          <w:sz w:val="22"/>
          <w:szCs w:val="22"/>
        </w:rPr>
        <w:t xml:space="preserve">Avoid implementing bulk data retrieval via SOAP. SOAP services are designed for transactional operations on individual records. For bulk data export, use the Guidewire Data Platform (for cloud) or the Data Access Layer (for on-premise) instead.</w:t>
      </w:r>
    </w:p>
    <w:p>
      <w:pPr>
        <w:pStyle w:val="ListParagraph"/>
        <w:numPr>
          <w:ilvl w:val="0"/>
          <w:numId w:val="1"/>
        </w:numPr>
        <w:spacing w:after="60" w:before="40"/>
      </w:pPr>
      <w:r>
        <w:rPr>
          <w:rFonts w:ascii="Calibri" w:cs="Calibri" w:eastAsia="Calibri" w:hAnsi="Calibri"/>
          <w:color w:val="4A4A4A"/>
          <w:sz w:val="22"/>
          <w:szCs w:val="22"/>
        </w:rPr>
        <w:t xml:space="preserve">Use PublicIDs, not internal IDs, in all SOAP payloads. Internal IDs are not stable across environments.</w:t>
      </w:r>
    </w:p>
    <w:p>
      <w:pPr>
        <w:pStyle w:val="ListParagraph"/>
        <w:numPr>
          <w:ilvl w:val="0"/>
          <w:numId w:val="1"/>
        </w:numPr>
        <w:spacing w:after="60" w:before="40"/>
      </w:pPr>
      <w:r>
        <w:rPr>
          <w:rFonts w:ascii="Calibri" w:cs="Calibri" w:eastAsia="Calibri" w:hAnsi="Calibri"/>
          <w:color w:val="4A4A4A"/>
          <w:sz w:val="22"/>
          <w:szCs w:val="22"/>
        </w:rPr>
        <w:t xml:space="preserve">Validate your integration against the full WSDL schema, including all optional fields. SOAP services frequently return optional fields as null when they have no value; calling systems must handle null fields gracefully.</w:t>
      </w:r>
    </w:p>
    <w:p>
      <w:r>
        <w:br w:type="page"/>
      </w:r>
    </w:p>
    <w:p>
      <w:pPr>
        <w:pStyle w:val="Heading1"/>
        <w:keepNext/>
        <w:keepLines/>
        <w:spacing w:after="160" w:before="400"/>
      </w:pPr>
      <w:r>
        <w:rPr>
          <w:rFonts w:ascii="Calibri" w:cs="Calibri" w:eastAsia="Calibri" w:hAnsi="Calibri"/>
          <w:b/>
          <w:bCs/>
          <w:color w:val="5B2D8E"/>
          <w:sz w:val="48"/>
          <w:szCs w:val="48"/>
        </w:rPr>
        <w:t xml:space="preserve">Chapter 12: Cloud API (REST)</w:t>
      </w:r>
    </w:p>
    <w:p>
      <w:pPr>
        <w:spacing w:after="120" w:before="80" w:line="276"/>
        <w:jc w:val="both"/>
      </w:pPr>
      <w:r>
        <w:rPr>
          <w:rFonts w:ascii="Calibri" w:cs="Calibri" w:eastAsia="Calibri" w:hAnsi="Calibri"/>
          <w:color w:val="4A4A4A"/>
          <w:sz w:val="22"/>
          <w:szCs w:val="22"/>
        </w:rPr>
        <w:t xml:space="preserve">The Guidewire Cloud API is a RESTful API that provides modern JSON-over-HTTP access to PolicyCenter and BillingCenter (ClaimCenter Cloud API is planned for a future release). The Cloud API is designed for integration with modern applications and platforms — web portals, mobile apps, agency management systems, and insurtech partners — that prefer REST over SOAP.</w:t>
      </w:r>
    </w:p>
    <w:p>
      <w:pPr>
        <w:spacing w:after="120" w:before="80" w:line="276"/>
        <w:jc w:val="both"/>
      </w:pPr>
      <w:r>
        <w:rPr>
          <w:rFonts w:ascii="Calibri" w:cs="Calibri" w:eastAsia="Calibri" w:hAnsi="Calibri"/>
          <w:color w:val="4A4A4A"/>
          <w:sz w:val="22"/>
          <w:szCs w:val="22"/>
        </w:rPr>
        <w:t xml:space="preserve">The Cloud API follows the OpenAPI 3.0 specification and provides Swagger documentation that can be used to generate client SDKs in any language. The API is versioned, with backward-compatible changes introduced within a major version and breaking changes reserved for new major versions.</w:t>
      </w:r>
    </w:p>
    <w:p>
      <w:pPr>
        <w:pStyle w:val="Heading2"/>
        <w:keepNext/>
        <w:keepLines/>
        <w:spacing w:after="160" w:before="400"/>
      </w:pPr>
      <w:r>
        <w:rPr>
          <w:rFonts w:ascii="Calibri" w:cs="Calibri" w:eastAsia="Calibri" w:hAnsi="Calibri"/>
          <w:b/>
          <w:bCs/>
          <w:color w:val="5B2D8E"/>
          <w:sz w:val="36"/>
          <w:szCs w:val="36"/>
        </w:rPr>
        <w:t xml:space="preserve">12.1 API Architecture</w:t>
      </w:r>
    </w:p>
    <w:p>
      <w:pPr>
        <w:spacing w:after="120" w:before="80" w:line="276"/>
        <w:jc w:val="both"/>
      </w:pPr>
      <w:r>
        <w:rPr>
          <w:rFonts w:ascii="Calibri" w:cs="Calibri" w:eastAsia="Calibri" w:hAnsi="Calibri"/>
          <w:color w:val="4A4A4A"/>
          <w:sz w:val="22"/>
          <w:szCs w:val="22"/>
        </w:rPr>
        <w:t xml:space="preserve">The Cloud API is organized around resources — the primary Guidewire entities that can be created, read, updated, and deleted via the API. Each resource has a canonical URL structure: /pc/v1/{tenant}/policies/{policyId}/policyPeriods/{periodId}/coverages. Resources support standard HTTP verbs: GET (read), POST (create), PUT (update), PATCH (partial update), and DELETE (where permitted).</w:t>
      </w:r>
    </w:p>
    <w:p>
      <w:pPr>
        <w:spacing w:after="120" w:before="80" w:line="276"/>
        <w:jc w:val="both"/>
      </w:pPr>
      <w:r>
        <w:rPr>
          <w:rFonts w:ascii="Calibri" w:cs="Calibri" w:eastAsia="Calibri" w:hAnsi="Calibri"/>
          <w:color w:val="4A4A4A"/>
          <w:sz w:val="22"/>
          <w:szCs w:val="22"/>
        </w:rPr>
        <w:t xml:space="preserve">The Cloud API is defined by a set of configuration files that control which resources are exposed, which fields are included, and how resources relate to each other. These configuration files include:</w:t>
      </w: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700"/>
        <w:gridCol w:w="6660"/>
      </w:tblGrid>
      <w:tr>
        <w:trPr>
          <w:tblHeader/>
        </w:trPr>
        <w:tc>
          <w:tcPr>
            <w:tcW w:type="dxa" w:w="2700"/>
            <w:shd w:fill="5B2D8E" w:val="clear"/>
            <w:tcMar>
              <w:top w:type="dxa" w:w="80"/>
              <w:left w:type="dxa" w:w="160"/>
              <w:bottom w:type="dxa" w:w="80"/>
              <w:right w:type="dxa" w:w="160"/>
            </w:tcMar>
          </w:tcPr>
          <w:p>
            <w:pPr>
              <w:spacing w:after="0"/>
            </w:pPr>
            <w:r>
              <w:rPr>
                <w:rFonts w:ascii="Calibri" w:cs="Calibri" w:eastAsia="Calibri" w:hAnsi="Calibri"/>
                <w:b/>
                <w:bCs/>
                <w:color w:val="FFFFFF"/>
                <w:sz w:val="20"/>
                <w:szCs w:val="20"/>
              </w:rPr>
              <w:t xml:space="preserve">File</w:t>
            </w:r>
          </w:p>
        </w:tc>
        <w:tc>
          <w:tcPr>
            <w:tcW w:type="dxa" w:w="6660"/>
            <w:shd w:fill="5B2D8E" w:val="clear"/>
            <w:tcMar>
              <w:top w:type="dxa" w:w="80"/>
              <w:left w:type="dxa" w:w="160"/>
              <w:bottom w:type="dxa" w:w="80"/>
              <w:right w:type="dxa" w:w="160"/>
            </w:tcMar>
          </w:tcPr>
          <w:p>
            <w:pPr>
              <w:spacing w:after="0"/>
            </w:pPr>
            <w:r>
              <w:rPr>
                <w:rFonts w:ascii="Calibri" w:cs="Calibri" w:eastAsia="Calibri" w:hAnsi="Calibri"/>
                <w:color w:val="FFFFFF"/>
                <w:sz w:val="20"/>
                <w:szCs w:val="20"/>
              </w:rPr>
              <w:t xml:space="preserve">Purpose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schema.json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Defines the fields exposed for each resource type, including their data types, descriptions, and whether they are required, read-only, or filterable. Carriers can add custom fields and extend existing resources in their own schema.json overlay.</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mapping.json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Maps Cloud API resource fields to Guidewire data model fields. Enables carriers to rename or remap fields for API consumers without changing the underlying data model.</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updater.json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Defines which fields can be updated via PUT/PATCH requests and any business logic that should run when those updates are applied.</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apiconfig.yaml</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Top-level API configuration including version, authentication settings, rate limiting, and enabled endpoint groups.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integrationGraph.json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Defines the graph structure of related resources, enabling the API to return related entities in a single request (reducing round trips for API consumers).</w:t>
            </w:r>
          </w:p>
        </w:tc>
      </w:tr>
    </w:tbl>
    <w:p>
      <w:pPr>
        <w:pStyle w:val="Heading2"/>
        <w:keepNext/>
        <w:keepLines/>
        <w:spacing w:after="160" w:before="400"/>
      </w:pPr>
      <w:r>
        <w:rPr>
          <w:rFonts w:ascii="Calibri" w:cs="Calibri" w:eastAsia="Calibri" w:hAnsi="Calibri"/>
          <w:b/>
          <w:bCs/>
          <w:color w:val="5B2D8E"/>
          <w:sz w:val="36"/>
          <w:szCs w:val="36"/>
        </w:rPr>
        <w:t xml:space="preserve">12.2 Extending the Cloud API</w:t>
      </w:r>
    </w:p>
    <w:p>
      <w:pPr>
        <w:spacing w:after="120" w:before="80" w:line="276"/>
        <w:jc w:val="both"/>
      </w:pPr>
      <w:r>
        <w:rPr>
          <w:rFonts w:ascii="Calibri" w:cs="Calibri" w:eastAsia="Calibri" w:hAnsi="Calibri"/>
          <w:color w:val="4A4A4A"/>
          <w:sz w:val="22"/>
          <w:szCs w:val="22"/>
        </w:rPr>
        <w:t xml:space="preserve">Carriers frequently need to expose custom data fields or custom operations through the Cloud API. The Cloud API configuration framework provides extension points for this purpose without requiring modifications to Guidewire core code.</w:t>
      </w:r>
    </w:p>
    <w:p>
      <w:pPr>
        <w:spacing w:after="120" w:before="80" w:line="276"/>
        <w:jc w:val="both"/>
      </w:pPr>
      <w:r>
        <w:rPr>
          <w:rFonts w:ascii="Calibri" w:cs="Calibri" w:eastAsia="Calibri" w:hAnsi="Calibri"/>
          <w:color w:val="4A4A4A"/>
          <w:sz w:val="22"/>
          <w:szCs w:val="22"/>
        </w:rPr>
        <w:t xml:space="preserve">Custom fields added to the Guidewire data model via the configuration layer can be exposed through the Cloud API by adding them to the carrier's schema.json overlay. The field name in the API can differ from the internal field name, allowing carriers to maintain clean API contracts independent of their internal naming conventions.</w:t>
      </w:r>
    </w:p>
    <w:p>
      <w:pPr>
        <w:spacing w:after="120" w:before="80" w:line="276"/>
        <w:jc w:val="both"/>
      </w:pPr>
      <w:r>
        <w:rPr>
          <w:rFonts w:ascii="Calibri" w:cs="Calibri" w:eastAsia="Calibri" w:hAnsi="Calibri"/>
          <w:color w:val="4A4A4A"/>
          <w:sz w:val="22"/>
          <w:szCs w:val="22"/>
        </w:rPr>
        <w:t xml:space="preserve">Custom operations — operations that don't map cleanly to CRUD on a single resource — can be implemented via REST Extension Endpoints. A REST Extension Endpoint is a custom Gosu class that implements a specific interface and is registered in the API configuration. It receives the HTTP request and returns an HTTP response, with access to all PolicyCenter business objects and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thick" w:color="5B2D8E" w:sz="18"/>
              <w:bottom w:val="none"/>
              <w:right w:val="none"/>
            </w:tcBorders>
            <w:shd w:fill="F5F5F5" w:val="clear"/>
            <w:tcMar>
              <w:top w:type="dxa" w:w="120"/>
              <w:left w:type="dxa" w:w="200"/>
              <w:bottom w:type="dxa" w:w="120"/>
              <w:right w:type="dxa" w:w="200"/>
            </w:tcMar>
          </w:tcPr>
          <w:p>
            <w:pPr>
              <w:spacing w:after="0"/>
            </w:pPr>
            <w:r>
              <w:rPr>
                <w:rFonts w:ascii="Calibri" w:cs="Calibri" w:eastAsia="Calibri" w:hAnsi="Calibri"/>
                <w:i/>
                <w:iCs/>
                <w:color w:val="1A1A2E"/>
                <w:sz w:val="20"/>
                <w:szCs w:val="20"/>
              </w:rPr>
              <w:t xml:space="preserve">API Versioning Note: When introducing breaking changes to a Cloud API extension endpoint, create a new endpoint version (v2) rather than modifying the existing endpoint. API consumers may not update immediately, and breaking a production integration creates an incident. Deprecate the old version and provide migration guidance.</w:t>
            </w:r>
          </w:p>
        </w:tc>
      </w:tr>
    </w:tbl>
    <w:p>
      <w:pPr>
        <w:pStyle w:val="Heading2"/>
        <w:keepNext/>
        <w:keepLines/>
        <w:spacing w:after="160" w:before="400"/>
      </w:pPr>
      <w:r>
        <w:rPr>
          <w:rFonts w:ascii="Calibri" w:cs="Calibri" w:eastAsia="Calibri" w:hAnsi="Calibri"/>
          <w:b/>
          <w:bCs/>
          <w:color w:val="5B2D8E"/>
          <w:sz w:val="36"/>
          <w:szCs w:val="36"/>
        </w:rPr>
        <w:t xml:space="preserve">12.3 Rate Limiting and Throttling</w:t>
      </w:r>
    </w:p>
    <w:p>
      <w:pPr>
        <w:spacing w:after="120" w:before="80" w:line="276"/>
        <w:jc w:val="both"/>
      </w:pPr>
      <w:r>
        <w:rPr>
          <w:rFonts w:ascii="Calibri" w:cs="Calibri" w:eastAsia="Calibri" w:hAnsi="Calibri"/>
          <w:color w:val="4A4A4A"/>
          <w:sz w:val="22"/>
          <w:szCs w:val="22"/>
        </w:rPr>
        <w:t xml:space="preserve">The Cloud API enforces rate limits to protect the Guidewire application from overload by misbehaving API consumers. Rate limits are configured in apiconfig.yaml and enforced per client (identified by OAuth client ID). The default rate limits in the Guidewire Cloud platform are designed for typical integration traffic patterns; carriers with high-volume use cases may need to negotiate adjusted limits with Guidewire.</w:t>
      </w:r>
    </w:p>
    <w:p>
      <w:pPr>
        <w:spacing w:after="120" w:before="80" w:line="276"/>
        <w:jc w:val="both"/>
      </w:pPr>
      <w:r>
        <w:rPr>
          <w:rFonts w:ascii="Calibri" w:cs="Calibri" w:eastAsia="Calibri" w:hAnsi="Calibri"/>
          <w:color w:val="4A4A4A"/>
          <w:sz w:val="22"/>
          <w:szCs w:val="22"/>
        </w:rPr>
        <w:t xml:space="preserve">Rate limit responses use HTTP 429 (Too Many Requests) with a Retry-After header indicating when the caller may retry. Well-behaved API clients must implement handling for 429 responses and respect the Retry-After header. Clients that ignore 429 responses and continue sending requests may be temporarily blocked.</w:t>
      </w:r>
    </w:p>
    <w:p>
      <w:pPr>
        <w:spacing w:after="120" w:before="80" w:line="276"/>
        <w:jc w:val="both"/>
      </w:pPr>
      <w:r>
        <w:rPr>
          <w:rFonts w:ascii="Calibri" w:cs="Calibri" w:eastAsia="Calibri" w:hAnsi="Calibri"/>
          <w:color w:val="4A4A4A"/>
          <w:sz w:val="22"/>
          <w:szCs w:val="22"/>
        </w:rPr>
        <w:t xml:space="preserve">Clients should implement an adaptive retry strategy: on a 429 response, wait for at least the Retry-After duration plus a small random jitter before retrying. This prevents thundering herd scenarios where multiple clients retry simultaneously at the rate limit expiry.</w:t>
      </w:r>
    </w:p>
    <w:p>
      <w:pPr>
        <w:pStyle w:val="Heading2"/>
        <w:keepNext/>
        <w:keepLines/>
        <w:spacing w:after="160" w:before="400"/>
      </w:pPr>
      <w:r>
        <w:rPr>
          <w:rFonts w:ascii="Calibri" w:cs="Calibri" w:eastAsia="Calibri" w:hAnsi="Calibri"/>
          <w:b/>
          <w:bCs/>
          <w:color w:val="5B2D8E"/>
          <w:sz w:val="36"/>
          <w:szCs w:val="36"/>
        </w:rPr>
        <w:t xml:space="preserve">12.4 Filtering and Pagination</w:t>
      </w:r>
    </w:p>
    <w:p>
      <w:pPr>
        <w:spacing w:after="120" w:before="80" w:line="276"/>
        <w:jc w:val="both"/>
      </w:pPr>
      <w:r>
        <w:rPr>
          <w:rFonts w:ascii="Calibri" w:cs="Calibri" w:eastAsia="Calibri" w:hAnsi="Calibri"/>
          <w:color w:val="4A4A4A"/>
          <w:sz w:val="22"/>
          <w:szCs w:val="22"/>
        </w:rPr>
        <w:t xml:space="preserve">The Cloud API supports server-side filtering and cursor-based pagination for collection endpoints. Filtering allows API consumers to retrieve only the resources that match specified criteria without fetching the entire collection. Pagination allows large collections to be retrieved in manageable chunks.</w:t>
      </w:r>
    </w:p>
    <w:p>
      <w:pPr>
        <w:spacing w:after="120" w:before="80" w:line="276"/>
        <w:jc w:val="both"/>
      </w:pPr>
      <w:r>
        <w:rPr>
          <w:rFonts w:ascii="Calibri" w:cs="Calibri" w:eastAsia="Calibri" w:hAnsi="Calibri"/>
          <w:color w:val="4A4A4A"/>
          <w:sz w:val="22"/>
          <w:szCs w:val="22"/>
        </w:rPr>
        <w:t xml:space="preserve">Filtering is specified via query parameters. The Cloud API supports equality filters, range filters, and contains (partial match) filters on fields that are designated as filterable in the schema.json configuration. Multiple filter conditions can be combined with AND logic.</w:t>
      </w:r>
    </w:p>
    <w:p>
      <w:pPr>
        <w:spacing w:after="120" w:before="80" w:line="276"/>
        <w:jc w:val="both"/>
      </w:pPr>
      <w:r>
        <w:rPr>
          <w:rFonts w:ascii="Calibri" w:cs="Calibri" w:eastAsia="Calibri" w:hAnsi="Calibri"/>
          <w:color w:val="4A4A4A"/>
          <w:sz w:val="22"/>
          <w:szCs w:val="22"/>
        </w:rPr>
        <w:t xml:space="preserve">Pagination uses a cursor (opaque token) returned by the server in the response. The client passes this cursor in the next request to retrieve the next page. This cursor-based approach is more reliable than offset-based pagination for large datasets, as it handles cases where records are inserted or deleted between page requests.</w:t>
      </w:r>
    </w:p>
    <w:p>
      <w:r>
        <w:br w:type="page"/>
      </w:r>
    </w:p>
    <w:p>
      <w:pPr>
        <w:pStyle w:val="Heading1"/>
        <w:keepNext/>
        <w:keepLines/>
        <w:spacing w:after="160" w:before="400"/>
      </w:pPr>
      <w:r>
        <w:rPr>
          <w:rFonts w:ascii="Calibri" w:cs="Calibri" w:eastAsia="Calibri" w:hAnsi="Calibri"/>
          <w:b/>
          <w:bCs/>
          <w:color w:val="5B2D8E"/>
          <w:sz w:val="48"/>
          <w:szCs w:val="48"/>
        </w:rPr>
        <w:t xml:space="preserve">Chapter 13: Plugins &amp; Prebuilt Integrations</w:t>
      </w:r>
    </w:p>
    <w:p>
      <w:pPr>
        <w:spacing w:after="120" w:before="80" w:line="276"/>
        <w:jc w:val="both"/>
      </w:pPr>
      <w:r>
        <w:rPr>
          <w:rFonts w:ascii="Calibri" w:cs="Calibri" w:eastAsia="Calibri" w:hAnsi="Calibri"/>
          <w:color w:val="4A4A4A"/>
          <w:sz w:val="22"/>
          <w:szCs w:val="22"/>
        </w:rPr>
        <w:t xml:space="preserve">The Guidewire Plugin Framework provides a structured extension point for embedding custom business logic and third-party service integrations within the Guidewire applications. Plugins execute within the application server's process boundary, giving them direct access to Guidewire business services and data — but also making them subject to the same transaction management, security, and performance constraints as application code.</w:t>
      </w:r>
    </w:p>
    <w:p>
      <w:pPr>
        <w:pStyle w:val="Heading2"/>
        <w:keepNext/>
        <w:keepLines/>
        <w:spacing w:after="160" w:before="400"/>
      </w:pPr>
      <w:r>
        <w:rPr>
          <w:rFonts w:ascii="Calibri" w:cs="Calibri" w:eastAsia="Calibri" w:hAnsi="Calibri"/>
          <w:b/>
          <w:bCs/>
          <w:color w:val="5B2D8E"/>
          <w:sz w:val="36"/>
          <w:szCs w:val="36"/>
        </w:rPr>
        <w:t xml:space="preserve">13.1 Plugin Framework Architecture</w:t>
      </w:r>
    </w:p>
    <w:p>
      <w:pPr>
        <w:spacing w:after="120" w:before="80" w:line="276"/>
        <w:jc w:val="both"/>
      </w:pPr>
      <w:r>
        <w:rPr>
          <w:rFonts w:ascii="Calibri" w:cs="Calibri" w:eastAsia="Calibri" w:hAnsi="Calibri"/>
          <w:color w:val="4A4A4A"/>
          <w:sz w:val="22"/>
          <w:szCs w:val="22"/>
        </w:rPr>
        <w:t xml:space="preserve">Plugins in Guidewire are packaged as OSGi bundles — the standard module system for the OSGi specification. Each plugin bundle contains the implementation class (written in Java or Gosu), its dependencies, and an OSGi manifest that declares the plugin's identity and any services it provides or consumes.</w:t>
      </w:r>
    </w:p>
    <w:p>
      <w:pPr>
        <w:spacing w:after="120" w:before="80" w:line="276"/>
        <w:jc w:val="both"/>
      </w:pPr>
      <w:r>
        <w:rPr>
          <w:rFonts w:ascii="Calibri" w:cs="Calibri" w:eastAsia="Calibri" w:hAnsi="Calibri"/>
          <w:color w:val="4A4A4A"/>
          <w:sz w:val="22"/>
          <w:szCs w:val="22"/>
        </w:rPr>
        <w:t xml:space="preserve">Plugin bundles are deployed to the Guidewire application through the plugin registry. In development environments, plugins can be deployed by adding them to the plugins directory and restarting the application server. In cloud environments, plugin deployment follows the carrier's CI/CD pipeline and is subject to Guidewire's cloud deployment governance process.</w:t>
      </w:r>
    </w:p>
    <w:p>
      <w:pPr>
        <w:spacing w:after="120" w:before="80" w:line="276"/>
        <w:jc w:val="both"/>
      </w:pPr>
      <w:r>
        <w:rPr>
          <w:rFonts w:ascii="Calibri" w:cs="Calibri" w:eastAsia="Calibri" w:hAnsi="Calibri"/>
          <w:color w:val="4A4A4A"/>
          <w:sz w:val="22"/>
          <w:szCs w:val="22"/>
        </w:rPr>
        <w:t xml:space="preserve">The plugin architecture supports multiple plugin instances implementing the same plugin interface, with a priority mechanism to control which implementation is active. This enables carriers to install vendor-provided prebuilt integrations (such as a prebuilt credit scoring plugin from Verisk) alongside custom plugins, with the custom plugin taking priority where needed.</w:t>
      </w:r>
    </w:p>
    <w:p>
      <w:pPr>
        <w:pStyle w:val="Heading2"/>
        <w:keepNext/>
        <w:keepLines/>
        <w:spacing w:after="160" w:before="400"/>
      </w:pPr>
      <w:r>
        <w:rPr>
          <w:rFonts w:ascii="Calibri" w:cs="Calibri" w:eastAsia="Calibri" w:hAnsi="Calibri"/>
          <w:b/>
          <w:bCs/>
          <w:color w:val="5B2D8E"/>
          <w:sz w:val="36"/>
          <w:szCs w:val="36"/>
        </w:rPr>
        <w:t xml:space="preserve">13.2 Key Plugin Interfaces</w:t>
      </w: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700"/>
        <w:gridCol w:w="6660"/>
      </w:tblGrid>
      <w:tr>
        <w:trPr>
          <w:tblHeader/>
        </w:trPr>
        <w:tc>
          <w:tcPr>
            <w:tcW w:type="dxa" w:w="2700"/>
            <w:shd w:fill="5B2D8E" w:val="clear"/>
            <w:tcMar>
              <w:top w:type="dxa" w:w="80"/>
              <w:left w:type="dxa" w:w="160"/>
              <w:bottom w:type="dxa" w:w="80"/>
              <w:right w:type="dxa" w:w="160"/>
            </w:tcMar>
          </w:tcPr>
          <w:p>
            <w:pPr>
              <w:spacing w:after="0"/>
            </w:pPr>
            <w:r>
              <w:rPr>
                <w:rFonts w:ascii="Calibri" w:cs="Calibri" w:eastAsia="Calibri" w:hAnsi="Calibri"/>
                <w:b/>
                <w:bCs/>
                <w:color w:val="FFFFFF"/>
                <w:sz w:val="20"/>
                <w:szCs w:val="20"/>
              </w:rPr>
              <w:t xml:space="preserve">Plugin Interface</w:t>
            </w:r>
          </w:p>
        </w:tc>
        <w:tc>
          <w:tcPr>
            <w:tcW w:type="dxa" w:w="6660"/>
            <w:shd w:fill="5B2D8E" w:val="clear"/>
            <w:tcMar>
              <w:top w:type="dxa" w:w="80"/>
              <w:left w:type="dxa" w:w="160"/>
              <w:bottom w:type="dxa" w:w="80"/>
              <w:right w:type="dxa" w:w="160"/>
            </w:tcMar>
          </w:tcPr>
          <w:p>
            <w:pPr>
              <w:spacing w:after="0"/>
            </w:pPr>
            <w:r>
              <w:rPr>
                <w:rFonts w:ascii="Calibri" w:cs="Calibri" w:eastAsia="Calibri" w:hAnsi="Calibri"/>
                <w:color w:val="FFFFFF"/>
                <w:sz w:val="20"/>
                <w:szCs w:val="20"/>
              </w:rPr>
              <w:t xml:space="preserve">Purpose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IRatingPlugin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Integrates with an external rating engine. Receives the PolicyPeriod and coverage selections, calls the external rating service, and populates the premium on return. Used when Rating Management cannot accommodate the carrier's rating complexity.</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IDocumentProduction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Generates insurance documents (policy declarations pages, invoices, letters) by integrating with a document generation vendor (e.g., OpenText, Docucorp, Adobe). Receives the document template name and data, returns the generated document content.</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IGeocodingPlugin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Geocodes insured addresses to obtain latitude/longitude coordinates. Used for territory rating and catastrophe exposure management.</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ICreditScorePlugin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Retrieves credit-based insurance scores from a credit bureau for use in personal lines rating. Implements FCRA-compliant adverse action notification support.</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IPaymentInstrumentPlugin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Processes electronic payments — credit card charges, ACH debits — via a payment processor. Handles tokenization of payment instruments to reduce PCI scope.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IFinancialsPlugin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Integrates BillingCenter with the carrier's general ledger or financial accounting system. Transmits journal entries for premium charges, payments, and commission payments.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IAutoAssignPlugin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Implements custom assignment logic for claims or activities. Called by the assignment engine when standard round-robin or load-based assignment is insufficient.</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IBillingCenterPlugin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Implements the PolicyCenter-to-BillingCenter integration. Translates PolicyCenter billing instructions into BillingCenter charge transactions.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IPolicyRetrievalPlugin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Implements the ClaimCenter-to-PolicyCenter policy lookup. Called at FNOL to verify that the reported policy was in force at the date of loss.</w:t>
            </w:r>
          </w:p>
        </w:tc>
      </w:tr>
    </w:tbl>
    <w:p>
      <w:pPr>
        <w:pStyle w:val="Heading2"/>
        <w:keepNext/>
        <w:keepLines/>
        <w:spacing w:after="160" w:before="400"/>
      </w:pPr>
      <w:r>
        <w:rPr>
          <w:rFonts w:ascii="Calibri" w:cs="Calibri" w:eastAsia="Calibri" w:hAnsi="Calibri"/>
          <w:b/>
          <w:bCs/>
          <w:color w:val="5B2D8E"/>
          <w:sz w:val="36"/>
          <w:szCs w:val="36"/>
        </w:rPr>
        <w:t xml:space="preserve">13.3 Prebuilt Integrations</w:t>
      </w:r>
    </w:p>
    <w:p>
      <w:pPr>
        <w:spacing w:after="120" w:before="80" w:line="276"/>
        <w:jc w:val="both"/>
      </w:pPr>
      <w:r>
        <w:rPr>
          <w:rFonts w:ascii="Calibri" w:cs="Calibri" w:eastAsia="Calibri" w:hAnsi="Calibri"/>
          <w:color w:val="4A4A4A"/>
          <w:sz w:val="22"/>
          <w:szCs w:val="22"/>
        </w:rPr>
        <w:t xml:space="preserve">Guidewire Marketplace provides a catalog of prebuilt integrations — accelerator packages that implement common integration patterns with named third-party systems. Prebuilt integrations are developed by Guidewire partners and must pass Guidewire's Ready for Guidewire certification process, which validates compatibility, quality, and security.</w:t>
      </w:r>
    </w:p>
    <w:p>
      <w:pPr>
        <w:spacing w:after="120" w:before="80" w:line="276"/>
        <w:jc w:val="both"/>
      </w:pPr>
      <w:r>
        <w:rPr>
          <w:rFonts w:ascii="Calibri" w:cs="Calibri" w:eastAsia="Calibri" w:hAnsi="Calibri"/>
          <w:color w:val="4A4A4A"/>
          <w:sz w:val="22"/>
          <w:szCs w:val="22"/>
        </w:rPr>
        <w:t xml:space="preserve">Prebuilt integrations for PolicyCenter typically include: rating engine connectors (Majesco, Zywave, ISO), geocoding services (Google Maps, HERE, ESRI), MVR and loss history report retrieval (LexisNexis, ISO, CLUE), signature and consent collection (DocuSign, Adobe Sign), and print/mail fulfillment (Conduent, Broadridge).</w:t>
      </w:r>
    </w:p>
    <w:p>
      <w:pPr>
        <w:spacing w:after="120" w:before="80" w:line="276"/>
        <w:jc w:val="both"/>
      </w:pPr>
      <w:r>
        <w:rPr>
          <w:rFonts w:ascii="Calibri" w:cs="Calibri" w:eastAsia="Calibri" w:hAnsi="Calibri"/>
          <w:color w:val="4A4A4A"/>
          <w:sz w:val="22"/>
          <w:szCs w:val="22"/>
        </w:rPr>
        <w:t xml:space="preserve">Prebuilt integrations for ClaimCenter include: third-party administrator (TPA) connectivity, independent adjuster (IA) dispatch and status (Symbility, Xactimate), auto valuation (Mitchell, CCC), weather data for cat event matching (CoreLogic, Verisk), and medical bill review (Coventry, Mitchell MedReview).</w:t>
      </w:r>
    </w:p>
    <w:p>
      <w:pPr>
        <w:spacing w:after="120" w:before="80" w:line="276"/>
        <w:jc w:val="both"/>
      </w:pPr>
      <w:r>
        <w:rPr>
          <w:rFonts w:ascii="Calibri" w:cs="Calibri" w:eastAsia="Calibri" w:hAnsi="Calibri"/>
          <w:color w:val="4A4A4A"/>
          <w:sz w:val="22"/>
          <w:szCs w:val="22"/>
        </w:rPr>
        <w:t xml:space="preserve">Prebuilt integrations for BillingCenter include: payment processing (Stripe, Braintree, First Data), premium finance (AFCO, IPFS), agency management system connectivity (Applied Epic, Vertafore AMS360), and general ledger integration (SAP, Oracle Financials, Workday).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left w:val="thick" w:color="5B2D8E" w:sz="18"/>
              <w:bottom w:val="none"/>
              <w:right w:val="none"/>
            </w:tcBorders>
            <w:shd w:fill="F5F5F5" w:val="clear"/>
            <w:tcMar>
              <w:top w:type="dxa" w:w="120"/>
              <w:left w:type="dxa" w:w="200"/>
              <w:bottom w:type="dxa" w:w="120"/>
              <w:right w:type="dxa" w:w="200"/>
            </w:tcMar>
          </w:tcPr>
          <w:p>
            <w:pPr>
              <w:spacing w:after="0"/>
            </w:pPr>
            <w:r>
              <w:rPr>
                <w:rFonts w:ascii="Calibri" w:cs="Calibri" w:eastAsia="Calibri" w:hAnsi="Calibri"/>
                <w:i/>
                <w:iCs/>
                <w:color w:val="1A1A2E"/>
                <w:sz w:val="20"/>
                <w:szCs w:val="20"/>
              </w:rPr>
              <w:t xml:space="preserve">Marketplace Tip: Before building a custom integration, check Guidewire Marketplace for a prebuilt integration with the required vendor. Prebuilt integrations significantly reduce implementation time and risk, and they are updated by the vendor when the target system releases breaking API changes. The long-term maintenance cost of a custom integration is frequently underestimated.</w:t>
            </w:r>
          </w:p>
        </w:tc>
      </w:tr>
    </w:tbl>
    <w:p>
      <w:pPr>
        <w:pStyle w:val="Heading2"/>
        <w:keepNext/>
        <w:keepLines/>
        <w:spacing w:after="160" w:before="400"/>
      </w:pPr>
      <w:r>
        <w:rPr>
          <w:rFonts w:ascii="Calibri" w:cs="Calibri" w:eastAsia="Calibri" w:hAnsi="Calibri"/>
          <w:b/>
          <w:bCs/>
          <w:color w:val="5B2D8E"/>
          <w:sz w:val="36"/>
          <w:szCs w:val="36"/>
        </w:rPr>
        <w:t xml:space="preserve">13.4 Plugin Development Best Practices</w:t>
      </w:r>
    </w:p>
    <w:p>
      <w:pPr>
        <w:spacing w:after="120" w:before="80" w:line="276"/>
        <w:jc w:val="both"/>
      </w:pPr>
      <w:r>
        <w:rPr>
          <w:rFonts w:ascii="Calibri" w:cs="Calibri" w:eastAsia="Calibri" w:hAnsi="Calibri"/>
          <w:color w:val="4A4A4A"/>
          <w:sz w:val="22"/>
          <w:szCs w:val="22"/>
        </w:rPr>
        <w:t xml:space="preserve">Guidewire provides detailed guidance on plugin development best practices. The following principles are the most critical for implementation teams:</w:t>
      </w:r>
    </w:p>
    <w:p>
      <w:pPr>
        <w:pStyle w:val="ListParagraph"/>
        <w:numPr>
          <w:ilvl w:val="0"/>
          <w:numId w:val="1"/>
        </w:numPr>
        <w:spacing w:after="60" w:before="40"/>
      </w:pPr>
      <w:r>
        <w:rPr>
          <w:rFonts w:ascii="Calibri" w:cs="Calibri" w:eastAsia="Calibri" w:hAnsi="Calibri"/>
          <w:color w:val="4A4A4A"/>
          <w:sz w:val="22"/>
          <w:szCs w:val="22"/>
        </w:rPr>
        <w:t xml:space="preserve">Stateless Design: Plugins must be stateless — they should not maintain state between invocations. The OSGi container may instantiate multiple instances of a plugin class, and there is no guarantee that the same instance will be called for consecutive requests. Use thread-local storage or request-scoped beans for any state that must persist within a single call.</w:t>
      </w:r>
    </w:p>
    <w:p>
      <w:pPr>
        <w:pStyle w:val="ListParagraph"/>
        <w:numPr>
          <w:ilvl w:val="0"/>
          <w:numId w:val="1"/>
        </w:numPr>
        <w:spacing w:after="60" w:before="40"/>
      </w:pPr>
      <w:r>
        <w:rPr>
          <w:rFonts w:ascii="Calibri" w:cs="Calibri" w:eastAsia="Calibri" w:hAnsi="Calibri"/>
          <w:color w:val="4A4A4A"/>
          <w:sz w:val="22"/>
          <w:szCs w:val="22"/>
        </w:rPr>
        <w:t xml:space="preserve">Transaction Awareness: Plugins execute within the context of the calling application's database transaction. If the plugin throws an uncaught exception, the entire transaction rolls back. Exceptions from external service calls should be caught and either handled gracefully (with fallback logic) or translated into Guidewire validation issues that are returned to the user.</w:t>
      </w:r>
    </w:p>
    <w:p>
      <w:pPr>
        <w:pStyle w:val="ListParagraph"/>
        <w:numPr>
          <w:ilvl w:val="0"/>
          <w:numId w:val="1"/>
        </w:numPr>
        <w:spacing w:after="60" w:before="40"/>
      </w:pPr>
      <w:r>
        <w:rPr>
          <w:rFonts w:ascii="Calibri" w:cs="Calibri" w:eastAsia="Calibri" w:hAnsi="Calibri"/>
          <w:color w:val="4A4A4A"/>
          <w:sz w:val="22"/>
          <w:szCs w:val="22"/>
        </w:rPr>
        <w:t xml:space="preserve">External Service Reliability: External services called from plugins will occasionally be unavailable. Implement circuit breaker patterns for all external service calls. If the service is unavailable, fail gracefully rather than blocking the application user's operation.</w:t>
      </w:r>
    </w:p>
    <w:p>
      <w:pPr>
        <w:pStyle w:val="ListParagraph"/>
        <w:numPr>
          <w:ilvl w:val="0"/>
          <w:numId w:val="1"/>
        </w:numPr>
        <w:spacing w:after="60" w:before="40"/>
      </w:pPr>
      <w:r>
        <w:rPr>
          <w:rFonts w:ascii="Calibri" w:cs="Calibri" w:eastAsia="Calibri" w:hAnsi="Calibri"/>
          <w:color w:val="4A4A4A"/>
          <w:sz w:val="22"/>
          <w:szCs w:val="22"/>
        </w:rPr>
        <w:t xml:space="preserve">Performance: Plugin execution adds latency to the application operation that triggered it. Document generation, MVR retrieval, and credit scoring can take several seconds. For user-facing operations, consider moving long-running plugin operations to background threads or work queue items to avoid blocking the UI.</w:t>
      </w:r>
    </w:p>
    <w:p>
      <w:pPr>
        <w:pStyle w:val="ListParagraph"/>
        <w:numPr>
          <w:ilvl w:val="0"/>
          <w:numId w:val="1"/>
        </w:numPr>
        <w:spacing w:after="60" w:before="40"/>
      </w:pPr>
      <w:r>
        <w:rPr>
          <w:rFonts w:ascii="Calibri" w:cs="Calibri" w:eastAsia="Calibri" w:hAnsi="Calibri"/>
          <w:color w:val="4A4A4A"/>
          <w:sz w:val="22"/>
          <w:szCs w:val="22"/>
        </w:rPr>
        <w:t xml:space="preserve">Logging: Use the Guidewire logging framework (PLLoggerCategory) rather than direct log4j calls. This ensures that plugin logs appear in the correct log file with the appropriate log level controls.</w:t>
      </w:r>
    </w:p>
    <w:p>
      <w:pPr>
        <w:pStyle w:val="ListParagraph"/>
        <w:numPr>
          <w:ilvl w:val="0"/>
          <w:numId w:val="1"/>
        </w:numPr>
        <w:spacing w:after="60" w:before="40"/>
      </w:pPr>
      <w:r>
        <w:rPr>
          <w:rFonts w:ascii="Calibri" w:cs="Calibri" w:eastAsia="Calibri" w:hAnsi="Calibri"/>
          <w:color w:val="4A4A4A"/>
          <w:sz w:val="22"/>
          <w:szCs w:val="22"/>
        </w:rPr>
        <w:t xml:space="preserve">Testing: Plugins must have unit tests that mock the external service. Integration tests that call the real service should be limited to the CI/CD pipeline's integration testing stage and should not run as part of the standard unit test suite.</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00"/>
        </w:tblCellMar>
      </w:tblPr>
      <w:tblGrid>
        <w:gridCol w:w="9360"/>
      </w:tblGrid>
      <w:tr>
        <w:tc>
          <w:tcPr>
            <w:tcW w:type="dxa" w:w="9360"/>
            <w:shd w:fill="5B2D8E" w:val="clear"/>
            <w:tcMar>
              <w:top w:type="dxa" w:w="300"/>
              <w:left w:type="dxa" w:w="400"/>
              <w:bottom w:type="dxa" w:w="300"/>
              <w:right w:type="dxa" w:w="400"/>
            </w:tcMar>
          </w:tcPr>
          <w:p>
            <w:pPr>
              <w:spacing w:after="60"/>
            </w:pPr>
            <w:r>
              <w:rPr>
                <w:rFonts w:ascii="Calibri" w:cs="Calibri" w:eastAsia="Calibri" w:hAnsi="Calibri"/>
                <w:b/>
                <w:bCs/>
                <w:caps/>
                <w:color w:val="F5A623"/>
                <w:spacing w:val="60"/>
                <w:sz w:val="18"/>
                <w:szCs w:val="18"/>
              </w:rPr>
              <w:t xml:space="preserve">RAPIDAI TECH™</w:t>
            </w:r>
          </w:p>
          <w:p>
            <w:pPr>
              <w:spacing w:after="0"/>
            </w:pPr>
            <w:r>
              <w:rPr>
                <w:rFonts w:ascii="Calibri" w:cs="Calibri" w:eastAsia="Calibri" w:hAnsi="Calibri"/>
                <w:b/>
                <w:bCs/>
                <w:color w:val="FFFFFF"/>
                <w:sz w:val="52"/>
                <w:szCs w:val="52"/>
              </w:rPr>
              <w:t xml:space="preserve">Appendices</w:t>
            </w:r>
          </w:p>
        </w:tc>
      </w:tr>
    </w:tbl>
    <w:p>
      <w:r>
        <w:br w:type="page"/>
      </w:r>
    </w:p>
    <w:p>
      <w:pPr>
        <w:pStyle w:val="Heading1"/>
        <w:keepNext/>
        <w:keepLines/>
        <w:spacing w:after="160" w:before="400"/>
      </w:pPr>
      <w:r>
        <w:rPr>
          <w:rFonts w:ascii="Calibri" w:cs="Calibri" w:eastAsia="Calibri" w:hAnsi="Calibri"/>
          <w:b/>
          <w:bCs/>
          <w:color w:val="5B2D8E"/>
          <w:sz w:val="48"/>
          <w:szCs w:val="48"/>
        </w:rPr>
        <w:t xml:space="preserve">Appendix A: Glossary of Key Terms</w:t>
      </w:r>
    </w:p>
    <w:p>
      <w:pPr>
        <w:spacing w:after="120" w:before="80" w:line="276"/>
        <w:jc w:val="both"/>
      </w:pPr>
      <w:r>
        <w:rPr>
          <w:rFonts w:ascii="Calibri" w:cs="Calibri" w:eastAsia="Calibri" w:hAnsi="Calibri"/>
          <w:color w:val="4A4A4A"/>
          <w:sz w:val="22"/>
          <w:szCs w:val="22"/>
        </w:rPr>
        <w:t xml:space="preserve">This glossary defines the key terms used throughout this handbook. Terms are drawn from the Guidewire InsuranceSuite documentation and standard P&amp;C insurance industry terminology.</w:t>
      </w:r>
    </w:p>
    <w:p>
      <w:pPr>
        <w:pBdr>
          <w:bottom w:val="single" w:color="5B2D8E" w:sz="6" w:space="1"/>
        </w:pBdr>
        <w:spacing w:after="120" w:before="120"/>
      </w:pP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700"/>
        <w:gridCol w:w="6660"/>
      </w:tblGrid>
      <w:tr>
        <w:trPr>
          <w:tblHeader/>
        </w:trPr>
        <w:tc>
          <w:tcPr>
            <w:tcW w:type="dxa" w:w="2700"/>
            <w:shd w:fill="5B2D8E" w:val="clear"/>
            <w:tcMar>
              <w:top w:type="dxa" w:w="80"/>
              <w:left w:type="dxa" w:w="160"/>
              <w:bottom w:type="dxa" w:w="80"/>
              <w:right w:type="dxa" w:w="160"/>
            </w:tcMar>
          </w:tcPr>
          <w:p>
            <w:pPr>
              <w:spacing w:after="0"/>
            </w:pPr>
            <w:r>
              <w:rPr>
                <w:rFonts w:ascii="Calibri" w:cs="Calibri" w:eastAsia="Calibri" w:hAnsi="Calibri"/>
                <w:b/>
                <w:bCs/>
                <w:color w:val="FFFFFF"/>
                <w:sz w:val="20"/>
                <w:szCs w:val="20"/>
              </w:rPr>
              <w:t xml:space="preserve">Term</w:t>
            </w:r>
          </w:p>
        </w:tc>
        <w:tc>
          <w:tcPr>
            <w:tcW w:type="dxa" w:w="6660"/>
            <w:shd w:fill="5B2D8E" w:val="clear"/>
            <w:tcMar>
              <w:top w:type="dxa" w:w="80"/>
              <w:left w:type="dxa" w:w="160"/>
              <w:bottom w:type="dxa" w:w="80"/>
              <w:right w:type="dxa" w:w="160"/>
            </w:tcMar>
          </w:tcPr>
          <w:p>
            <w:pPr>
              <w:spacing w:after="0"/>
            </w:pPr>
            <w:r>
              <w:rPr>
                <w:rFonts w:ascii="Calibri" w:cs="Calibri" w:eastAsia="Calibri" w:hAnsi="Calibri"/>
                <w:color w:val="FFFFFF"/>
                <w:sz w:val="20"/>
                <w:szCs w:val="20"/>
              </w:rPr>
              <w:t xml:space="preserve">Definition</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Allocated Loss Adjustment Expense (ALAE)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Claim handling costs that can be directly attributed to a specific claim, such as attorney fees, independent adjuster fees, and expert witness costs. Tracked separately from unallocated expenses (ULAE).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Authority Limit</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The maximum financial or risk exposure that a user or role is permitted to approve without escalating to a higher authority. Authority limits can be set for premium, coverage amounts, and underwriting issue approval.</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BillingInstruction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structured command sent from PolicyCenter to BillingCenter to create or adjust charges on a billing account as a result of a policy lifecycle event.</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Catastrophe (CAT)</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defined loss event of unusual severity affecting multiple policyholders simultaneously. CAT events are managed through ClaimCenter's Catastrophe Management module.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Coverage Term</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modifiable attribute of a Coverage, such as the coverage limit, deductible, or retroactive date. Coverage terms are typed and may have a defined set of available values.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Data Transfer Object (DTO)</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Java class used to carry data between layers of the application or between applications via SOAP web services. DTOs are generated from the Guidewire data model.</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Delinquency</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The state of a billing account that has missed one or more required payment installments. BillingCenter manages the delinquency lifecycle including notices, late fees, and cancellation referrals.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Earned Premium</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The portion of written premium that the carrier has "earned" by providing insurance coverage for a period that has already elapsed. Earned premium is the basis for financial reporting.</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Eligibility Rule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business rule that determines whether a risk qualifies for a specific product, coverage, or coverage option. Eligibility failures generate underwriting issues.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Exposure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The claim against a specific coverage in ClaimCenter. A Claim may have multiple Exposures — one per claimant and coverage type. Reserves, payments, and losses are tracked at the Exposure level.</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First Notice of Loss (FNOL)</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The initial report of a loss event to the carrier, which opens a Claim in ClaimCenter and initiates the claims handling process.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Gosu</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Guidewire's proprietary JVM scripting language used for business logic, rules, and workflow implementation throughout InsuranceSuite. Gosu is statically typed and has syntax similar to Java.</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IBNR</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Incurred But Not Reported. The actuarial estimate of losses that have occurred but not yet been reported to the carrier. A critical component of the carrier's loss reserve.</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Integration Graph</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The configuration file in the Cloud API that defines how resources are related, enabling the API to return related entities in a single request.</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Job</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PolicyCenter business transaction that processes a change to a policy. Job types include Submission, PolicyChange, Renewal, Cancellation, Reinstatement, Rewrite, and Audit.</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Line of Business (LOB)</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category of insurance products, such as PersonalAuto, Homeowners, or CommercialGeneralLiability. In PolicyCenter, LOBs are implemented as PolicyLine subtypes.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Messaging</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Guidewire's framework for publishing events from InsuranceSuite applications to external systems via JMS or Kafka message queues.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OSGi</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Open Services Gateway Initiative — the module system used by the Guidewire Plugin Framework. Plugins are packaged as OSGi bundles.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PCF (Product Configuration Framework)</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Guidewire's XML-based language for defining the application user interface. PCF files define screens, panels, widgets, and their data bindings.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Plugin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Guidewire extension point implemented as an OSGi bundle that can be deployed to add custom business logic or third-party service integration to InsuranceSuite applications.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Policy Period</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specific term of coverage associated with a Policy. The PolicyPeriod entity holds all coverage, rating, and premium data for one term.</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Prebuilt Integration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Guidewire Marketplace-certified integration package developed by a Guidewire partner that implements a standard integration pattern with a named third-party system.</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PublicID</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The stable external identifier for a Guidewire entity. PublicIDs are used in web service payloads and API resources to reference Guidewire records from external systems.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Reserve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financial estimate of the ultimate cost of settling a specific claim exposure, maintained at the exposure level in ClaimCenter. Reserve types include damages, expenses, and legal.</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Subrogation</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The process by which a carrier recovers losses paid on behalf of its insured from a responsible third party.</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Typekey</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Guidewire enumeration value drawn from a typelist. Typekeys are used throughout the data model to represent coded values such as coverage types, claim status values, and business entity types.</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Underwriting Issue (UWI)</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A system-generated alert that flags a risk characteristic outside acceptable underwriting parameters. UWIs can be Advisory, Referred, or Blocked depending on their severity.</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Work Queue Engine (WQE)</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BillingCenter's asynchronous processing engine that handles high-volume financial operations such as charge creation, payment application, and commission calculation.</w:t>
            </w:r>
          </w:p>
        </w:tc>
      </w:tr>
      <w:tr>
        <w:trPr>
          <w:tblHeader w:val="false"/>
        </w:trPr>
        <w:tc>
          <w:tcPr>
            <w:tcW w:type="dxa" w:w="2700"/>
            <w:shd w:fill="F5F5F5" w:val="clear"/>
            <w:tcMar>
              <w:top w:type="dxa" w:w="80"/>
              <w:left w:type="dxa" w:w="160"/>
              <w:bottom w:type="dxa" w:w="80"/>
              <w:right w:type="dxa" w:w="160"/>
            </w:tcMar>
          </w:tcPr>
          <w:p>
            <w:pPr>
              <w:spacing w:after="0"/>
            </w:pPr>
            <w:r>
              <w:rPr>
                <w:rFonts w:ascii="Calibri" w:cs="Calibri" w:eastAsia="Calibri" w:hAnsi="Calibri"/>
                <w:b w:val="false"/>
                <w:bCs w:val="false"/>
                <w:color w:val="1A1A2E"/>
                <w:sz w:val="20"/>
                <w:szCs w:val="20"/>
              </w:rPr>
              <w:t xml:space="preserve">Written Premium</w:t>
            </w:r>
          </w:p>
        </w:tc>
        <w:tc>
          <w:tcPr>
            <w:tcW w:type="dxa" w:w="6660"/>
            <w:shd w:fill="FFFFFF" w:val="clear"/>
            <w:tcMar>
              <w:top w:type="dxa" w:w="80"/>
              <w:left w:type="dxa" w:w="160"/>
              <w:bottom w:type="dxa" w:w="80"/>
              <w:right w:type="dxa" w:w="160"/>
            </w:tcMar>
          </w:tcPr>
          <w:p>
            <w:pPr>
              <w:spacing w:after="0"/>
            </w:pPr>
            <w:r>
              <w:rPr>
                <w:rFonts w:ascii="Calibri" w:cs="Calibri" w:eastAsia="Calibri" w:hAnsi="Calibri"/>
                <w:color w:val="4A4A4A"/>
                <w:sz w:val="20"/>
                <w:szCs w:val="20"/>
              </w:rPr>
              <w:t xml:space="preserve">The total premium booked by the carrier at policy issuance or endorsement. Written premium represents the carrier's contractual obligation to provide coverage for the full policy period.</w:t>
            </w:r>
          </w:p>
        </w:tc>
      </w:tr>
    </w:tbl>
    <w:p>
      <w:r>
        <w:br w:type="page"/>
      </w:r>
    </w:p>
    <w:p>
      <w:pPr>
        <w:pStyle w:val="Heading1"/>
        <w:keepNext/>
        <w:keepLines/>
        <w:spacing w:after="160" w:before="400"/>
      </w:pPr>
      <w:r>
        <w:rPr>
          <w:rFonts w:ascii="Calibri" w:cs="Calibri" w:eastAsia="Calibri" w:hAnsi="Calibri"/>
          <w:b/>
          <w:bCs/>
          <w:color w:val="5B2D8E"/>
          <w:sz w:val="48"/>
          <w:szCs w:val="48"/>
        </w:rPr>
        <w:t xml:space="preserve">Appendix B: Quick Reference — Key Configuration Parameters</w:t>
      </w:r>
    </w:p>
    <w:p>
      <w:pPr>
        <w:spacing w:after="120" w:before="80" w:line="276"/>
        <w:jc w:val="both"/>
      </w:pPr>
      <w:r>
        <w:rPr>
          <w:rFonts w:ascii="Calibri" w:cs="Calibri" w:eastAsia="Calibri" w:hAnsi="Calibri"/>
          <w:color w:val="4A4A4A"/>
          <w:sz w:val="22"/>
          <w:szCs w:val="22"/>
        </w:rPr>
        <w:t xml:space="preserve">The tables below provide rapid lookup for the most frequently referenced configuration parameters in each InsuranceSuite product.</w:t>
      </w:r>
    </w:p>
    <w:p>
      <w:pPr>
        <w:pStyle w:val="Heading2"/>
        <w:keepNext/>
        <w:keepLines/>
        <w:spacing w:after="160" w:before="400"/>
      </w:pPr>
      <w:r>
        <w:rPr>
          <w:rFonts w:ascii="Calibri" w:cs="Calibri" w:eastAsia="Calibri" w:hAnsi="Calibri"/>
          <w:b/>
          <w:bCs/>
          <w:color w:val="5B2D8E"/>
          <w:sz w:val="36"/>
          <w:szCs w:val="36"/>
        </w:rPr>
        <w:t xml:space="preserve">B.1 PolicyCenter Key Parameters</w:t>
      </w: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200"/>
        <w:gridCol w:w="3000"/>
        <w:gridCol w:w="4160"/>
      </w:tblGrid>
      <w:tr>
        <w:trPr>
          <w:tblHeader/>
        </w:trPr>
        <w:tc>
          <w:tcPr>
            <w:tcW w:type="dxa" w:w="2200"/>
            <w:shd w:fill="5B2D8E"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Parameter</w:t>
            </w:r>
          </w:p>
        </w:tc>
        <w:tc>
          <w:tcPr>
            <w:tcW w:type="dxa" w:w="3000"/>
            <w:shd w:fill="5B2D8E"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Default</w:t>
            </w:r>
          </w:p>
        </w:tc>
        <w:tc>
          <w:tcPr>
            <w:tcW w:type="dxa" w:w="4160"/>
            <w:shd w:fill="5B2D8E"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Notes</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archive.minimumagedays</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365</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Minimum days before policy eligible for archival. Must respect regulatory retention requirements.</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assignment.strategy</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RoundRobin</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Assignment algorithm: RoundRobin, LoadBalanced, SkillBased.</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batch.maxthreads</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10</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Max batch processing threads. Scale with server capacity.</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cache.typelist.ttlminutes</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60</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Typelist cache TTL. Changes not visible until cache expires.</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security.sessiontimeoutminutes</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30</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User session idle timeout. Align with security policy.</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security.maxfailedlogins</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5</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Account lockout threshold. Balance security and usability.</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security.requiremfa</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false (dev)</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Enable MFA in all production environments.</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security.passwordminlength</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12</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Minimum password length. NIST recommends 8+; use 12+.</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batch.alertthreshold</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100</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Failures per batch run that trigger an operational alert.</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archive.batchsize</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1000</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Records per archive batch. Tune to avoid lock contention.</w:t>
            </w:r>
          </w:p>
        </w:tc>
      </w:tr>
    </w:tbl>
    <w:p>
      <w:pPr>
        <w:pStyle w:val="Heading2"/>
        <w:keepNext/>
        <w:keepLines/>
        <w:spacing w:after="160" w:before="400"/>
      </w:pPr>
      <w:r>
        <w:rPr>
          <w:rFonts w:ascii="Calibri" w:cs="Calibri" w:eastAsia="Calibri" w:hAnsi="Calibri"/>
          <w:b/>
          <w:bCs/>
          <w:color w:val="5B2D8E"/>
          <w:sz w:val="36"/>
          <w:szCs w:val="36"/>
        </w:rPr>
        <w:t xml:space="preserve">B.2 ClaimCenter Key Parameters</w:t>
      </w: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200"/>
        <w:gridCol w:w="3000"/>
        <w:gridCol w:w="4160"/>
      </w:tblGrid>
      <w:tr>
        <w:trPr>
          <w:tblHeader/>
        </w:trPr>
        <w:tc>
          <w:tcPr>
            <w:tcW w:type="dxa" w:w="2200"/>
            <w:shd w:fill="5B2D8E"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Parameter</w:t>
            </w:r>
          </w:p>
        </w:tc>
        <w:tc>
          <w:tcPr>
            <w:tcW w:type="dxa" w:w="3000"/>
            <w:shd w:fill="5B2D8E"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Default</w:t>
            </w:r>
          </w:p>
        </w:tc>
        <w:tc>
          <w:tcPr>
            <w:tcW w:type="dxa" w:w="4160"/>
            <w:shd w:fill="5B2D8E"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Notes</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approval.paymentlimit.default</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$5,000</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Default adjuster payment authority. Set conservatively.</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approval.reservechange.threshold</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$10,000</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Reserve change requiring supervisor approval.</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approval.denialrequiresreview</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true</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Supervisor review required before denial letter. Keep enabled.</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assignment.maxadjusterclaims</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100</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Adjuster at-capacity threshold. Calibrate to claims mix.</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assignment.escalationdays</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5</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Days before unworked claim escalates to supervisor.</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financials.ibnrmodel</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Factor</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IBNR model: Factor, BornhuetterFerguson, Custom.</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financials.duplicatepayment.windowdays</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365</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Duplicate payment detection lookback window.</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financials.reservehistory.retainyears</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7</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Reserve history retention. Must meet SOL requirements.</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assignment.litigationreassign</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false</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Auto-reassign litigated claims to litigation specialists.</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financials.maxpaymentrunsize</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5000</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Max payments per payment file run.</w:t>
            </w:r>
          </w:p>
        </w:tc>
      </w:tr>
    </w:tbl>
    <w:p>
      <w:pPr>
        <w:pStyle w:val="Heading2"/>
        <w:keepNext/>
        <w:keepLines/>
        <w:spacing w:after="160" w:before="400"/>
      </w:pPr>
      <w:r>
        <w:rPr>
          <w:rFonts w:ascii="Calibri" w:cs="Calibri" w:eastAsia="Calibri" w:hAnsi="Calibri"/>
          <w:b/>
          <w:bCs/>
          <w:color w:val="5B2D8E"/>
          <w:sz w:val="36"/>
          <w:szCs w:val="36"/>
        </w:rPr>
        <w:t xml:space="preserve">B.3 BillingCenter Key Parameters</w:t>
      </w:r>
    </w:p>
    <w:tbl>
      <w:tblPr>
        <w:tblW w:type="pct" w:w="100%"/>
        <w:tblBorders>
          <w:top w:val="single" w:color="5B2D8E" w:sz="4"/>
          <w:left w:val="none"/>
          <w:bottom w:val="single" w:color="5B2D8E" w:sz="4"/>
          <w:right w:val="none"/>
          <w:insideH w:val="single" w:color="auto" w:sz="4"/>
          <w:insideV w:val="single" w:color="auto" w:sz="4"/>
        </w:tblBorders>
        <w:tblCellMar>
          <w:top w:type="dxa" w:w="120"/>
          <w:bottom w:type="dxa" w:w="200"/>
        </w:tblCellMar>
      </w:tblPr>
      <w:tblGrid>
        <w:gridCol w:w="2200"/>
        <w:gridCol w:w="3000"/>
        <w:gridCol w:w="4160"/>
      </w:tblGrid>
      <w:tr>
        <w:trPr>
          <w:tblHeader/>
        </w:trPr>
        <w:tc>
          <w:tcPr>
            <w:tcW w:type="dxa" w:w="2200"/>
            <w:shd w:fill="5B2D8E"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Parameter</w:t>
            </w:r>
          </w:p>
        </w:tc>
        <w:tc>
          <w:tcPr>
            <w:tcW w:type="dxa" w:w="3000"/>
            <w:shd w:fill="5B2D8E"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Default</w:t>
            </w:r>
          </w:p>
        </w:tc>
        <w:tc>
          <w:tcPr>
            <w:tcW w:type="dxa" w:w="4160"/>
            <w:shd w:fill="5B2D8E"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Notes</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delinquency.graceperioddays</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10</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Days after due date before delinquency triggers.</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delinquency.firstnoticedays</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5</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Days after delinquency trigger for first notice.</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delinquency.secondnoticedays</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15</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Days after first notice for second (cancellation) notice.</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financials.installmentfee.amount</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$5.00</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Default installment fee. Check state regulatory limits.</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financials.latefee.amount</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$25.00</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Default late payment fee. Subject to state limits.</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financials.nsfee.amount</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$30.00</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NSF/returned payment fee. Subject to state limits.</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workqueue.maxthreads</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8</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Work Queue Engine threads. Scale for volume.</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workqueue.pollingintervalms</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5000</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Work queue poll interval in ms. Reduce for high throughput.</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commission.paymentcycle</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Monthly</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Commission payment frequency: Weekly, Biweekly, Monthly.</w:t>
            </w:r>
          </w:p>
        </w:tc>
      </w:tr>
      <w:tr>
        <w:trPr>
          <w:tblHeader w:val="false"/>
        </w:trPr>
        <w:tc>
          <w:tcPr>
            <w:tcW w:type="dxa" w:w="2200"/>
            <w:shd w:fill="F5F5F5" w:val="clear"/>
            <w:tcMar>
              <w:top w:type="dxa" w:w="80"/>
              <w:left w:type="dxa" w:w="120"/>
              <w:bottom w:type="dxa" w:w="80"/>
              <w:right w:type="dxa" w:w="120"/>
            </w:tcMar>
          </w:tcPr>
          <w:p>
            <w:pPr>
              <w:spacing w:after="0"/>
            </w:pPr>
            <w:r>
              <w:rPr>
                <w:rFonts w:ascii="Calibri" w:cs="Calibri" w:eastAsia="Calibri" w:hAnsi="Calibri"/>
                <w:b w:val="false"/>
                <w:bCs w:val="false"/>
                <w:color w:val="1A1A2E"/>
                <w:sz w:val="19"/>
                <w:szCs w:val="19"/>
              </w:rPr>
              <w:t xml:space="preserve">commission.chargebackwindowdays</w:t>
            </w:r>
          </w:p>
        </w:tc>
        <w:tc>
          <w:tcPr>
            <w:tcW w:type="dxa" w:w="300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365</w:t>
            </w:r>
          </w:p>
        </w:tc>
        <w:tc>
          <w:tcPr>
            <w:tcW w:type="dxa" w:w="4160"/>
            <w:shd w:fill="FFFFFF" w:val="clear"/>
            <w:tcMar>
              <w:top w:type="dxa" w:w="80"/>
              <w:left w:type="dxa" w:w="120"/>
              <w:bottom w:type="dxa" w:w="80"/>
              <w:right w:type="dxa" w:w="120"/>
            </w:tcMar>
          </w:tcPr>
          <w:p>
            <w:pPr>
              <w:spacing w:after="0"/>
            </w:pPr>
            <w:r>
              <w:rPr>
                <w:rFonts w:ascii="Calibri" w:cs="Calibri" w:eastAsia="Calibri" w:hAnsi="Calibri"/>
                <w:b w:val="false"/>
                <w:bCs w:val="false"/>
                <w:color w:val="4A4A4A"/>
                <w:sz w:val="19"/>
                <w:szCs w:val="19"/>
              </w:rPr>
              <w:t xml:space="preserve">Commission chargeback window for cancelled policies.</w:t>
            </w:r>
          </w:p>
        </w:tc>
      </w:tr>
    </w:tbl>
    <w:p>
      <w:pPr>
        <w:spacing w:before="400"/>
      </w:pPr>
    </w:p>
    <w:p>
      <w:pPr>
        <w:pBdr>
          <w:bottom w:val="single" w:color="5B2D8E" w:sz="6" w:space="1"/>
        </w:pBdr>
        <w:spacing w:after="120" w:before="120"/>
      </w:pPr>
    </w:p>
    <w:p>
      <w:pPr>
        <w:spacing w:after="0" w:before="200"/>
        <w:jc w:val="center"/>
      </w:pPr>
      <w:r>
        <w:rPr>
          <w:rFonts w:ascii="Calibri" w:cs="Calibri" w:eastAsia="Calibri" w:hAnsi="Calibri"/>
          <w:i/>
          <w:iCs/>
          <w:color w:val="4A4A4A"/>
          <w:sz w:val="16"/>
          <w:szCs w:val="16"/>
        </w:rPr>
        <w:t xml:space="preserve">© 2025 RapidAI Tech™  |  All rights reserved  |  Guidewire is a trademark of Guidewire Software, Inc.  |  This document is for instructional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936"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2026-09-24T18:34:15.428Z</dcterms:created>
  <dcterms:modified xsi:type="dcterms:W3CDTF">2026-09-24T18:34:15.430Z</dcterms:modified>
</cp:coreProperties>
</file>

<file path=docProps/custom.xml><?xml version="1.0" encoding="utf-8"?>
<Properties xmlns="http://schemas.openxmlformats.org/officeDocument/2006/custom-properties" xmlns:vt="http://schemas.openxmlformats.org/officeDocument/2006/docPropsVTypes"/>
</file>