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aps/>
          <w:color w:val="F5A623"/>
          <w:spacing w:val="120"/>
          <w:sz w:val="28"/>
          <w:szCs w:val="28"/>
        </w:rPr>
        <w:t xml:space="preserve">RAPIDAI TECH™</w:t>
      </w:r>
    </w:p>
    <w:p>
      <w:pPr>
        <w:spacing w:after="60"/>
        <w:jc w:val="center"/>
      </w:pPr>
      <w:r>
        <w:rPr>
          <w:rFonts w:ascii="Calibri" w:cs="Calibri" w:eastAsia="Calibri" w:hAnsi="Calibri"/>
          <w:b/>
          <w:bCs/>
          <w:color w:val="5B2D8E"/>
          <w:sz w:val="64"/>
          <w:szCs w:val="64"/>
        </w:rPr>
        <w:t xml:space="preserve">Guidewire InsuranceSuite</w:t>
      </w:r>
    </w:p>
    <w:p>
      <w:pPr>
        <w:spacing w:after="200"/>
        <w:jc w:val="center"/>
      </w:pPr>
      <w:r>
        <w:rPr>
          <w:rFonts w:ascii="Calibri" w:cs="Calibri" w:eastAsia="Calibri" w:hAnsi="Calibri"/>
          <w:color w:val="5B2D8E"/>
          <w:sz w:val="40"/>
          <w:szCs w:val="40"/>
        </w:rPr>
        <w:t xml:space="preserve">Assessment &amp; Certification Test</w:t>
      </w:r>
    </w:p>
    <w:p>
      <w:pPr>
        <w:spacing w:after="200"/>
        <w:jc w:val="center"/>
      </w:pPr>
      <w:r>
        <w:rPr>
          <w:rFonts w:ascii="Calibri" w:cs="Calibri" w:eastAsia="Calibri" w:hAnsi="Calibri"/>
          <w:color w:val="E0E0E0"/>
          <w:sz w:val="22"/>
          <w:szCs w:val="22"/>
        </w:rPr>
        <w:t xml:space="preserve">─────────────────────────────────────────</w:t>
      </w:r>
    </w:p>
    <w:p>
      <w:pPr>
        <w:spacing w:after="80"/>
        <w:jc w:val="center"/>
      </w:pPr>
      <w:r>
        <w:rPr>
          <w:rFonts w:ascii="Calibri" w:cs="Calibri" w:eastAsia="Calibri" w:hAnsi="Calibri"/>
          <w:color w:val="4A4A4A"/>
          <w:sz w:val="24"/>
          <w:szCs w:val="24"/>
        </w:rPr>
        <w:t xml:space="preserve">80 Multiple Choice Questions  |  4 Sections  |  90 Minutes</w:t>
      </w:r>
    </w:p>
    <w:p>
      <w:pPr>
        <w:spacing w:after="400"/>
        <w:jc w:val="center"/>
      </w:pPr>
      <w:r>
        <w:rPr>
          <w:rFonts w:ascii="Calibri" w:cs="Calibri" w:eastAsia="Calibri" w:hAnsi="Calibri"/>
          <w:i/>
          <w:iCs/>
          <w:color w:val="4A4A4A"/>
          <w:sz w:val="22"/>
          <w:szCs w:val="22"/>
        </w:rPr>
        <w:t xml:space="preserve">PolicyCenter  ·  ClaimCenter  ·  BillingCenter  ·  Integration</w:t>
      </w:r>
    </w:p>
    <w:p>
      <w:pPr>
        <w:jc w:val="center"/>
      </w:pPr>
      <w:r>
        <w:rPr>
          <w:rFonts w:ascii="Calibri" w:cs="Calibri" w:eastAsia="Calibri" w:hAnsi="Calibri"/>
          <w:color w:val="4A4A4A"/>
          <w:sz w:val="18"/>
          <w:szCs w:val="18"/>
        </w:rPr>
        <w:t xml:space="preserve">© 2025 RapidAI Tech™  |  For training use only</w:t>
      </w:r>
    </w:p>
    <w:p>
      <w:r>
        <w:br w:type="page"/>
      </w:r>
    </w:p>
    <w:p>
      <w:pPr>
        <w:pStyle w:val="Heading1"/>
        <w:keepNext/>
        <w:spacing w:after="160" w:before="400"/>
      </w:pPr>
      <w:r>
        <w:rPr>
          <w:rFonts w:ascii="Calibri" w:cs="Calibri" w:eastAsia="Calibri" w:hAnsi="Calibri"/>
          <w:b/>
          <w:bCs/>
          <w:color w:val="5B2D8E"/>
          <w:sz w:val="48"/>
          <w:szCs w:val="48"/>
        </w:rPr>
        <w:t xml:space="preserve">Test Instructions</w:t>
      </w:r>
    </w:p>
    <w:p>
      <w:pPr>
        <w:spacing w:after="100" w:before="60"/>
      </w:pPr>
      <w:r>
        <w:rPr>
          <w:rFonts w:ascii="Calibri" w:cs="Calibri" w:eastAsia="Calibri" w:hAnsi="Calibri"/>
          <w:color w:val="4A4A4A"/>
          <w:sz w:val="22"/>
          <w:szCs w:val="22"/>
        </w:rPr>
        <w:t xml:space="preserve">This assessment covers the Guidewire InsuranceSuite platform across four subject areas: PolicyCenter (Questions 1–20), ClaimCenter (Questions 21–40), BillingCenter (Questions 41–60), and Integration (Questions 61–80). Each question has four answer choices (A through D); select the single best answer.</w:t>
      </w:r>
    </w:p>
    <w:p>
      <w:pPr>
        <w:spacing w:after="100" w:before="60"/>
      </w:pPr>
      <w:r>
        <w:rPr>
          <w:rFonts w:ascii="Calibri" w:cs="Calibri" w:eastAsia="Calibri" w:hAnsi="Calibri"/>
          <w:color w:val="4A4A4A"/>
          <w:sz w:val="22"/>
          <w:szCs w:val="22"/>
        </w:rPr>
        <w:t xml:space="preserve">Time allowed: 90 minutes. Passing score: 70% (56 correct out of 80). Questions are weighted equally at 1.25 points each.</w:t>
      </w:r>
    </w:p>
    <w:p>
      <w:pPr>
        <w:spacing w:after="100" w:before="60"/>
      </w:pPr>
      <w:r>
        <w:rPr>
          <w:rFonts w:ascii="Calibri" w:cs="Calibri" w:eastAsia="Calibri" w:hAnsi="Calibri"/>
          <w:color w:val="4A4A4A"/>
          <w:sz w:val="22"/>
          <w:szCs w:val="22"/>
        </w:rPr>
        <w:t xml:space="preserve">Answers and explanations are provided inline after each question for self-study purposes. For formal certification examinations, use the answer-key-only version of this document.</w:t>
      </w:r>
    </w:p>
    <w:p>
      <w:pPr>
        <w:pBdr>
          <w:bottom w:val="single" w:color="5B2D8E" w:sz="6" w:space="1"/>
        </w:pBdr>
        <w:spacing w:after="120" w:before="12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shd w:fill="5B2D8E" w:val="clear"/>
            <w:tcMar>
              <w:top w:type="dxa" w:w="240"/>
              <w:left w:type="dxa" w:w="400"/>
              <w:bottom w:type="dxa" w:w="240"/>
              <w:right w:type="dxa" w:w="400"/>
            </w:tcMar>
          </w:tcPr>
          <w:p>
            <w:pPr>
              <w:spacing w:after="40"/>
            </w:pPr>
            <w:r>
              <w:rPr>
                <w:rFonts w:ascii="Calibri" w:cs="Calibri" w:eastAsia="Calibri" w:hAnsi="Calibri"/>
                <w:b/>
                <w:bCs/>
                <w:caps/>
                <w:color w:val="F5A623"/>
                <w:sz w:val="18"/>
                <w:szCs w:val="18"/>
              </w:rPr>
              <w:t xml:space="preserve">RAPIDAI TECH™</w:t>
            </w:r>
          </w:p>
          <w:p>
            <w:pPr>
              <w:spacing w:after="40"/>
            </w:pPr>
            <w:r>
              <w:rPr>
                <w:rFonts w:ascii="Calibri" w:cs="Calibri" w:eastAsia="Calibri" w:hAnsi="Calibri"/>
                <w:b/>
                <w:bCs/>
                <w:color w:val="FFFFFF"/>
                <w:sz w:val="44"/>
                <w:szCs w:val="44"/>
              </w:rPr>
              <w:t xml:space="preserve">Section 1: PolicyCenter</w:t>
            </w:r>
          </w:p>
          <w:p>
            <w:pPr>
              <w:spacing w:after="0"/>
            </w:pPr>
            <w:r>
              <w:rPr>
                <w:rFonts w:ascii="Calibri" w:cs="Calibri" w:eastAsia="Calibri" w:hAnsi="Calibri"/>
                <w:i/>
                <w:iCs/>
                <w:color w:val="E0E0E0"/>
                <w:sz w:val="22"/>
                <w:szCs w:val="22"/>
              </w:rPr>
              <w:t xml:space="preserve">Questions 1–20  |  20 points</w:t>
            </w:r>
          </w:p>
        </w:tc>
      </w:tr>
    </w:tbl>
    <w:p>
      <w:pPr>
        <w:spacing w:before="200"/>
      </w:pPr>
    </w:p>
    <w:p>
      <w:pPr>
        <w:spacing w:after="80" w:before="20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In PolicyCenter, which entity holds all coverage, rating, and premium data for a specific term of coverage?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Policy</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PolicyPeriod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PolicyLine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Account</w:t>
      </w:r>
    </w:p>
    <w:p>
      <w:pPr>
        <w:pBdr>
          <w:left w:val="thick" w:color="2E7D32" w:sz="12"/>
        </w:pBdr>
        <w:spacing w:after="40" w:before="60"/>
        <w:ind w:left="360"/>
      </w:pPr>
      <w:r>
        <w:rPr>
          <w:rFonts w:ascii="Calibri" w:cs="Calibri" w:eastAsia="Calibri" w:hAnsi="Calibri"/>
          <w:i/>
          <w:iCs/>
          <w:color w:val="555555"/>
          <w:sz w:val="19"/>
          <w:szCs w:val="19"/>
        </w:rPr>
        <w:t xml:space="preserve">Answer: B — The PolicyPeriod entity represents a specific coverage term. The Policy is the top-level container; the PolicyPeriod holds coverage details, limits, and rating information for one term.</w:t>
      </w:r>
    </w:p>
    <w:p>
      <w:pPr>
        <w:spacing w:after="80" w:before="20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Which PolicyCenter job type is used to re-issue a policy for a new term at expiry?</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PolicyChange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Reinstatement</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Renewal</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Rewrite</w:t>
      </w:r>
    </w:p>
    <w:p>
      <w:pPr>
        <w:pBdr>
          <w:left w:val="thick" w:color="2E7D32" w:sz="12"/>
        </w:pBdr>
        <w:spacing w:after="40" w:before="60"/>
        <w:ind w:left="360"/>
      </w:pPr>
      <w:r>
        <w:rPr>
          <w:rFonts w:ascii="Calibri" w:cs="Calibri" w:eastAsia="Calibri" w:hAnsi="Calibri"/>
          <w:i/>
          <w:iCs/>
          <w:color w:val="555555"/>
          <w:sz w:val="19"/>
          <w:szCs w:val="19"/>
        </w:rPr>
        <w:t xml:space="preserve">Answer: C — A Renewal job re-issues an expiring policy for a new term. A Rewrite is used to substantially restructure a cancelled or expired policy. A PolicyChange is a mid-term endorsement.</w:t>
      </w:r>
    </w:p>
    <w:p>
      <w:pPr>
        <w:spacing w:after="80" w:before="20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What is the correct sequence of states for a Submission in PolicyCenter?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Draft → Bound → Quoted → Issued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Draft → Quoting → Quoted → Bound → Issued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Quoting → Draft → UW Review → Bound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Draft → UW Review → Approved → Closed</w:t>
      </w:r>
    </w:p>
    <w:p>
      <w:pPr>
        <w:pBdr>
          <w:left w:val="thick" w:color="2E7D32" w:sz="12"/>
        </w:pBdr>
        <w:spacing w:after="40" w:before="60"/>
        <w:ind w:left="360"/>
      </w:pPr>
      <w:r>
        <w:rPr>
          <w:rFonts w:ascii="Calibri" w:cs="Calibri" w:eastAsia="Calibri" w:hAnsi="Calibri"/>
          <w:i/>
          <w:iCs/>
          <w:color w:val="555555"/>
          <w:sz w:val="19"/>
          <w:szCs w:val="19"/>
        </w:rPr>
        <w:t xml:space="preserve">Answer: B — The standard Submission lifecycle is: Draft (data entry) → Quoting (rating) → Quoted (approved premium) → Bound (insured accepted terms) → Issued (documents dispatched).</w:t>
      </w:r>
    </w:p>
    <w:p>
      <w:pPr>
        <w:spacing w:after="80" w:before="20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An Underwriting Issue with severity "Blocked" means: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submission requires a senior underwriter review before binding</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submission cannot be bound regardless of the underwriter's authority level</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underwriting issue is informational only and does not impact binding</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submission is automatically declined</w:t>
      </w:r>
    </w:p>
    <w:p>
      <w:pPr>
        <w:pBdr>
          <w:left w:val="thick" w:color="2E7D32" w:sz="12"/>
        </w:pBdr>
        <w:spacing w:after="40" w:before="60"/>
        <w:ind w:left="360"/>
      </w:pPr>
      <w:r>
        <w:rPr>
          <w:rFonts w:ascii="Calibri" w:cs="Calibri" w:eastAsia="Calibri" w:hAnsi="Calibri"/>
          <w:i/>
          <w:iCs/>
          <w:color w:val="555555"/>
          <w:sz w:val="19"/>
          <w:szCs w:val="19"/>
        </w:rPr>
        <w:t xml:space="preserve">Answer: B — A Blocked UWI prevents binding entirely regardless of authority. Referred UWIs block binding until an authorized person reviews and approves them. Advisory UWIs are informational.</w:t>
      </w:r>
    </w:p>
    <w:p>
      <w:pPr>
        <w:spacing w:after="80" w:before="200"/>
      </w:pPr>
      <w:r>
        <w:rPr>
          <w:rFonts w:ascii="Calibri" w:cs="Calibri" w:eastAsia="Calibri" w:hAnsi="Calibri"/>
          <w:b/>
          <w:bCs/>
          <w:color w:val="1A1A2E"/>
          <w:sz w:val="22"/>
          <w:szCs w:val="22"/>
        </w:rPr>
        <w:t xml:space="preserve">5. </w:t>
      </w:r>
      <w:r>
        <w:rPr>
          <w:rFonts w:ascii="Calibri" w:cs="Calibri" w:eastAsia="Calibri" w:hAnsi="Calibri"/>
          <w:color w:val="1A1A2E"/>
          <w:sz w:val="22"/>
          <w:szCs w:val="22"/>
        </w:rPr>
        <w:t xml:space="preserve">Which configuration file in PolicyCenter defines the user interface screens, widgets, and their data bindings?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Gosu (.gs) files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PCF (Product Configuration Framework) XML files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WSDL files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apiconfig.yaml</w:t>
      </w:r>
    </w:p>
    <w:p>
      <w:pPr>
        <w:pBdr>
          <w:left w:val="thick" w:color="2E7D32" w:sz="12"/>
        </w:pBdr>
        <w:spacing w:after="40" w:before="60"/>
        <w:ind w:left="360"/>
      </w:pPr>
      <w:r>
        <w:rPr>
          <w:rFonts w:ascii="Calibri" w:cs="Calibri" w:eastAsia="Calibri" w:hAnsi="Calibri"/>
          <w:i/>
          <w:iCs/>
          <w:color w:val="555555"/>
          <w:sz w:val="19"/>
          <w:szCs w:val="19"/>
        </w:rPr>
        <w:t xml:space="preserve">Answer: B — PCF (Product Configuration Framework) XML files define the PolicyCenter user interface. Gosu files implement business logic. WSDL files define SOAP web service contracts.</w:t>
      </w:r>
    </w:p>
    <w:p>
      <w:pPr>
        <w:spacing w:after="80" w:before="200"/>
      </w:pPr>
      <w:r>
        <w:rPr>
          <w:rFonts w:ascii="Calibri" w:cs="Calibri" w:eastAsia="Calibri" w:hAnsi="Calibri"/>
          <w:b/>
          <w:bCs/>
          <w:color w:val="1A1A2E"/>
          <w:sz w:val="22"/>
          <w:szCs w:val="22"/>
        </w:rPr>
        <w:t xml:space="preserve">6. </w:t>
      </w:r>
      <w:r>
        <w:rPr>
          <w:rFonts w:ascii="Calibri" w:cs="Calibri" w:eastAsia="Calibri" w:hAnsi="Calibri"/>
          <w:color w:val="1A1A2E"/>
          <w:sz w:val="22"/>
          <w:szCs w:val="22"/>
        </w:rPr>
        <w:t xml:space="preserve">What is the primary purpose of the "Account" entity in the PolicyCenter data model?</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It stores the premium calculation for a policy period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It represents the customer relationship and can have multiple policies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It defines the coverage options available for a product</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It holds the billing instructions for BillingCenter</w:t>
      </w:r>
    </w:p>
    <w:p>
      <w:pPr>
        <w:pBdr>
          <w:left w:val="thick" w:color="2E7D32" w:sz="12"/>
        </w:pBdr>
        <w:spacing w:after="40" w:before="60"/>
        <w:ind w:left="360"/>
      </w:pPr>
      <w:r>
        <w:rPr>
          <w:rFonts w:ascii="Calibri" w:cs="Calibri" w:eastAsia="Calibri" w:hAnsi="Calibri"/>
          <w:i/>
          <w:iCs/>
          <w:color w:val="555555"/>
          <w:sz w:val="19"/>
          <w:szCs w:val="19"/>
        </w:rPr>
        <w:t xml:space="preserve">Answer: B — The Account represents the customer relationship. Multiple Policies can be associated with one Account. The Account is also the focal point for contact management and billing.</w:t>
      </w:r>
    </w:p>
    <w:p>
      <w:pPr>
        <w:spacing w:after="80" w:before="200"/>
      </w:pPr>
      <w:r>
        <w:rPr>
          <w:rFonts w:ascii="Calibri" w:cs="Calibri" w:eastAsia="Calibri" w:hAnsi="Calibri"/>
          <w:b/>
          <w:bCs/>
          <w:color w:val="1A1A2E"/>
          <w:sz w:val="22"/>
          <w:szCs w:val="22"/>
        </w:rPr>
        <w:t xml:space="preserve">7. </w:t>
      </w:r>
      <w:r>
        <w:rPr>
          <w:rFonts w:ascii="Calibri" w:cs="Calibri" w:eastAsia="Calibri" w:hAnsi="Calibri"/>
          <w:color w:val="1A1A2E"/>
          <w:sz w:val="22"/>
          <w:szCs w:val="22"/>
        </w:rPr>
        <w:t xml:space="preserve">In PolicyCenter, what type of Gosu class is used to define a custom assignment rule for policy jobs?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An extension of AbstractEligibilityCondition</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An implementation of IAutoAssignPlugin</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A Gosu rule in the Business Rules framework</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PCF InputSetRef widget</w:t>
      </w:r>
    </w:p>
    <w:p>
      <w:pPr>
        <w:pBdr>
          <w:left w:val="thick" w:color="2E7D32" w:sz="12"/>
        </w:pBdr>
        <w:spacing w:after="40" w:before="60"/>
        <w:ind w:left="360"/>
      </w:pPr>
      <w:r>
        <w:rPr>
          <w:rFonts w:ascii="Calibri" w:cs="Calibri" w:eastAsia="Calibri" w:hAnsi="Calibri"/>
          <w:i/>
          <w:iCs/>
          <w:color w:val="555555"/>
          <w:sz w:val="19"/>
          <w:szCs w:val="19"/>
        </w:rPr>
        <w:t xml:space="preserve">Answer: C — Custom assignment logic for jobs within PolicyCenter is implemented as Gosu rules in the Business Rules framework. IAutoAssignPlugin is a ClaimCenter plugin interface for claim assignment.</w:t>
      </w:r>
    </w:p>
    <w:p>
      <w:pPr>
        <w:spacing w:after="80" w:before="200"/>
      </w:pPr>
      <w:r>
        <w:rPr>
          <w:rFonts w:ascii="Calibri" w:cs="Calibri" w:eastAsia="Calibri" w:hAnsi="Calibri"/>
          <w:b/>
          <w:bCs/>
          <w:color w:val="1A1A2E"/>
          <w:sz w:val="22"/>
          <w:szCs w:val="22"/>
        </w:rPr>
        <w:t xml:space="preserve">8. </w:t>
      </w:r>
      <w:r>
        <w:rPr>
          <w:rFonts w:ascii="Calibri" w:cs="Calibri" w:eastAsia="Calibri" w:hAnsi="Calibri"/>
          <w:color w:val="1A1A2E"/>
          <w:sz w:val="22"/>
          <w:szCs w:val="22"/>
        </w:rPr>
        <w:t xml:space="preserve">Which parameter controls the maximum number of PolicyCenter batch processing threads across all batch processes?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batch.maxconcurrent</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batch.maxthreads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batch.pooltsize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archive.batchsize</w:t>
      </w:r>
    </w:p>
    <w:p>
      <w:pPr>
        <w:pBdr>
          <w:left w:val="thick" w:color="2E7D32" w:sz="12"/>
        </w:pBdr>
        <w:spacing w:after="40" w:before="60"/>
        <w:ind w:left="360"/>
      </w:pPr>
      <w:r>
        <w:rPr>
          <w:rFonts w:ascii="Calibri" w:cs="Calibri" w:eastAsia="Calibri" w:hAnsi="Calibri"/>
          <w:i/>
          <w:iCs/>
          <w:color w:val="555555"/>
          <w:sz w:val="19"/>
          <w:szCs w:val="19"/>
        </w:rPr>
        <w:t xml:space="preserve">Answer: B — batch.maxthreads controls the total number of threads available to the batch execution pool across all batch processes. archive.batchsize controls archive batch record count, not thread count.</w:t>
      </w:r>
    </w:p>
    <w:p>
      <w:pPr>
        <w:spacing w:after="80" w:before="200"/>
      </w:pPr>
      <w:r>
        <w:rPr>
          <w:rFonts w:ascii="Calibri" w:cs="Calibri" w:eastAsia="Calibri" w:hAnsi="Calibri"/>
          <w:b/>
          <w:bCs/>
          <w:color w:val="1A1A2E"/>
          <w:sz w:val="22"/>
          <w:szCs w:val="22"/>
        </w:rPr>
        <w:t xml:space="preserve">9. </w:t>
      </w:r>
      <w:r>
        <w:rPr>
          <w:rFonts w:ascii="Calibri" w:cs="Calibri" w:eastAsia="Calibri" w:hAnsi="Calibri"/>
          <w:color w:val="1A1A2E"/>
          <w:sz w:val="22"/>
          <w:szCs w:val="22"/>
        </w:rPr>
        <w:t xml:space="preserve">A carrier wants mid-term endorsements to a commercial package policy to require manager approval when the premium increase exceeds $5,000. Where is this configured in PolicyCenter?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In the ProductModel eligibility rules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In the Job workflow configuration and authority limits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In the batch.alertthreshold parameter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 the BillingCenter commission schedule</w:t>
      </w:r>
    </w:p>
    <w:p>
      <w:pPr>
        <w:pBdr>
          <w:left w:val="thick" w:color="2E7D32" w:sz="12"/>
        </w:pBdr>
        <w:spacing w:after="40" w:before="60"/>
        <w:ind w:left="360"/>
      </w:pPr>
      <w:r>
        <w:rPr>
          <w:rFonts w:ascii="Calibri" w:cs="Calibri" w:eastAsia="Calibri" w:hAnsi="Calibri"/>
          <w:i/>
          <w:iCs/>
          <w:color w:val="555555"/>
          <w:sz w:val="19"/>
          <w:szCs w:val="19"/>
        </w:rPr>
        <w:t xml:space="preserve">Answer: B — Approval thresholds for endorsements are configured via the Job workflow (to route the job to approval when the threshold is met) and authority limits (to define who can approve at what premium level).</w:t>
      </w:r>
    </w:p>
    <w:p>
      <w:pPr>
        <w:spacing w:after="80" w:before="200"/>
      </w:pPr>
      <w:r>
        <w:rPr>
          <w:rFonts w:ascii="Calibri" w:cs="Calibri" w:eastAsia="Calibri" w:hAnsi="Calibri"/>
          <w:b/>
          <w:bCs/>
          <w:color w:val="1A1A2E"/>
          <w:sz w:val="22"/>
          <w:szCs w:val="22"/>
        </w:rPr>
        <w:t xml:space="preserve">10. </w:t>
      </w:r>
      <w:r>
        <w:rPr>
          <w:rFonts w:ascii="Calibri" w:cs="Calibri" w:eastAsia="Calibri" w:hAnsi="Calibri"/>
          <w:color w:val="1A1A2E"/>
          <w:sz w:val="22"/>
          <w:szCs w:val="22"/>
        </w:rPr>
        <w:t xml:space="preserve">What distinguishes a "Development" environment from a "Production" environment in PolicyCenter?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Development uses a different database schema than Production</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Development runs in mutable mode allowing config changes without full restart; Production runs read-only</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Development cannot process SOAP calls; Production can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Development uses Gosu 2.x; Production uses Gosu 3.x</w:t>
      </w:r>
    </w:p>
    <w:p>
      <w:pPr>
        <w:pBdr>
          <w:left w:val="thick" w:color="2E7D32" w:sz="12"/>
        </w:pBdr>
        <w:spacing w:after="40" w:before="60"/>
        <w:ind w:left="360"/>
      </w:pPr>
      <w:r>
        <w:rPr>
          <w:rFonts w:ascii="Calibri" w:cs="Calibri" w:eastAsia="Calibri" w:hAnsi="Calibri"/>
          <w:i/>
          <w:iCs/>
          <w:color w:val="555555"/>
          <w:sz w:val="19"/>
          <w:szCs w:val="19"/>
        </w:rPr>
        <w:t xml:space="preserve">Answer: B — Development environments run in mutable mode — configuration files can be regenerated and security dictionaries updated without a full restart. Production environments are read-only for configuration resources.</w:t>
      </w:r>
    </w:p>
    <w:p>
      <w:pPr>
        <w:spacing w:after="80" w:before="200"/>
      </w:pPr>
      <w:r>
        <w:rPr>
          <w:rFonts w:ascii="Calibri" w:cs="Calibri" w:eastAsia="Calibri" w:hAnsi="Calibri"/>
          <w:b/>
          <w:bCs/>
          <w:color w:val="1A1A2E"/>
          <w:sz w:val="22"/>
          <w:szCs w:val="22"/>
        </w:rPr>
        <w:t xml:space="preserve">11. </w:t>
      </w:r>
      <w:r>
        <w:rPr>
          <w:rFonts w:ascii="Calibri" w:cs="Calibri" w:eastAsia="Calibri" w:hAnsi="Calibri"/>
          <w:color w:val="1A1A2E"/>
          <w:sz w:val="22"/>
          <w:szCs w:val="22"/>
        </w:rPr>
        <w:t xml:space="preserve">Which of the following is NOT a valid reason for a Cancellation in PolicyCenter?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Non-payment of premium</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Underwriting non-renewal</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Insured-requested cancellation</w:t>
      </w:r>
    </w:p>
    <w:p>
      <w:pPr>
        <w:spacing w:after="30" w:before="30"/>
      </w:pPr>
      <w:r>
        <w:rPr>
          <w:rFonts w:ascii="Calibri" w:cs="Calibri" w:eastAsia="Calibri" w:hAnsi="Calibri"/>
          <w:b/>
          <w:bCs/>
          <w:color w:val="2E7D32"/>
          <w:sz w:val="21"/>
          <w:szCs w:val="21"/>
        </w:rPr>
        <w:t xml:space="preserve">    D) </w:t>
      </w:r>
      <w:r>
        <w:rPr>
          <w:rFonts w:ascii="Calibri" w:cs="Calibri" w:eastAsia="Calibri" w:hAnsi="Calibri"/>
          <w:b/>
          <w:bCs/>
          <w:color w:val="2E7D32"/>
          <w:sz w:val="21"/>
          <w:szCs w:val="21"/>
        </w:rPr>
        <w:t xml:space="preserve">Policy renewal at the same terms</w:t>
      </w:r>
    </w:p>
    <w:p>
      <w:pPr>
        <w:pBdr>
          <w:left w:val="thick" w:color="2E7D32" w:sz="12"/>
        </w:pBdr>
        <w:spacing w:after="40" w:before="60"/>
        <w:ind w:left="360"/>
      </w:pPr>
      <w:r>
        <w:rPr>
          <w:rFonts w:ascii="Calibri" w:cs="Calibri" w:eastAsia="Calibri" w:hAnsi="Calibri"/>
          <w:i/>
          <w:iCs/>
          <w:color w:val="555555"/>
          <w:sz w:val="19"/>
          <w:szCs w:val="19"/>
        </w:rPr>
        <w:t xml:space="preserve">Answer: D — Policy renewal at the same terms is a Renewal job, not a Cancellation. Cancellations include non-pay (carrier-initiated), insured-requested, and underwriting (carrier-initiated for risk reasons).</w:t>
      </w:r>
    </w:p>
    <w:p>
      <w:pPr>
        <w:spacing w:after="80" w:before="200"/>
      </w:pPr>
      <w:r>
        <w:rPr>
          <w:rFonts w:ascii="Calibri" w:cs="Calibri" w:eastAsia="Calibri" w:hAnsi="Calibri"/>
          <w:b/>
          <w:bCs/>
          <w:color w:val="1A1A2E"/>
          <w:sz w:val="22"/>
          <w:szCs w:val="22"/>
        </w:rPr>
        <w:t xml:space="preserve">12. </w:t>
      </w:r>
      <w:r>
        <w:rPr>
          <w:rFonts w:ascii="Calibri" w:cs="Calibri" w:eastAsia="Calibri" w:hAnsi="Calibri"/>
          <w:color w:val="1A1A2E"/>
          <w:sz w:val="22"/>
          <w:szCs w:val="22"/>
        </w:rPr>
        <w:t xml:space="preserve">In PolicyCenter cloud deployments, which identity protocol is preferred for integrating with an enterprise IdP for single sign-on?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LDAP v3 directory bind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SAML 2.0 or OAuth 2.0</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Kerberos ticket authentication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HTTP Basic Authentication over TLS</w:t>
      </w:r>
    </w:p>
    <w:p>
      <w:pPr>
        <w:pBdr>
          <w:left w:val="thick" w:color="2E7D32" w:sz="12"/>
        </w:pBdr>
        <w:spacing w:after="40" w:before="60"/>
        <w:ind w:left="360"/>
      </w:pPr>
      <w:r>
        <w:rPr>
          <w:rFonts w:ascii="Calibri" w:cs="Calibri" w:eastAsia="Calibri" w:hAnsi="Calibri"/>
          <w:i/>
          <w:iCs/>
          <w:color w:val="555555"/>
          <w:sz w:val="19"/>
          <w:szCs w:val="19"/>
        </w:rPr>
        <w:t xml:space="preserve">Answer: B — PolicyCenter Cloud supports SAML 2.0 and OAuth 2.0 for SSO integration with enterprise IdPs such as Azure AD, Okta, and Ping Identity. LDAP bind and Basic Auth are not recommended for cloud deployments.</w:t>
      </w:r>
    </w:p>
    <w:p>
      <w:pPr>
        <w:spacing w:after="80" w:before="200"/>
      </w:pPr>
      <w:r>
        <w:rPr>
          <w:rFonts w:ascii="Calibri" w:cs="Calibri" w:eastAsia="Calibri" w:hAnsi="Calibri"/>
          <w:b/>
          <w:bCs/>
          <w:color w:val="1A1A2E"/>
          <w:sz w:val="22"/>
          <w:szCs w:val="22"/>
        </w:rPr>
        <w:t xml:space="preserve">13. </w:t>
      </w:r>
      <w:r>
        <w:rPr>
          <w:rFonts w:ascii="Calibri" w:cs="Calibri" w:eastAsia="Calibri" w:hAnsi="Calibri"/>
          <w:color w:val="1A1A2E"/>
          <w:sz w:val="22"/>
          <w:szCs w:val="22"/>
        </w:rPr>
        <w:t xml:space="preserve">When a user is a member of two groups with different authority limits, what is their effective authority for premium binding?</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lower of the two authority limits applies (most restrictive)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higher of the two authority limits applies (least restrictive)</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average of the two authority limits applies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Authority limits cannot be stacked — only the primary group applies</w:t>
      </w:r>
    </w:p>
    <w:p>
      <w:pPr>
        <w:pBdr>
          <w:left w:val="thick" w:color="2E7D32" w:sz="12"/>
        </w:pBdr>
        <w:spacing w:after="40" w:before="60"/>
        <w:ind w:left="360"/>
      </w:pPr>
      <w:r>
        <w:rPr>
          <w:rFonts w:ascii="Calibri" w:cs="Calibri" w:eastAsia="Calibri" w:hAnsi="Calibri"/>
          <w:i/>
          <w:iCs/>
          <w:color w:val="555555"/>
          <w:sz w:val="19"/>
          <w:szCs w:val="19"/>
        </w:rPr>
        <w:t xml:space="preserve">Answer: B — PolicyCenter takes the maximum (union) of authority limits across all of a user's active roles. A user in Group A (limit $100K) and Group B (limit $250K) has an effective limit of $250K.</w:t>
      </w:r>
    </w:p>
    <w:p>
      <w:pPr>
        <w:spacing w:after="80" w:before="200"/>
      </w:pPr>
      <w:r>
        <w:rPr>
          <w:rFonts w:ascii="Calibri" w:cs="Calibri" w:eastAsia="Calibri" w:hAnsi="Calibri"/>
          <w:b/>
          <w:bCs/>
          <w:color w:val="1A1A2E"/>
          <w:sz w:val="22"/>
          <w:szCs w:val="22"/>
        </w:rPr>
        <w:t xml:space="preserve">14. </w:t>
      </w:r>
      <w:r>
        <w:rPr>
          <w:rFonts w:ascii="Calibri" w:cs="Calibri" w:eastAsia="Calibri" w:hAnsi="Calibri"/>
          <w:color w:val="1A1A2E"/>
          <w:sz w:val="22"/>
          <w:szCs w:val="22"/>
        </w:rPr>
        <w:t xml:space="preserve">What is the purpose of the "cache.typelist.ttlminutes" configuration parameter?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It defines how long PolicyCenter caches user session tokens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It controls the time-to-live of the typelist (typekey values) cache; changes to typelists are not visible until the cache expires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It sets the maximum time a typelist query can run before timeout</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It defines the polling interval for batch job status updates</w:t>
      </w:r>
    </w:p>
    <w:p>
      <w:pPr>
        <w:pBdr>
          <w:left w:val="thick" w:color="2E7D32" w:sz="12"/>
        </w:pBdr>
        <w:spacing w:after="40" w:before="60"/>
        <w:ind w:left="360"/>
      </w:pPr>
      <w:r>
        <w:rPr>
          <w:rFonts w:ascii="Calibri" w:cs="Calibri" w:eastAsia="Calibri" w:hAnsi="Calibri"/>
          <w:i/>
          <w:iCs/>
          <w:color w:val="555555"/>
          <w:sz w:val="19"/>
          <w:szCs w:val="19"/>
        </w:rPr>
        <w:t xml:space="preserve">Answer: B — The typelist cache stores all typekey values and their display names. Changes to typelists (adding new values, modifying descriptions) do not take effect in the running application until this TTL expires or the server restarts.</w:t>
      </w:r>
    </w:p>
    <w:p>
      <w:pPr>
        <w:spacing w:after="80" w:before="200"/>
      </w:pPr>
      <w:r>
        <w:rPr>
          <w:rFonts w:ascii="Calibri" w:cs="Calibri" w:eastAsia="Calibri" w:hAnsi="Calibri"/>
          <w:b/>
          <w:bCs/>
          <w:color w:val="1A1A2E"/>
          <w:sz w:val="22"/>
          <w:szCs w:val="22"/>
        </w:rPr>
        <w:t xml:space="preserve">15. </w:t>
      </w:r>
      <w:r>
        <w:rPr>
          <w:rFonts w:ascii="Calibri" w:cs="Calibri" w:eastAsia="Calibri" w:hAnsi="Calibri"/>
          <w:color w:val="1A1A2E"/>
          <w:sz w:val="22"/>
          <w:szCs w:val="22"/>
        </w:rPr>
        <w:t xml:space="preserve">Which entity in PolicyCenter stores the insured item — such as a vehicle, building, or person?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Coverage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PolicyLine</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Risk</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CoverTerm</w:t>
      </w:r>
    </w:p>
    <w:p>
      <w:pPr>
        <w:pBdr>
          <w:left w:val="thick" w:color="2E7D32" w:sz="12"/>
        </w:pBdr>
        <w:spacing w:after="40" w:before="60"/>
        <w:ind w:left="360"/>
      </w:pPr>
      <w:r>
        <w:rPr>
          <w:rFonts w:ascii="Calibri" w:cs="Calibri" w:eastAsia="Calibri" w:hAnsi="Calibri"/>
          <w:i/>
          <w:iCs/>
          <w:color w:val="555555"/>
          <w:sz w:val="19"/>
          <w:szCs w:val="19"/>
        </w:rPr>
        <w:t xml:space="preserve">Answer: C — The Risk entity represents the insured item. Subtypes of Risk vary by line of business: Vehicle for auto, Building for property, DriverPerson for driver records. Coverages are applied to Risks.</w:t>
      </w:r>
    </w:p>
    <w:p>
      <w:pPr>
        <w:spacing w:after="80" w:before="200"/>
      </w:pPr>
      <w:r>
        <w:rPr>
          <w:rFonts w:ascii="Calibri" w:cs="Calibri" w:eastAsia="Calibri" w:hAnsi="Calibri"/>
          <w:b/>
          <w:bCs/>
          <w:color w:val="1A1A2E"/>
          <w:sz w:val="22"/>
          <w:szCs w:val="22"/>
        </w:rPr>
        <w:t xml:space="preserve">16. </w:t>
      </w:r>
      <w:r>
        <w:rPr>
          <w:rFonts w:ascii="Calibri" w:cs="Calibri" w:eastAsia="Calibri" w:hAnsi="Calibri"/>
          <w:color w:val="1A1A2E"/>
          <w:sz w:val="22"/>
          <w:szCs w:val="22"/>
        </w:rPr>
        <w:t xml:space="preserve">The accPurge_RenewalGeneration batch process in PolicyCenter is responsible for: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Archiving aged policy records to the archive database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Automatically generating renewal PolicyPeriods a configurable number of days before expiry</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Purging voided submissions from the database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Generating cancellation notices for non-pay policies</w:t>
      </w:r>
    </w:p>
    <w:p>
      <w:pPr>
        <w:pBdr>
          <w:left w:val="thick" w:color="2E7D32" w:sz="12"/>
        </w:pBdr>
        <w:spacing w:after="40" w:before="60"/>
        <w:ind w:left="360"/>
      </w:pPr>
      <w:r>
        <w:rPr>
          <w:rFonts w:ascii="Calibri" w:cs="Calibri" w:eastAsia="Calibri" w:hAnsi="Calibri"/>
          <w:i/>
          <w:iCs/>
          <w:color w:val="555555"/>
          <w:sz w:val="19"/>
          <w:szCs w:val="19"/>
        </w:rPr>
        <w:t xml:space="preserve">Answer: B — The AccPurge_RenewalGeneration batch process generates renewal PolicyPeriods ahead of the expiry date. The lead time and automatic renewal criteria are configurable per product.</w:t>
      </w:r>
    </w:p>
    <w:p>
      <w:pPr>
        <w:spacing w:after="80" w:before="200"/>
      </w:pPr>
      <w:r>
        <w:rPr>
          <w:rFonts w:ascii="Calibri" w:cs="Calibri" w:eastAsia="Calibri" w:hAnsi="Calibri"/>
          <w:b/>
          <w:bCs/>
          <w:color w:val="1A1A2E"/>
          <w:sz w:val="22"/>
          <w:szCs w:val="22"/>
        </w:rPr>
        <w:t xml:space="preserve">17. </w:t>
      </w:r>
      <w:r>
        <w:rPr>
          <w:rFonts w:ascii="Calibri" w:cs="Calibri" w:eastAsia="Calibri" w:hAnsi="Calibri"/>
          <w:color w:val="1A1A2E"/>
          <w:sz w:val="22"/>
          <w:szCs w:val="22"/>
        </w:rPr>
        <w:t xml:space="preserve">What does the "Rating Management" module in PolicyCenter provide?</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A built-in module for configuring rating tables and algorithms within PolicyCenter, without a separate external rating engine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A module for managing user authority limits for premium approval</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reporting module for reviewing historical rate changes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module for importing rates from ISO circulars</w:t>
      </w:r>
    </w:p>
    <w:p>
      <w:pPr>
        <w:pBdr>
          <w:left w:val="thick" w:color="2E7D32" w:sz="12"/>
        </w:pBdr>
        <w:spacing w:after="40" w:before="60"/>
        <w:ind w:left="360"/>
      </w:pPr>
      <w:r>
        <w:rPr>
          <w:rFonts w:ascii="Calibri" w:cs="Calibri" w:eastAsia="Calibri" w:hAnsi="Calibri"/>
          <w:i/>
          <w:iCs/>
          <w:color w:val="555555"/>
          <w:sz w:val="19"/>
          <w:szCs w:val="19"/>
        </w:rPr>
        <w:t xml:space="preserve">Answer: A — Rating Management is PolicyCenter's built-in rating engine. It allows carriers to define rate tables, rate algorithms, and rating sequences within PolicyCenter itself, eliminating the need for a separate external rating system.</w:t>
      </w:r>
    </w:p>
    <w:p>
      <w:pPr>
        <w:spacing w:after="80" w:before="200"/>
      </w:pPr>
      <w:r>
        <w:rPr>
          <w:rFonts w:ascii="Calibri" w:cs="Calibri" w:eastAsia="Calibri" w:hAnsi="Calibri"/>
          <w:b/>
          <w:bCs/>
          <w:color w:val="1A1A2E"/>
          <w:sz w:val="22"/>
          <w:szCs w:val="22"/>
        </w:rPr>
        <w:t xml:space="preserve">18. </w:t>
      </w:r>
      <w:r>
        <w:rPr>
          <w:rFonts w:ascii="Calibri" w:cs="Calibri" w:eastAsia="Calibri" w:hAnsi="Calibri"/>
          <w:color w:val="1A1A2E"/>
          <w:sz w:val="22"/>
          <w:szCs w:val="22"/>
        </w:rPr>
        <w:t xml:space="preserve">In a PolicyCenter implementation, which of the following best describes an "Eligibility Rule"?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rule that calculates the premium for a specific coverage selection</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business rule that determines whether a risk qualifies for a product, coverage, or coverage option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rule that routes a submission to the appropriate underwriting queue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configuration rule that defines the payment schedule for a policy</w:t>
      </w:r>
    </w:p>
    <w:p>
      <w:pPr>
        <w:pBdr>
          <w:left w:val="thick" w:color="2E7D32" w:sz="12"/>
        </w:pBdr>
        <w:spacing w:after="40" w:before="60"/>
        <w:ind w:left="360"/>
      </w:pPr>
      <w:r>
        <w:rPr>
          <w:rFonts w:ascii="Calibri" w:cs="Calibri" w:eastAsia="Calibri" w:hAnsi="Calibri"/>
          <w:i/>
          <w:iCs/>
          <w:color w:val="555555"/>
          <w:sz w:val="19"/>
          <w:szCs w:val="19"/>
        </w:rPr>
        <w:t xml:space="preserve">Answer: B — Eligibility Rules are implemented in Gosu using the Business Rules framework. They evaluate risk characteristics against the carrier's underwriting appetite and generate UWIs if the risk falls outside acceptable parameters.</w:t>
      </w:r>
    </w:p>
    <w:p>
      <w:pPr>
        <w:spacing w:after="80" w:before="200"/>
      </w:pPr>
      <w:r>
        <w:rPr>
          <w:rFonts w:ascii="Calibri" w:cs="Calibri" w:eastAsia="Calibri" w:hAnsi="Calibri"/>
          <w:b/>
          <w:bCs/>
          <w:color w:val="1A1A2E"/>
          <w:sz w:val="22"/>
          <w:szCs w:val="22"/>
        </w:rPr>
        <w:t xml:space="preserve">19. </w:t>
      </w:r>
      <w:r>
        <w:rPr>
          <w:rFonts w:ascii="Calibri" w:cs="Calibri" w:eastAsia="Calibri" w:hAnsi="Calibri"/>
          <w:color w:val="1A1A2E"/>
          <w:sz w:val="22"/>
          <w:szCs w:val="22"/>
        </w:rPr>
        <w:t xml:space="preserve">Which type of PolicyCenter cancellation results in a return premium calculated on a short-rate basis?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Carrier-initiated cancellation for non-payment</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Flat cancellation within the first 30 days</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Insured-initiated (voluntary) cancellation mid-term</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Carrier-initiated cancellation for underwriting reasons</w:t>
      </w:r>
    </w:p>
    <w:p>
      <w:pPr>
        <w:pBdr>
          <w:left w:val="thick" w:color="2E7D32" w:sz="12"/>
        </w:pBdr>
        <w:spacing w:after="40" w:before="60"/>
        <w:ind w:left="360"/>
      </w:pPr>
      <w:r>
        <w:rPr>
          <w:rFonts w:ascii="Calibri" w:cs="Calibri" w:eastAsia="Calibri" w:hAnsi="Calibri"/>
          <w:i/>
          <w:iCs/>
          <w:color w:val="555555"/>
          <w:sz w:val="19"/>
          <w:szCs w:val="19"/>
        </w:rPr>
        <w:t xml:space="preserve">Answer: C — Short-rate (penalty) return premium is typically applied to insured-initiated mid-term cancellations, reflecting the carrier's higher per-period cost of providing short-term coverage. Non-pay and UW cancellations typically use pro-rata return premium.</w:t>
      </w:r>
    </w:p>
    <w:p>
      <w:pPr>
        <w:spacing w:after="80" w:before="200"/>
      </w:pPr>
      <w:r>
        <w:rPr>
          <w:rFonts w:ascii="Calibri" w:cs="Calibri" w:eastAsia="Calibri" w:hAnsi="Calibri"/>
          <w:b/>
          <w:bCs/>
          <w:color w:val="1A1A2E"/>
          <w:sz w:val="22"/>
          <w:szCs w:val="22"/>
        </w:rPr>
        <w:t xml:space="preserve">20. </w:t>
      </w:r>
      <w:r>
        <w:rPr>
          <w:rFonts w:ascii="Calibri" w:cs="Calibri" w:eastAsia="Calibri" w:hAnsi="Calibri"/>
          <w:color w:val="1A1A2E"/>
          <w:sz w:val="22"/>
          <w:szCs w:val="22"/>
        </w:rPr>
        <w:t xml:space="preserve">In PolicyCenter, what is the purpose of the "Rewrite" job type?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To renew a policy for a new term at the same coverage and premium</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To create a new policy that substantially replaces an existing cancelled or expired policy, typically when restructuring is required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To apply a mid-term endorsement that changes coverage limits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To reopen and resume a previously denied submission</w:t>
      </w:r>
    </w:p>
    <w:p>
      <w:pPr>
        <w:pBdr>
          <w:left w:val="thick" w:color="2E7D32" w:sz="12"/>
        </w:pBdr>
        <w:spacing w:after="40" w:before="60"/>
        <w:ind w:left="360"/>
      </w:pPr>
      <w:r>
        <w:rPr>
          <w:rFonts w:ascii="Calibri" w:cs="Calibri" w:eastAsia="Calibri" w:hAnsi="Calibri"/>
          <w:i/>
          <w:iCs/>
          <w:color w:val="555555"/>
          <w:sz w:val="19"/>
          <w:szCs w:val="19"/>
        </w:rPr>
        <w:t xml:space="preserve">Answer: B — A Rewrite creates a new policy that replaces a cancelled or expired policy when the coverage needs substantial restructuring — for example, when an insured changes entity type or when a product is discontinued and business is moved to a successor product.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shd w:fill="5B2D8E" w:val="clear"/>
            <w:tcMar>
              <w:top w:type="dxa" w:w="240"/>
              <w:left w:type="dxa" w:w="400"/>
              <w:bottom w:type="dxa" w:w="240"/>
              <w:right w:type="dxa" w:w="400"/>
            </w:tcMar>
          </w:tcPr>
          <w:p>
            <w:pPr>
              <w:spacing w:after="40"/>
            </w:pPr>
            <w:r>
              <w:rPr>
                <w:rFonts w:ascii="Calibri" w:cs="Calibri" w:eastAsia="Calibri" w:hAnsi="Calibri"/>
                <w:b/>
                <w:bCs/>
                <w:caps/>
                <w:color w:val="F5A623"/>
                <w:sz w:val="18"/>
                <w:szCs w:val="18"/>
              </w:rPr>
              <w:t xml:space="preserve">RAPIDAI TECH™</w:t>
            </w:r>
          </w:p>
          <w:p>
            <w:pPr>
              <w:spacing w:after="40"/>
            </w:pPr>
            <w:r>
              <w:rPr>
                <w:rFonts w:ascii="Calibri" w:cs="Calibri" w:eastAsia="Calibri" w:hAnsi="Calibri"/>
                <w:b/>
                <w:bCs/>
                <w:color w:val="FFFFFF"/>
                <w:sz w:val="44"/>
                <w:szCs w:val="44"/>
              </w:rPr>
              <w:t xml:space="preserve">Section 2: ClaimCenter</w:t>
            </w:r>
          </w:p>
          <w:p>
            <w:pPr>
              <w:spacing w:after="0"/>
            </w:pPr>
            <w:r>
              <w:rPr>
                <w:rFonts w:ascii="Calibri" w:cs="Calibri" w:eastAsia="Calibri" w:hAnsi="Calibri"/>
                <w:i/>
                <w:iCs/>
                <w:color w:val="E0E0E0"/>
                <w:sz w:val="22"/>
                <w:szCs w:val="22"/>
              </w:rPr>
              <w:t xml:space="preserve">Questions 21–40  |  20 points</w:t>
            </w:r>
          </w:p>
        </w:tc>
      </w:tr>
    </w:tbl>
    <w:p>
      <w:pPr>
        <w:spacing w:before="200"/>
      </w:pPr>
    </w:p>
    <w:p>
      <w:pPr>
        <w:spacing w:after="80" w:before="200"/>
      </w:pPr>
      <w:r>
        <w:rPr>
          <w:rFonts w:ascii="Calibri" w:cs="Calibri" w:eastAsia="Calibri" w:hAnsi="Calibri"/>
          <w:b/>
          <w:bCs/>
          <w:color w:val="1A1A2E"/>
          <w:sz w:val="22"/>
          <w:szCs w:val="22"/>
        </w:rPr>
        <w:t xml:space="preserve">21. </w:t>
      </w:r>
      <w:r>
        <w:rPr>
          <w:rFonts w:ascii="Calibri" w:cs="Calibri" w:eastAsia="Calibri" w:hAnsi="Calibri"/>
          <w:color w:val="1A1A2E"/>
          <w:sz w:val="22"/>
          <w:szCs w:val="22"/>
        </w:rPr>
        <w:t xml:space="preserve">In ClaimCenter, which entity tracks reserves, payments, and losses for a specific coverage and claimant combination?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Claim</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Incident</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Exposure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Matter</w:t>
      </w:r>
    </w:p>
    <w:p>
      <w:pPr>
        <w:pBdr>
          <w:left w:val="thick" w:color="2E7D32" w:sz="12"/>
        </w:pBdr>
        <w:spacing w:after="40" w:before="60"/>
        <w:ind w:left="360"/>
      </w:pPr>
      <w:r>
        <w:rPr>
          <w:rFonts w:ascii="Calibri" w:cs="Calibri" w:eastAsia="Calibri" w:hAnsi="Calibri"/>
          <w:i/>
          <w:iCs/>
          <w:color w:val="555555"/>
          <w:sz w:val="19"/>
          <w:szCs w:val="19"/>
        </w:rPr>
        <w:t xml:space="preserve">Answer: C — The Exposure represents the claim against a specific coverage for a specific claimant. Reserves, payments, and incurred losses are all tracked at the Exposure level. The Claim is the top-level container for all Exposures.</w:t>
      </w:r>
    </w:p>
    <w:p>
      <w:pPr>
        <w:spacing w:after="80" w:before="200"/>
      </w:pPr>
      <w:r>
        <w:rPr>
          <w:rFonts w:ascii="Calibri" w:cs="Calibri" w:eastAsia="Calibri" w:hAnsi="Calibri"/>
          <w:b/>
          <w:bCs/>
          <w:color w:val="1A1A2E"/>
          <w:sz w:val="22"/>
          <w:szCs w:val="22"/>
        </w:rPr>
        <w:t xml:space="preserve">22. </w:t>
      </w:r>
      <w:r>
        <w:rPr>
          <w:rFonts w:ascii="Calibri" w:cs="Calibri" w:eastAsia="Calibri" w:hAnsi="Calibri"/>
          <w:color w:val="1A1A2E"/>
          <w:sz w:val="22"/>
          <w:szCs w:val="22"/>
        </w:rPr>
        <w:t xml:space="preserve">What is the term for the initial report of a loss event to the carrier in ClaimCenter?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Claim Opening</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Loss Notice</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First Notice of Loss (FNOL)</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Incident Report</w:t>
      </w:r>
    </w:p>
    <w:p>
      <w:pPr>
        <w:pBdr>
          <w:left w:val="thick" w:color="2E7D32" w:sz="12"/>
        </w:pBdr>
        <w:spacing w:after="40" w:before="60"/>
        <w:ind w:left="360"/>
      </w:pPr>
      <w:r>
        <w:rPr>
          <w:rFonts w:ascii="Calibri" w:cs="Calibri" w:eastAsia="Calibri" w:hAnsi="Calibri"/>
          <w:i/>
          <w:iCs/>
          <w:color w:val="555555"/>
          <w:sz w:val="19"/>
          <w:szCs w:val="19"/>
        </w:rPr>
        <w:t xml:space="preserve">Answer: C — First Notice of Loss (FNOL) is the standard insurance industry term for the initial loss report. It opens a Claim in ClaimCenter and initiates claim handling, assignment, and reserving.</w:t>
      </w:r>
    </w:p>
    <w:p>
      <w:pPr>
        <w:spacing w:after="80" w:before="200"/>
      </w:pPr>
      <w:r>
        <w:rPr>
          <w:rFonts w:ascii="Calibri" w:cs="Calibri" w:eastAsia="Calibri" w:hAnsi="Calibri"/>
          <w:b/>
          <w:bCs/>
          <w:color w:val="1A1A2E"/>
          <w:sz w:val="22"/>
          <w:szCs w:val="22"/>
        </w:rPr>
        <w:t xml:space="preserve">23. </w:t>
      </w:r>
      <w:r>
        <w:rPr>
          <w:rFonts w:ascii="Calibri" w:cs="Calibri" w:eastAsia="Calibri" w:hAnsi="Calibri"/>
          <w:color w:val="1A1A2E"/>
          <w:sz w:val="22"/>
          <w:szCs w:val="22"/>
        </w:rPr>
        <w:t xml:space="preserve">Which ClaimCenter claim status indicates that all exposures are closed and all payments have been made?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Resolved</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Settled</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Closed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Completed</w:t>
      </w:r>
    </w:p>
    <w:p>
      <w:pPr>
        <w:pBdr>
          <w:left w:val="thick" w:color="2E7D32" w:sz="12"/>
        </w:pBdr>
        <w:spacing w:after="40" w:before="60"/>
        <w:ind w:left="360"/>
      </w:pPr>
      <w:r>
        <w:rPr>
          <w:rFonts w:ascii="Calibri" w:cs="Calibri" w:eastAsia="Calibri" w:hAnsi="Calibri"/>
          <w:i/>
          <w:iCs/>
          <w:color w:val="555555"/>
          <w:sz w:val="19"/>
          <w:szCs w:val="19"/>
        </w:rPr>
        <w:t xml:space="preserve">Answer: C — Closed is the ClaimCenter claim status for a fully settled claim with all exposures closed and payments complete. A Closed claim can be Recalled (reopened) if new information emerges.</w:t>
      </w:r>
    </w:p>
    <w:p>
      <w:pPr>
        <w:spacing w:after="80" w:before="200"/>
      </w:pPr>
      <w:r>
        <w:rPr>
          <w:rFonts w:ascii="Calibri" w:cs="Calibri" w:eastAsia="Calibri" w:hAnsi="Calibri"/>
          <w:b/>
          <w:bCs/>
          <w:color w:val="1A1A2E"/>
          <w:sz w:val="22"/>
          <w:szCs w:val="22"/>
        </w:rPr>
        <w:t xml:space="preserve">24. </w:t>
      </w:r>
      <w:r>
        <w:rPr>
          <w:rFonts w:ascii="Calibri" w:cs="Calibri" w:eastAsia="Calibri" w:hAnsi="Calibri"/>
          <w:color w:val="1A1A2E"/>
          <w:sz w:val="22"/>
          <w:szCs w:val="22"/>
        </w:rPr>
        <w:t xml:space="preserve">In ClaimCenter, what is an "Incident"?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initial loss report submitted by the insured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specific event within the loss — such as a vehicle involved in an accident or a property item damaged in a fire</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legal proceeding associated with the claim</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An activity assigned to an adjuster for investigation</w:t>
      </w:r>
    </w:p>
    <w:p>
      <w:pPr>
        <w:pBdr>
          <w:left w:val="thick" w:color="2E7D32" w:sz="12"/>
        </w:pBdr>
        <w:spacing w:after="40" w:before="60"/>
        <w:ind w:left="360"/>
      </w:pPr>
      <w:r>
        <w:rPr>
          <w:rFonts w:ascii="Calibri" w:cs="Calibri" w:eastAsia="Calibri" w:hAnsi="Calibri"/>
          <w:i/>
          <w:iCs/>
          <w:color w:val="555555"/>
          <w:sz w:val="19"/>
          <w:szCs w:val="19"/>
        </w:rPr>
        <w:t xml:space="preserve">Answer: B — An Incident represents a specific physical event or damaged item within the overall loss event. Multiple Incidents can be associated with a single Claim and are linked to Exposures.</w:t>
      </w:r>
    </w:p>
    <w:p>
      <w:pPr>
        <w:spacing w:after="80" w:before="200"/>
      </w:pPr>
      <w:r>
        <w:rPr>
          <w:rFonts w:ascii="Calibri" w:cs="Calibri" w:eastAsia="Calibri" w:hAnsi="Calibri"/>
          <w:b/>
          <w:bCs/>
          <w:color w:val="1A1A2E"/>
          <w:sz w:val="22"/>
          <w:szCs w:val="22"/>
        </w:rPr>
        <w:t xml:space="preserve">25. </w:t>
      </w:r>
      <w:r>
        <w:rPr>
          <w:rFonts w:ascii="Calibri" w:cs="Calibri" w:eastAsia="Calibri" w:hAnsi="Calibri"/>
          <w:color w:val="1A1A2E"/>
          <w:sz w:val="22"/>
          <w:szCs w:val="22"/>
        </w:rPr>
        <w:t xml:space="preserve">What is the primary difference between "Allocated Loss Adjustment Expense (ALAE)" and "Unallocated Loss Adjustment Expense (ULAE)"?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ALAE is paid to external vendors; ULAE is paid to internal staff</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ALAE can be directly attributed to a specific claim; ULAE cannot and is distributed across the book</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ALAE is tracked in ClaimCenter; ULAE is tracked in PolicyCenter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ALAE applies to property claims; ULAE applies to liability claims</w:t>
      </w:r>
    </w:p>
    <w:p>
      <w:pPr>
        <w:pBdr>
          <w:left w:val="thick" w:color="2E7D32" w:sz="12"/>
        </w:pBdr>
        <w:spacing w:after="40" w:before="60"/>
        <w:ind w:left="360"/>
      </w:pPr>
      <w:r>
        <w:rPr>
          <w:rFonts w:ascii="Calibri" w:cs="Calibri" w:eastAsia="Calibri" w:hAnsi="Calibri"/>
          <w:i/>
          <w:iCs/>
          <w:color w:val="555555"/>
          <w:sz w:val="19"/>
          <w:szCs w:val="19"/>
        </w:rPr>
        <w:t xml:space="preserve">Answer: B — ALAE includes costs directly attributable to settling a specific claim (adjuster fees, legal costs, expert witnesses). ULAE includes overhead claim department costs that cannot be attributed to one claim (management, IT systems).</w:t>
      </w:r>
    </w:p>
    <w:p>
      <w:pPr>
        <w:spacing w:after="80" w:before="200"/>
      </w:pPr>
      <w:r>
        <w:rPr>
          <w:rFonts w:ascii="Calibri" w:cs="Calibri" w:eastAsia="Calibri" w:hAnsi="Calibri"/>
          <w:b/>
          <w:bCs/>
          <w:color w:val="1A1A2E"/>
          <w:sz w:val="22"/>
          <w:szCs w:val="22"/>
        </w:rPr>
        <w:t xml:space="preserve">26. </w:t>
      </w:r>
      <w:r>
        <w:rPr>
          <w:rFonts w:ascii="Calibri" w:cs="Calibri" w:eastAsia="Calibri" w:hAnsi="Calibri"/>
          <w:color w:val="1A1A2E"/>
          <w:sz w:val="22"/>
          <w:szCs w:val="22"/>
        </w:rPr>
        <w:t xml:space="preserve">The ClaimCenter integration with PolicyCenter is used for: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Transferring claim payments to the insured's bank account</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Looking up the in-force policy to verify coverage at the date of loss during FNOL</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Generating renewal notices for policies with open claims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Communicating deductible collection requests to the billing system</w:t>
      </w:r>
    </w:p>
    <w:p>
      <w:pPr>
        <w:pBdr>
          <w:left w:val="thick" w:color="2E7D32" w:sz="12"/>
        </w:pBdr>
        <w:spacing w:after="40" w:before="60"/>
        <w:ind w:left="360"/>
      </w:pPr>
      <w:r>
        <w:rPr>
          <w:rFonts w:ascii="Calibri" w:cs="Calibri" w:eastAsia="Calibri" w:hAnsi="Calibri"/>
          <w:i/>
          <w:iCs/>
          <w:color w:val="555555"/>
          <w:sz w:val="19"/>
          <w:szCs w:val="19"/>
        </w:rPr>
        <w:t xml:space="preserve">Answer: B — The ClaimCenter-to-PolicyCenter Policy Retrieval integration verifies that the reported policy was in force on the loss date and retrieves coverage details to populate the Exposure. This is a critical FNOL integration.</w:t>
      </w:r>
    </w:p>
    <w:p>
      <w:pPr>
        <w:spacing w:after="80" w:before="200"/>
      </w:pPr>
      <w:r>
        <w:rPr>
          <w:rFonts w:ascii="Calibri" w:cs="Calibri" w:eastAsia="Calibri" w:hAnsi="Calibri"/>
          <w:b/>
          <w:bCs/>
          <w:color w:val="1A1A2E"/>
          <w:sz w:val="22"/>
          <w:szCs w:val="22"/>
        </w:rPr>
        <w:t xml:space="preserve">27. </w:t>
      </w:r>
      <w:r>
        <w:rPr>
          <w:rFonts w:ascii="Calibri" w:cs="Calibri" w:eastAsia="Calibri" w:hAnsi="Calibri"/>
          <w:color w:val="1A1A2E"/>
          <w:sz w:val="22"/>
          <w:szCs w:val="22"/>
        </w:rPr>
        <w:t xml:space="preserve">Which reserve type in ClaimCenter represents the estimated cost of defense legal counsel when a claim is in litigation?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Damages Reserve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Expenses Reserve</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Legal Reserve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Statutory Reserve</w:t>
      </w:r>
    </w:p>
    <w:p>
      <w:pPr>
        <w:pBdr>
          <w:left w:val="thick" w:color="2E7D32" w:sz="12"/>
        </w:pBdr>
        <w:spacing w:after="40" w:before="60"/>
        <w:ind w:left="360"/>
      </w:pPr>
      <w:r>
        <w:rPr>
          <w:rFonts w:ascii="Calibri" w:cs="Calibri" w:eastAsia="Calibri" w:hAnsi="Calibri"/>
          <w:i/>
          <w:iCs/>
          <w:color w:val="555555"/>
          <w:sz w:val="19"/>
          <w:szCs w:val="19"/>
        </w:rPr>
        <w:t xml:space="preserve">Answer: C — The Legal Reserve specifically tracks estimated defense legal costs for litigated claims. This is distinct from the Expenses Reserve (which covers non-legal ALAE) and the Damages Reserve (indemnity).</w:t>
      </w:r>
    </w:p>
    <w:p>
      <w:pPr>
        <w:spacing w:after="80" w:before="200"/>
      </w:pPr>
      <w:r>
        <w:rPr>
          <w:rFonts w:ascii="Calibri" w:cs="Calibri" w:eastAsia="Calibri" w:hAnsi="Calibri"/>
          <w:b/>
          <w:bCs/>
          <w:color w:val="1A1A2E"/>
          <w:sz w:val="22"/>
          <w:szCs w:val="22"/>
        </w:rPr>
        <w:t xml:space="preserve">28. </w:t>
      </w:r>
      <w:r>
        <w:rPr>
          <w:rFonts w:ascii="Calibri" w:cs="Calibri" w:eastAsia="Calibri" w:hAnsi="Calibri"/>
          <w:color w:val="1A1A2E"/>
          <w:sz w:val="22"/>
          <w:szCs w:val="22"/>
        </w:rPr>
        <w:t xml:space="preserve">A ClaimCenter parameter sets the maximum number of consecutive days a claim can remain open without supervisor review. Which parameter controls this?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approval.reservechange.threshold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approval.requiresupervisor.days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assignment.escalationdays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financials.ibnrmodel</w:t>
      </w:r>
    </w:p>
    <w:p>
      <w:pPr>
        <w:pBdr>
          <w:left w:val="thick" w:color="2E7D32" w:sz="12"/>
        </w:pBdr>
        <w:spacing w:after="40" w:before="60"/>
        <w:ind w:left="360"/>
      </w:pPr>
      <w:r>
        <w:rPr>
          <w:rFonts w:ascii="Calibri" w:cs="Calibri" w:eastAsia="Calibri" w:hAnsi="Calibri"/>
          <w:i/>
          <w:iCs/>
          <w:color w:val="555555"/>
          <w:sz w:val="19"/>
          <w:szCs w:val="19"/>
        </w:rPr>
        <w:t xml:space="preserve">Answer: B — approval.requiresupervisor.days sets the number of days a claim can remain open before supervisor review is automatically triggered. assignment.escalationdays controls escalation timing for unworked assigned items.</w:t>
      </w:r>
    </w:p>
    <w:p>
      <w:pPr>
        <w:spacing w:after="80" w:before="200"/>
      </w:pPr>
      <w:r>
        <w:rPr>
          <w:rFonts w:ascii="Calibri" w:cs="Calibri" w:eastAsia="Calibri" w:hAnsi="Calibri"/>
          <w:b/>
          <w:bCs/>
          <w:color w:val="1A1A2E"/>
          <w:sz w:val="22"/>
          <w:szCs w:val="22"/>
        </w:rPr>
        <w:t xml:space="preserve">29. </w:t>
      </w:r>
      <w:r>
        <w:rPr>
          <w:rFonts w:ascii="Calibri" w:cs="Calibri" w:eastAsia="Calibri" w:hAnsi="Calibri"/>
          <w:color w:val="1A1A2E"/>
          <w:sz w:val="22"/>
          <w:szCs w:val="22"/>
        </w:rPr>
        <w:t xml:space="preserve">What is "subrogation" in the context of ClaimCenter?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process of determining which coverage applies to a loss when multiple coverages overlap</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process by which a carrier recovers losses paid on behalf of its insured from a responsible third party</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transfer of a claim from one adjuster to another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process of closing a claim after all payments have been made</w:t>
      </w:r>
    </w:p>
    <w:p>
      <w:pPr>
        <w:pBdr>
          <w:left w:val="thick" w:color="2E7D32" w:sz="12"/>
        </w:pBdr>
        <w:spacing w:after="40" w:before="60"/>
        <w:ind w:left="360"/>
      </w:pPr>
      <w:r>
        <w:rPr>
          <w:rFonts w:ascii="Calibri" w:cs="Calibri" w:eastAsia="Calibri" w:hAnsi="Calibri"/>
          <w:i/>
          <w:iCs/>
          <w:color w:val="555555"/>
          <w:sz w:val="19"/>
          <w:szCs w:val="19"/>
        </w:rPr>
        <w:t xml:space="preserve">Answer: B — Subrogation is a legal right that allows the carrier to pursue a third party that caused a loss. Recovery amounts offset the net incurred loss and are tracked in ClaimCenter's Subrogation module.</w:t>
      </w:r>
    </w:p>
    <w:p>
      <w:pPr>
        <w:spacing w:after="80" w:before="200"/>
      </w:pPr>
      <w:r>
        <w:rPr>
          <w:rFonts w:ascii="Calibri" w:cs="Calibri" w:eastAsia="Calibri" w:hAnsi="Calibri"/>
          <w:b/>
          <w:bCs/>
          <w:color w:val="1A1A2E"/>
          <w:sz w:val="22"/>
          <w:szCs w:val="22"/>
        </w:rPr>
        <w:t xml:space="preserve">30. </w:t>
      </w:r>
      <w:r>
        <w:rPr>
          <w:rFonts w:ascii="Calibri" w:cs="Calibri" w:eastAsia="Calibri" w:hAnsi="Calibri"/>
          <w:color w:val="1A1A2E"/>
          <w:sz w:val="22"/>
          <w:szCs w:val="22"/>
        </w:rPr>
        <w:t xml:space="preserve">In ClaimCenter's Catastrophe Management module, what happens when a Catastrophe is declared?</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All existing claims are automatically assigned to the catastrophe team</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New claims with matching loss date, location, and loss type are automatically associated with the Catastrophe event</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PolicyCenter automatically suspends renewals in the catastrophe zone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BillingCenter stops generating payment notices for affected policyholders</w:t>
      </w:r>
    </w:p>
    <w:p>
      <w:pPr>
        <w:pBdr>
          <w:left w:val="thick" w:color="2E7D32" w:sz="12"/>
        </w:pBdr>
        <w:spacing w:after="40" w:before="60"/>
        <w:ind w:left="360"/>
      </w:pPr>
      <w:r>
        <w:rPr>
          <w:rFonts w:ascii="Calibri" w:cs="Calibri" w:eastAsia="Calibri" w:hAnsi="Calibri"/>
          <w:i/>
          <w:iCs/>
          <w:color w:val="555555"/>
          <w:sz w:val="19"/>
          <w:szCs w:val="19"/>
        </w:rPr>
        <w:t xml:space="preserve">Answer: B — When a Catastrophe is declared, ClaimCenter automatically associates new claims matching the CAT's geographic and temporal parameters with the event. Existing claims may also be manually linked.</w:t>
      </w:r>
    </w:p>
    <w:p>
      <w:pPr>
        <w:spacing w:after="80" w:before="200"/>
      </w:pPr>
      <w:r>
        <w:rPr>
          <w:rFonts w:ascii="Calibri" w:cs="Calibri" w:eastAsia="Calibri" w:hAnsi="Calibri"/>
          <w:b/>
          <w:bCs/>
          <w:color w:val="1A1A2E"/>
          <w:sz w:val="22"/>
          <w:szCs w:val="22"/>
        </w:rPr>
        <w:t xml:space="preserve">31. </w:t>
      </w:r>
      <w:r>
        <w:rPr>
          <w:rFonts w:ascii="Calibri" w:cs="Calibri" w:eastAsia="Calibri" w:hAnsi="Calibri"/>
          <w:color w:val="1A1A2E"/>
          <w:sz w:val="22"/>
          <w:szCs w:val="22"/>
        </w:rPr>
        <w:t xml:space="preserve">Which ClaimCenter feature detects and flags transactions where the same payee, amount, and coverage type have been paid within a configurable lookback window?</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Payment Authority Matrix</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Duplicate Payment Detection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Reserve Adequacy Monitor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Fraud Score Integration</w:t>
      </w:r>
    </w:p>
    <w:p>
      <w:pPr>
        <w:pBdr>
          <w:left w:val="thick" w:color="2E7D32" w:sz="12"/>
        </w:pBdr>
        <w:spacing w:after="40" w:before="60"/>
        <w:ind w:left="360"/>
      </w:pPr>
      <w:r>
        <w:rPr>
          <w:rFonts w:ascii="Calibri" w:cs="Calibri" w:eastAsia="Calibri" w:hAnsi="Calibri"/>
          <w:i/>
          <w:iCs/>
          <w:color w:val="555555"/>
          <w:sz w:val="19"/>
          <w:szCs w:val="19"/>
        </w:rPr>
        <w:t xml:space="preserve">Answer: B — Duplicate Payment Detection is a built-in ClaimCenter feature that compares new payment transactions against a lookback window to identify potential duplicates, helping prevent overpayment and fraud.</w:t>
      </w:r>
    </w:p>
    <w:p>
      <w:pPr>
        <w:spacing w:after="80" w:before="200"/>
      </w:pPr>
      <w:r>
        <w:rPr>
          <w:rFonts w:ascii="Calibri" w:cs="Calibri" w:eastAsia="Calibri" w:hAnsi="Calibri"/>
          <w:b/>
          <w:bCs/>
          <w:color w:val="1A1A2E"/>
          <w:sz w:val="22"/>
          <w:szCs w:val="22"/>
        </w:rPr>
        <w:t xml:space="preserve">32. </w:t>
      </w:r>
      <w:r>
        <w:rPr>
          <w:rFonts w:ascii="Calibri" w:cs="Calibri" w:eastAsia="Calibri" w:hAnsi="Calibri"/>
          <w:color w:val="1A1A2E"/>
          <w:sz w:val="22"/>
          <w:szCs w:val="22"/>
        </w:rPr>
        <w:t xml:space="preserve">The "financials.ibnrmodel" ClaimCenter parameter controls:</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The method used to calculate loss development factors for reserve adequacy monitoring</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The general ledger account to which IBNR reserves are posted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number of years of claim history used in IBNR calculations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Whether IBNR reserves are calculated at the exposure or claim level</w:t>
      </w:r>
    </w:p>
    <w:p>
      <w:pPr>
        <w:pBdr>
          <w:left w:val="thick" w:color="2E7D32" w:sz="12"/>
        </w:pBdr>
        <w:spacing w:after="40" w:before="60"/>
        <w:ind w:left="360"/>
      </w:pPr>
      <w:r>
        <w:rPr>
          <w:rFonts w:ascii="Calibri" w:cs="Calibri" w:eastAsia="Calibri" w:hAnsi="Calibri"/>
          <w:i/>
          <w:iCs/>
          <w:color w:val="555555"/>
          <w:sz w:val="19"/>
          <w:szCs w:val="19"/>
        </w:rPr>
        <w:t xml:space="preserve">Answer: A — financials.ibnrmodel selects the IBNR estimation model: Factor (applies development factors to case reserves), BornhuetterFerguson, or Custom. This determines how ClaimCenter's reserve adequacy monitoring operates.</w:t>
      </w:r>
    </w:p>
    <w:p>
      <w:pPr>
        <w:spacing w:after="80" w:before="200"/>
      </w:pPr>
      <w:r>
        <w:rPr>
          <w:rFonts w:ascii="Calibri" w:cs="Calibri" w:eastAsia="Calibri" w:hAnsi="Calibri"/>
          <w:b/>
          <w:bCs/>
          <w:color w:val="1A1A2E"/>
          <w:sz w:val="22"/>
          <w:szCs w:val="22"/>
        </w:rPr>
        <w:t xml:space="preserve">33. </w:t>
      </w:r>
      <w:r>
        <w:rPr>
          <w:rFonts w:ascii="Calibri" w:cs="Calibri" w:eastAsia="Calibri" w:hAnsi="Calibri"/>
          <w:color w:val="1A1A2E"/>
          <w:sz w:val="22"/>
          <w:szCs w:val="22"/>
        </w:rPr>
        <w:t xml:space="preserve">A ClaimCenter "Matter" entity represents: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financial payment to a claimant</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litigation case associated with the claim, with its own activities, documents, and financial tracking</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An assignment to a vendor for a service such as an independent appraisal</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An escalation notice sent to the claim supervisor</w:t>
      </w:r>
    </w:p>
    <w:p>
      <w:pPr>
        <w:pBdr>
          <w:left w:val="thick" w:color="2E7D32" w:sz="12"/>
        </w:pBdr>
        <w:spacing w:after="40" w:before="60"/>
        <w:ind w:left="360"/>
      </w:pPr>
      <w:r>
        <w:rPr>
          <w:rFonts w:ascii="Calibri" w:cs="Calibri" w:eastAsia="Calibri" w:hAnsi="Calibri"/>
          <w:i/>
          <w:iCs/>
          <w:color w:val="555555"/>
          <w:sz w:val="19"/>
          <w:szCs w:val="19"/>
        </w:rPr>
        <w:t xml:space="preserve">Answer: B — A Matter in ClaimCenter represents a litigation case. Matters have their own workflow, financial tracking, and document management separate from — but linked to — the underlying claim.</w:t>
      </w:r>
    </w:p>
    <w:p>
      <w:pPr>
        <w:spacing w:after="80" w:before="200"/>
      </w:pPr>
      <w:r>
        <w:rPr>
          <w:rFonts w:ascii="Calibri" w:cs="Calibri" w:eastAsia="Calibri" w:hAnsi="Calibri"/>
          <w:b/>
          <w:bCs/>
          <w:color w:val="1A1A2E"/>
          <w:sz w:val="22"/>
          <w:szCs w:val="22"/>
        </w:rPr>
        <w:t xml:space="preserve">34. </w:t>
      </w:r>
      <w:r>
        <w:rPr>
          <w:rFonts w:ascii="Calibri" w:cs="Calibri" w:eastAsia="Calibri" w:hAnsi="Calibri"/>
          <w:color w:val="1A1A2E"/>
          <w:sz w:val="22"/>
          <w:szCs w:val="22"/>
        </w:rPr>
        <w:t xml:space="preserve">Which configuration is required to enable the ClaimCenter-to-BillingCenter deductible collection integration?</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Setting financials.deductible.integrationenabled to true and configuring the BillingCenter endpoint</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Setting approval.denialrequiresreview to false</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Enabling the assignment.litigationreassign parameter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Configuring the financials.ibnrmodel to BornhuetterFerguson</w:t>
      </w:r>
    </w:p>
    <w:p>
      <w:pPr>
        <w:pBdr>
          <w:left w:val="thick" w:color="2E7D32" w:sz="12"/>
        </w:pBdr>
        <w:spacing w:after="40" w:before="60"/>
        <w:ind w:left="360"/>
      </w:pPr>
      <w:r>
        <w:rPr>
          <w:rFonts w:ascii="Calibri" w:cs="Calibri" w:eastAsia="Calibri" w:hAnsi="Calibri"/>
          <w:i/>
          <w:iCs/>
          <w:color w:val="555555"/>
          <w:sz w:val="19"/>
          <w:szCs w:val="19"/>
        </w:rPr>
        <w:t xml:space="preserve">Answer: A — The BillingCenter deductible collection integration must be explicitly enabled via financials.deductible.integrationenabled and the BillingCenter endpoint URL must be configured. It is disabled by default.</w:t>
      </w:r>
    </w:p>
    <w:p>
      <w:pPr>
        <w:spacing w:after="80" w:before="200"/>
      </w:pPr>
      <w:r>
        <w:rPr>
          <w:rFonts w:ascii="Calibri" w:cs="Calibri" w:eastAsia="Calibri" w:hAnsi="Calibri"/>
          <w:b/>
          <w:bCs/>
          <w:color w:val="1A1A2E"/>
          <w:sz w:val="22"/>
          <w:szCs w:val="22"/>
        </w:rPr>
        <w:t xml:space="preserve">35. </w:t>
      </w:r>
      <w:r>
        <w:rPr>
          <w:rFonts w:ascii="Calibri" w:cs="Calibri" w:eastAsia="Calibri" w:hAnsi="Calibri"/>
          <w:color w:val="1A1A2E"/>
          <w:sz w:val="22"/>
          <w:szCs w:val="22"/>
        </w:rPr>
        <w:t xml:space="preserve">In ClaimCenter, what is an "Advance Payment"?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payment made before the policy is in force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partial payment made to the claimant before the final settlement, typically for urgent needs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payment to a vendor in advance of service delivery</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pre-authorized credit applied to a future premium</w:t>
      </w:r>
    </w:p>
    <w:p>
      <w:pPr>
        <w:pBdr>
          <w:left w:val="thick" w:color="2E7D32" w:sz="12"/>
        </w:pBdr>
        <w:spacing w:after="40" w:before="60"/>
        <w:ind w:left="360"/>
      </w:pPr>
      <w:r>
        <w:rPr>
          <w:rFonts w:ascii="Calibri" w:cs="Calibri" w:eastAsia="Calibri" w:hAnsi="Calibri"/>
          <w:i/>
          <w:iCs/>
          <w:color w:val="555555"/>
          <w:sz w:val="19"/>
          <w:szCs w:val="19"/>
        </w:rPr>
        <w:t xml:space="preserve">Answer: B — Advance Payments are partial disbursements made to claimants before final settlement. They are common in homeowner claims (living expense advances), medical (initial treatment costs), and workers' compensation (ongoing wage replacement).</w:t>
      </w:r>
    </w:p>
    <w:p>
      <w:pPr>
        <w:spacing w:after="80" w:before="200"/>
      </w:pPr>
      <w:r>
        <w:rPr>
          <w:rFonts w:ascii="Calibri" w:cs="Calibri" w:eastAsia="Calibri" w:hAnsi="Calibri"/>
          <w:b/>
          <w:bCs/>
          <w:color w:val="1A1A2E"/>
          <w:sz w:val="22"/>
          <w:szCs w:val="22"/>
        </w:rPr>
        <w:t xml:space="preserve">36. </w:t>
      </w:r>
      <w:r>
        <w:rPr>
          <w:rFonts w:ascii="Calibri" w:cs="Calibri" w:eastAsia="Calibri" w:hAnsi="Calibri"/>
          <w:color w:val="1A1A2E"/>
          <w:sz w:val="22"/>
          <w:szCs w:val="22"/>
        </w:rPr>
        <w:t xml:space="preserve">Which ClaimCenter assignment parameter determines whether claims that enter litigation are automatically reassigned to a litigation specialist queue?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assignment.autoClaimsAssign</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assignment.skillmatch.enabled</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assignment.litigationreassign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assignment.catastroassignstrategy</w:t>
      </w:r>
    </w:p>
    <w:p>
      <w:pPr>
        <w:pBdr>
          <w:left w:val="thick" w:color="2E7D32" w:sz="12"/>
        </w:pBdr>
        <w:spacing w:after="40" w:before="60"/>
        <w:ind w:left="360"/>
      </w:pPr>
      <w:r>
        <w:rPr>
          <w:rFonts w:ascii="Calibri" w:cs="Calibri" w:eastAsia="Calibri" w:hAnsi="Calibri"/>
          <w:i/>
          <w:iCs/>
          <w:color w:val="555555"/>
          <w:sz w:val="19"/>
          <w:szCs w:val="19"/>
        </w:rPr>
        <w:t xml:space="preserve">Answer: C — assignment.litigationreassign controls whether ClaimCenter automatically routes litigated claims to a dedicated litigation specialist work queue when a claim changes to "In Litigation" status.</w:t>
      </w:r>
    </w:p>
    <w:p>
      <w:pPr>
        <w:spacing w:after="80" w:before="200"/>
      </w:pPr>
      <w:r>
        <w:rPr>
          <w:rFonts w:ascii="Calibri" w:cs="Calibri" w:eastAsia="Calibri" w:hAnsi="Calibri"/>
          <w:b/>
          <w:bCs/>
          <w:color w:val="1A1A2E"/>
          <w:sz w:val="22"/>
          <w:szCs w:val="22"/>
        </w:rPr>
        <w:t xml:space="preserve">37. </w:t>
      </w:r>
      <w:r>
        <w:rPr>
          <w:rFonts w:ascii="Calibri" w:cs="Calibri" w:eastAsia="Calibri" w:hAnsi="Calibri"/>
          <w:color w:val="1A1A2E"/>
          <w:sz w:val="22"/>
          <w:szCs w:val="22"/>
        </w:rPr>
        <w:t xml:space="preserve">What claim status in ClaimCenter indicates that the claim decision has been appealed by the claimant?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In Dispute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Under Appeal</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Contested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Reopened</w:t>
      </w:r>
    </w:p>
    <w:p>
      <w:pPr>
        <w:pBdr>
          <w:left w:val="thick" w:color="2E7D32" w:sz="12"/>
        </w:pBdr>
        <w:spacing w:after="40" w:before="60"/>
        <w:ind w:left="360"/>
      </w:pPr>
      <w:r>
        <w:rPr>
          <w:rFonts w:ascii="Calibri" w:cs="Calibri" w:eastAsia="Calibri" w:hAnsi="Calibri"/>
          <w:i/>
          <w:iCs/>
          <w:color w:val="555555"/>
          <w:sz w:val="19"/>
          <w:szCs w:val="19"/>
        </w:rPr>
        <w:t xml:space="preserve">Answer: B — Under Appeal is the ClaimCenter claim status used when the claimant has formally appealed the carrier's claim decision. Further payment activity may be restricted pending resolution of the appeal.</w:t>
      </w:r>
    </w:p>
    <w:p>
      <w:pPr>
        <w:spacing w:after="80" w:before="200"/>
      </w:pPr>
      <w:r>
        <w:rPr>
          <w:rFonts w:ascii="Calibri" w:cs="Calibri" w:eastAsia="Calibri" w:hAnsi="Calibri"/>
          <w:b/>
          <w:bCs/>
          <w:color w:val="1A1A2E"/>
          <w:sz w:val="22"/>
          <w:szCs w:val="22"/>
        </w:rPr>
        <w:t xml:space="preserve">38. </w:t>
      </w:r>
      <w:r>
        <w:rPr>
          <w:rFonts w:ascii="Calibri" w:cs="Calibri" w:eastAsia="Calibri" w:hAnsi="Calibri"/>
          <w:color w:val="1A1A2E"/>
          <w:sz w:val="22"/>
          <w:szCs w:val="22"/>
        </w:rPr>
        <w:t xml:space="preserve">A "Service Request" in ClaimCenter is used to:</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Request policy information from PolicyCenter</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Assign a task to an internal adjuster for file review</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Commission a vendor (independent adjuster, appraiser, repair shop) to perform a service related to the claim</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Submit a claim to a reinsurer for recovery</w:t>
      </w:r>
    </w:p>
    <w:p>
      <w:pPr>
        <w:pBdr>
          <w:left w:val="thick" w:color="2E7D32" w:sz="12"/>
        </w:pBdr>
        <w:spacing w:after="40" w:before="60"/>
        <w:ind w:left="360"/>
      </w:pPr>
      <w:r>
        <w:rPr>
          <w:rFonts w:ascii="Calibri" w:cs="Calibri" w:eastAsia="Calibri" w:hAnsi="Calibri"/>
          <w:i/>
          <w:iCs/>
          <w:color w:val="555555"/>
          <w:sz w:val="19"/>
          <w:szCs w:val="19"/>
        </w:rPr>
        <w:t xml:space="preserve">Answer: C — A Service Request is a structured work assignment to an external vendor. It has its own workflow (assignment, acknowledgment, completion), status tracking, and financial tracking separate from the main claim activity.</w:t>
      </w:r>
    </w:p>
    <w:p>
      <w:pPr>
        <w:spacing w:after="80" w:before="200"/>
      </w:pPr>
      <w:r>
        <w:rPr>
          <w:rFonts w:ascii="Calibri" w:cs="Calibri" w:eastAsia="Calibri" w:hAnsi="Calibri"/>
          <w:b/>
          <w:bCs/>
          <w:color w:val="1A1A2E"/>
          <w:sz w:val="22"/>
          <w:szCs w:val="22"/>
        </w:rPr>
        <w:t xml:space="preserve">39. </w:t>
      </w:r>
      <w:r>
        <w:rPr>
          <w:rFonts w:ascii="Calibri" w:cs="Calibri" w:eastAsia="Calibri" w:hAnsi="Calibri"/>
          <w:color w:val="1A1A2E"/>
          <w:sz w:val="22"/>
          <w:szCs w:val="22"/>
        </w:rPr>
        <w:t xml:space="preserve">In ClaimCenter, which reserve type is used to record the expected recovery from a subrogation claim or salvage sale?</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Recovery Reserve (recorded as a negative reserve)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IBNR Reserve</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Statutory Reserve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Contingency Reserve</w:t>
      </w:r>
    </w:p>
    <w:p>
      <w:pPr>
        <w:pBdr>
          <w:left w:val="thick" w:color="2E7D32" w:sz="12"/>
        </w:pBdr>
        <w:spacing w:after="40" w:before="60"/>
        <w:ind w:left="360"/>
      </w:pPr>
      <w:r>
        <w:rPr>
          <w:rFonts w:ascii="Calibri" w:cs="Calibri" w:eastAsia="Calibri" w:hAnsi="Calibri"/>
          <w:i/>
          <w:iCs/>
          <w:color w:val="555555"/>
          <w:sz w:val="19"/>
          <w:szCs w:val="19"/>
        </w:rPr>
        <w:t xml:space="preserve">Answer: A — Recovery Reserves are recorded as negative amounts, offsetting the gross loss reserve to produce the net incurred loss. This reflects the financial benefit expected from subrogation, salvage, or reinsurance recovery.</w:t>
      </w:r>
    </w:p>
    <w:p>
      <w:pPr>
        <w:spacing w:after="80" w:before="200"/>
      </w:pPr>
      <w:r>
        <w:rPr>
          <w:rFonts w:ascii="Calibri" w:cs="Calibri" w:eastAsia="Calibri" w:hAnsi="Calibri"/>
          <w:b/>
          <w:bCs/>
          <w:color w:val="1A1A2E"/>
          <w:sz w:val="22"/>
          <w:szCs w:val="22"/>
        </w:rPr>
        <w:t xml:space="preserve">40. </w:t>
      </w:r>
      <w:r>
        <w:rPr>
          <w:rFonts w:ascii="Calibri" w:cs="Calibri" w:eastAsia="Calibri" w:hAnsi="Calibri"/>
          <w:color w:val="1A1A2E"/>
          <w:sz w:val="22"/>
          <w:szCs w:val="22"/>
        </w:rPr>
        <w:t xml:space="preserve">What is the "assignment.maxadjusterclaims" parameter in ClaimCenter used for?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Setting the maximum claim value an adjuster can settle without approval</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Defining the maximum number of claims assigned to a single adjuster before they are considered at capacity for new assignments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Limiting the number of claims an adjuster can deny in a calendar month</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Setting the maximum duration an adjuster can be assigned to a single claim</w:t>
      </w:r>
    </w:p>
    <w:p>
      <w:pPr>
        <w:pBdr>
          <w:left w:val="thick" w:color="2E7D32" w:sz="12"/>
        </w:pBdr>
        <w:spacing w:after="40" w:before="60"/>
        <w:ind w:left="360"/>
      </w:pPr>
      <w:r>
        <w:rPr>
          <w:rFonts w:ascii="Calibri" w:cs="Calibri" w:eastAsia="Calibri" w:hAnsi="Calibri"/>
          <w:i/>
          <w:iCs/>
          <w:color w:val="555555"/>
          <w:sz w:val="19"/>
          <w:szCs w:val="19"/>
        </w:rPr>
        <w:t xml:space="preserve">Answer: B — assignment.maxadjusterclaims is the at-capacity threshold for the assignment engine. When an adjuster reaches this count, the engine treats them as full and routes new claims to other adjusters or a pool queue.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shd w:fill="5B2D8E" w:val="clear"/>
            <w:tcMar>
              <w:top w:type="dxa" w:w="240"/>
              <w:left w:type="dxa" w:w="400"/>
              <w:bottom w:type="dxa" w:w="240"/>
              <w:right w:type="dxa" w:w="400"/>
            </w:tcMar>
          </w:tcPr>
          <w:p>
            <w:pPr>
              <w:spacing w:after="40"/>
            </w:pPr>
            <w:r>
              <w:rPr>
                <w:rFonts w:ascii="Calibri" w:cs="Calibri" w:eastAsia="Calibri" w:hAnsi="Calibri"/>
                <w:b/>
                <w:bCs/>
                <w:caps/>
                <w:color w:val="F5A623"/>
                <w:sz w:val="18"/>
                <w:szCs w:val="18"/>
              </w:rPr>
              <w:t xml:space="preserve">RAPIDAI TECH™</w:t>
            </w:r>
          </w:p>
          <w:p>
            <w:pPr>
              <w:spacing w:after="40"/>
            </w:pPr>
            <w:r>
              <w:rPr>
                <w:rFonts w:ascii="Calibri" w:cs="Calibri" w:eastAsia="Calibri" w:hAnsi="Calibri"/>
                <w:b/>
                <w:bCs/>
                <w:color w:val="FFFFFF"/>
                <w:sz w:val="44"/>
                <w:szCs w:val="44"/>
              </w:rPr>
              <w:t xml:space="preserve">Section 3: BillingCenter</w:t>
            </w:r>
          </w:p>
          <w:p>
            <w:pPr>
              <w:spacing w:after="0"/>
            </w:pPr>
            <w:r>
              <w:rPr>
                <w:rFonts w:ascii="Calibri" w:cs="Calibri" w:eastAsia="Calibri" w:hAnsi="Calibri"/>
                <w:i/>
                <w:iCs/>
                <w:color w:val="E0E0E0"/>
                <w:sz w:val="22"/>
                <w:szCs w:val="22"/>
              </w:rPr>
              <w:t xml:space="preserve">Questions 41–60  |  20 points</w:t>
            </w:r>
          </w:p>
        </w:tc>
      </w:tr>
    </w:tbl>
    <w:p>
      <w:pPr>
        <w:spacing w:before="200"/>
      </w:pPr>
    </w:p>
    <w:p>
      <w:pPr>
        <w:spacing w:after="80" w:before="200"/>
      </w:pPr>
      <w:r>
        <w:rPr>
          <w:rFonts w:ascii="Calibri" w:cs="Calibri" w:eastAsia="Calibri" w:hAnsi="Calibri"/>
          <w:b/>
          <w:bCs/>
          <w:color w:val="1A1A2E"/>
          <w:sz w:val="22"/>
          <w:szCs w:val="22"/>
        </w:rPr>
        <w:t xml:space="preserve">41. </w:t>
      </w:r>
      <w:r>
        <w:rPr>
          <w:rFonts w:ascii="Calibri" w:cs="Calibri" w:eastAsia="Calibri" w:hAnsi="Calibri"/>
          <w:color w:val="1A1A2E"/>
          <w:sz w:val="22"/>
          <w:szCs w:val="22"/>
        </w:rPr>
        <w:t xml:space="preserve">In BillingCenter, which entity is the master account for a policyholder that holds all billing transactions?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Policy (Billing)</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BillingAccount</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PaymentPlan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BillingInstruction</w:t>
      </w:r>
    </w:p>
    <w:p>
      <w:pPr>
        <w:pBdr>
          <w:left w:val="thick" w:color="2E7D32" w:sz="12"/>
        </w:pBdr>
        <w:spacing w:after="40" w:before="60"/>
        <w:ind w:left="360"/>
      </w:pPr>
      <w:r>
        <w:rPr>
          <w:rFonts w:ascii="Calibri" w:cs="Calibri" w:eastAsia="Calibri" w:hAnsi="Calibri"/>
          <w:i/>
          <w:iCs/>
          <w:color w:val="555555"/>
          <w:sz w:val="19"/>
          <w:szCs w:val="19"/>
        </w:rPr>
        <w:t xml:space="preserve">Answer: B — The BillingAccount is the top-level entity for a policyholder in BillingCenter. All charges, payments, commissions, and delinquency records are associated with a BillingAccount.</w:t>
      </w:r>
    </w:p>
    <w:p>
      <w:pPr>
        <w:spacing w:after="80" w:before="200"/>
      </w:pPr>
      <w:r>
        <w:rPr>
          <w:rFonts w:ascii="Calibri" w:cs="Calibri" w:eastAsia="Calibri" w:hAnsi="Calibri"/>
          <w:b/>
          <w:bCs/>
          <w:color w:val="1A1A2E"/>
          <w:sz w:val="22"/>
          <w:szCs w:val="22"/>
        </w:rPr>
        <w:t xml:space="preserve">42. </w:t>
      </w:r>
      <w:r>
        <w:rPr>
          <w:rFonts w:ascii="Calibri" w:cs="Calibri" w:eastAsia="Calibri" w:hAnsi="Calibri"/>
          <w:color w:val="1A1A2E"/>
          <w:sz w:val="22"/>
          <w:szCs w:val="22"/>
        </w:rPr>
        <w:t xml:space="preserve">A "BillingInstruction" in BillingCenter is: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manual instruction entered by a billing specialist to adjust a charge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structured command sent from PolicyCenter to BillingCenter to create or adjust charges as a result of a policy lifecycle event</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An instruction from the insured to change their payment method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BillingCenter work queue item for processing a returned check</w:t>
      </w:r>
    </w:p>
    <w:p>
      <w:pPr>
        <w:pBdr>
          <w:left w:val="thick" w:color="2E7D32" w:sz="12"/>
        </w:pBdr>
        <w:spacing w:after="40" w:before="60"/>
        <w:ind w:left="360"/>
      </w:pPr>
      <w:r>
        <w:rPr>
          <w:rFonts w:ascii="Calibri" w:cs="Calibri" w:eastAsia="Calibri" w:hAnsi="Calibri"/>
          <w:i/>
          <w:iCs/>
          <w:color w:val="555555"/>
          <w:sz w:val="19"/>
          <w:szCs w:val="19"/>
        </w:rPr>
        <w:t xml:space="preserve">Answer: B — BillingInstructions are the primary integration mechanism from PolicyCenter to BillingCenter. When a policy is bound, endorsed, or cancelled in PolicyCenter, a BillingInstruction is sent to BillingCenter to create the corresponding charge or adjustment.</w:t>
      </w:r>
    </w:p>
    <w:p>
      <w:pPr>
        <w:spacing w:after="80" w:before="200"/>
      </w:pPr>
      <w:r>
        <w:rPr>
          <w:rFonts w:ascii="Calibri" w:cs="Calibri" w:eastAsia="Calibri" w:hAnsi="Calibri"/>
          <w:b/>
          <w:bCs/>
          <w:color w:val="1A1A2E"/>
          <w:sz w:val="22"/>
          <w:szCs w:val="22"/>
        </w:rPr>
        <w:t xml:space="preserve">43. </w:t>
      </w:r>
      <w:r>
        <w:rPr>
          <w:rFonts w:ascii="Calibri" w:cs="Calibri" w:eastAsia="Calibri" w:hAnsi="Calibri"/>
          <w:color w:val="1A1A2E"/>
          <w:sz w:val="22"/>
          <w:szCs w:val="22"/>
        </w:rPr>
        <w:t xml:space="preserve">What is the difference between a "Billing Plan" and a "Payment Plan" in BillingCenter?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They are different names for the same thing — how the insured pays their premium</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Billing Plan defines who receives the bill and the billing cycle; the Payment Plan defines how the premium is divided into installments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Billing Plan is set by the carrier; the Payment Plan is chosen by the insured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Billing Plan applies to commercial lines; the Payment Plan applies to personal lines</w:t>
      </w:r>
    </w:p>
    <w:p>
      <w:pPr>
        <w:pBdr>
          <w:left w:val="thick" w:color="2E7D32" w:sz="12"/>
        </w:pBdr>
        <w:spacing w:after="40" w:before="60"/>
        <w:ind w:left="360"/>
      </w:pPr>
      <w:r>
        <w:rPr>
          <w:rFonts w:ascii="Calibri" w:cs="Calibri" w:eastAsia="Calibri" w:hAnsi="Calibri"/>
          <w:i/>
          <w:iCs/>
          <w:color w:val="555555"/>
          <w:sz w:val="19"/>
          <w:szCs w:val="19"/>
        </w:rPr>
        <w:t xml:space="preserve">Answer: B — The Billing Plan defines the bill recipient (direct, agency, third-party) and cycle. The Payment Plan defines the installment structure (Annual, Semi-Annual, Quarterly, Monthly). They are independent configurations.</w:t>
      </w:r>
    </w:p>
    <w:p>
      <w:pPr>
        <w:spacing w:after="80" w:before="200"/>
      </w:pPr>
      <w:r>
        <w:rPr>
          <w:rFonts w:ascii="Calibri" w:cs="Calibri" w:eastAsia="Calibri" w:hAnsi="Calibri"/>
          <w:b/>
          <w:bCs/>
          <w:color w:val="1A1A2E"/>
          <w:sz w:val="22"/>
          <w:szCs w:val="22"/>
        </w:rPr>
        <w:t xml:space="preserve">44. </w:t>
      </w:r>
      <w:r>
        <w:rPr>
          <w:rFonts w:ascii="Calibri" w:cs="Calibri" w:eastAsia="Calibri" w:hAnsi="Calibri"/>
          <w:color w:val="1A1A2E"/>
          <w:sz w:val="22"/>
          <w:szCs w:val="22"/>
        </w:rPr>
        <w:t xml:space="preserve">BillingCenter's Work Queue Engine (WQE) is designed to:</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Process policyholder web portal login requests asynchronously</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Handle high-volume financial operations asynchronously to maintain application responsiveness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Route BillingInstructions to the correct billing account synchronously</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Process premium allocations in real time as policy transactions complete</w:t>
      </w:r>
    </w:p>
    <w:p>
      <w:pPr>
        <w:pBdr>
          <w:left w:val="thick" w:color="2E7D32" w:sz="12"/>
        </w:pBdr>
        <w:spacing w:after="40" w:before="60"/>
        <w:ind w:left="360"/>
      </w:pPr>
      <w:r>
        <w:rPr>
          <w:rFonts w:ascii="Calibri" w:cs="Calibri" w:eastAsia="Calibri" w:hAnsi="Calibri"/>
          <w:i/>
          <w:iCs/>
          <w:color w:val="555555"/>
          <w:sz w:val="19"/>
          <w:szCs w:val="19"/>
        </w:rPr>
        <w:t xml:space="preserve">Answer: B — The WQE processes high-volume financial operations asynchronously as work queue items rather than blocking transactions. This architecture keeps BillingCenter responsive under load and handles volume spikes reliably.</w:t>
      </w:r>
    </w:p>
    <w:p>
      <w:pPr>
        <w:spacing w:after="80" w:before="200"/>
      </w:pPr>
      <w:r>
        <w:rPr>
          <w:rFonts w:ascii="Calibri" w:cs="Calibri" w:eastAsia="Calibri" w:hAnsi="Calibri"/>
          <w:b/>
          <w:bCs/>
          <w:color w:val="1A1A2E"/>
          <w:sz w:val="22"/>
          <w:szCs w:val="22"/>
        </w:rPr>
        <w:t xml:space="preserve">45. </w:t>
      </w:r>
      <w:r>
        <w:rPr>
          <w:rFonts w:ascii="Calibri" w:cs="Calibri" w:eastAsia="Calibri" w:hAnsi="Calibri"/>
          <w:color w:val="1A1A2E"/>
          <w:sz w:val="22"/>
          <w:szCs w:val="22"/>
        </w:rPr>
        <w:t xml:space="preserve">What does the "delinquency.graceperioddays" parameter in BillingCenter control?</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number of days after a cancellation within which reinstatement is permitted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number of days after the payment due date before a delinquency is triggered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number of days between the first and second delinquency notices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number of days after which a delinquency is escalated to collections</w:t>
      </w:r>
    </w:p>
    <w:p>
      <w:pPr>
        <w:pBdr>
          <w:left w:val="thick" w:color="2E7D32" w:sz="12"/>
        </w:pBdr>
        <w:spacing w:after="40" w:before="60"/>
        <w:ind w:left="360"/>
      </w:pPr>
      <w:r>
        <w:rPr>
          <w:rFonts w:ascii="Calibri" w:cs="Calibri" w:eastAsia="Calibri" w:hAnsi="Calibri"/>
          <w:i/>
          <w:iCs/>
          <w:color w:val="555555"/>
          <w:sz w:val="19"/>
          <w:szCs w:val="19"/>
        </w:rPr>
        <w:t xml:space="preserve">Answer: B — delinquency.graceperioddays is the buffer between the payment due date and delinquency trigger, accommodating mail float and minor delays. Must accommodate state-mandated grace periods that vary by state.</w:t>
      </w:r>
    </w:p>
    <w:p>
      <w:pPr>
        <w:spacing w:after="80" w:before="200"/>
      </w:pPr>
      <w:r>
        <w:rPr>
          <w:rFonts w:ascii="Calibri" w:cs="Calibri" w:eastAsia="Calibri" w:hAnsi="Calibri"/>
          <w:b/>
          <w:bCs/>
          <w:color w:val="1A1A2E"/>
          <w:sz w:val="22"/>
          <w:szCs w:val="22"/>
        </w:rPr>
        <w:t xml:space="preserve">46. </w:t>
      </w:r>
      <w:r>
        <w:rPr>
          <w:rFonts w:ascii="Calibri" w:cs="Calibri" w:eastAsia="Calibri" w:hAnsi="Calibri"/>
          <w:color w:val="1A1A2E"/>
          <w:sz w:val="22"/>
          <w:szCs w:val="22"/>
        </w:rPr>
        <w:t xml:space="preserve">In BillingCenter, what is an "Agency Billing" plan?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plan where the insured bills the agent directly</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billing plan where the bill is sent to the producing agency rather than the insured; the agency is responsible for collecting premium from the insured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plan where the carrier pays the agency commission before collecting premium from the insured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plan that applies only to commercial lines brokered through wholesale agencies</w:t>
      </w:r>
    </w:p>
    <w:p>
      <w:pPr>
        <w:pBdr>
          <w:left w:val="thick" w:color="2E7D32" w:sz="12"/>
        </w:pBdr>
        <w:spacing w:after="40" w:before="60"/>
        <w:ind w:left="360"/>
      </w:pPr>
      <w:r>
        <w:rPr>
          <w:rFonts w:ascii="Calibri" w:cs="Calibri" w:eastAsia="Calibri" w:hAnsi="Calibri"/>
          <w:i/>
          <w:iCs/>
          <w:color w:val="555555"/>
          <w:sz w:val="19"/>
          <w:szCs w:val="19"/>
        </w:rPr>
        <w:t xml:space="preserve">Answer: B — Agency Billing means the carrier bills the agency rather than the direct insured. The agency collects premium from the insured and remits net premium (after commission) to the carrier. Common in traditional agent-distribution models.</w:t>
      </w:r>
    </w:p>
    <w:p>
      <w:pPr>
        <w:spacing w:after="80" w:before="200"/>
      </w:pPr>
      <w:r>
        <w:rPr>
          <w:rFonts w:ascii="Calibri" w:cs="Calibri" w:eastAsia="Calibri" w:hAnsi="Calibri"/>
          <w:b/>
          <w:bCs/>
          <w:color w:val="1A1A2E"/>
          <w:sz w:val="22"/>
          <w:szCs w:val="22"/>
        </w:rPr>
        <w:t xml:space="preserve">47. </w:t>
      </w:r>
      <w:r>
        <w:rPr>
          <w:rFonts w:ascii="Calibri" w:cs="Calibri" w:eastAsia="Calibri" w:hAnsi="Calibri"/>
          <w:color w:val="1A1A2E"/>
          <w:sz w:val="22"/>
          <w:szCs w:val="22"/>
        </w:rPr>
        <w:t xml:space="preserve">Which BillingCenter parameter defines the minimum commission balance required to generate a commission payment to an agent?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commission.holddays</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commission.defaultrate</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commission.minpayoutamount</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commission.chargebackwindowdays</w:t>
      </w:r>
    </w:p>
    <w:p>
      <w:pPr>
        <w:pBdr>
          <w:left w:val="thick" w:color="2E7D32" w:sz="12"/>
        </w:pBdr>
        <w:spacing w:after="40" w:before="60"/>
        <w:ind w:left="360"/>
      </w:pPr>
      <w:r>
        <w:rPr>
          <w:rFonts w:ascii="Calibri" w:cs="Calibri" w:eastAsia="Calibri" w:hAnsi="Calibri"/>
          <w:i/>
          <w:iCs/>
          <w:color w:val="555555"/>
          <w:sz w:val="19"/>
          <w:szCs w:val="19"/>
        </w:rPr>
        <w:t xml:space="preserve">Answer: C — commission.minpayoutamount prevents processing trivially small commission checks. When an agent's commission balance is below this threshold, payment is deferred until the balance accumulates to the minimum.</w:t>
      </w:r>
    </w:p>
    <w:p>
      <w:pPr>
        <w:spacing w:after="80" w:before="200"/>
      </w:pPr>
      <w:r>
        <w:rPr>
          <w:rFonts w:ascii="Calibri" w:cs="Calibri" w:eastAsia="Calibri" w:hAnsi="Calibri"/>
          <w:b/>
          <w:bCs/>
          <w:color w:val="1A1A2E"/>
          <w:sz w:val="22"/>
          <w:szCs w:val="22"/>
        </w:rPr>
        <w:t xml:space="preserve">48. </w:t>
      </w:r>
      <w:r>
        <w:rPr>
          <w:rFonts w:ascii="Calibri" w:cs="Calibri" w:eastAsia="Calibri" w:hAnsi="Calibri"/>
          <w:color w:val="1A1A2E"/>
          <w:sz w:val="22"/>
          <w:szCs w:val="22"/>
        </w:rPr>
        <w:t xml:space="preserve">A policyholder has missed two consecutive monthly premium payments. BillingCenter has generated a delinquency and sent a first notice. What is the next step in the default delinquency workflow?</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Immediately cancel the policy and notify PolicyCenter</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Generate a second (cancellation warning) notice after the configured second notice delay</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Refer the account to collections without further notice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Automatically reinstate any prior policies on the account</w:t>
      </w:r>
    </w:p>
    <w:p>
      <w:pPr>
        <w:pBdr>
          <w:left w:val="thick" w:color="2E7D32" w:sz="12"/>
        </w:pBdr>
        <w:spacing w:after="40" w:before="60"/>
        <w:ind w:left="360"/>
      </w:pPr>
      <w:r>
        <w:rPr>
          <w:rFonts w:ascii="Calibri" w:cs="Calibri" w:eastAsia="Calibri" w:hAnsi="Calibri"/>
          <w:i/>
          <w:iCs/>
          <w:color w:val="555555"/>
          <w:sz w:val="19"/>
          <w:szCs w:val="19"/>
        </w:rPr>
        <w:t xml:space="preserve">Answer: B — The default delinquency workflow sends a first notice, waits for the configured delinquency.secondnoticedays period, then generates a second notice (which typically states the impending cancellation date). PolicyCenter cancellation referral follows.</w:t>
      </w:r>
    </w:p>
    <w:p>
      <w:pPr>
        <w:spacing w:after="80" w:before="200"/>
      </w:pPr>
      <w:r>
        <w:rPr>
          <w:rFonts w:ascii="Calibri" w:cs="Calibri" w:eastAsia="Calibri" w:hAnsi="Calibri"/>
          <w:b/>
          <w:bCs/>
          <w:color w:val="1A1A2E"/>
          <w:sz w:val="22"/>
          <w:szCs w:val="22"/>
        </w:rPr>
        <w:t xml:space="preserve">49. </w:t>
      </w:r>
      <w:r>
        <w:rPr>
          <w:rFonts w:ascii="Calibri" w:cs="Calibri" w:eastAsia="Calibri" w:hAnsi="Calibri"/>
          <w:color w:val="1A1A2E"/>
          <w:sz w:val="22"/>
          <w:szCs w:val="22"/>
        </w:rPr>
        <w:t xml:space="preserve">What does the BillingCenter "financials.rounding.mode" parameter control?</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How premium refunds are rounded to the nearest dollar</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rounding mode applied to all financial calculations throughout BillingCenter</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How installment fees are rounded when split across multiple payments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precision of commission calculations in the commission ledger</w:t>
      </w:r>
    </w:p>
    <w:p>
      <w:pPr>
        <w:pBdr>
          <w:left w:val="thick" w:color="2E7D32" w:sz="12"/>
        </w:pBdr>
        <w:spacing w:after="40" w:before="60"/>
        <w:ind w:left="360"/>
      </w:pPr>
      <w:r>
        <w:rPr>
          <w:rFonts w:ascii="Calibri" w:cs="Calibri" w:eastAsia="Calibri" w:hAnsi="Calibri"/>
          <w:i/>
          <w:iCs/>
          <w:color w:val="555555"/>
          <w:sz w:val="19"/>
          <w:szCs w:val="19"/>
        </w:rPr>
        <w:t xml:space="preserve">Answer: B — financials.rounding.mode applies to all BillingCenter financial calculations. It must match the carrier's actuarial and accounting rounding conventions to ensure premium calculations reconcile with PolicyCenter and the general ledger.</w:t>
      </w:r>
    </w:p>
    <w:p>
      <w:pPr>
        <w:spacing w:after="80" w:before="200"/>
      </w:pPr>
      <w:r>
        <w:rPr>
          <w:rFonts w:ascii="Calibri" w:cs="Calibri" w:eastAsia="Calibri" w:hAnsi="Calibri"/>
          <w:b/>
          <w:bCs/>
          <w:color w:val="1A1A2E"/>
          <w:sz w:val="22"/>
          <w:szCs w:val="22"/>
        </w:rPr>
        <w:t xml:space="preserve">50. </w:t>
      </w:r>
      <w:r>
        <w:rPr>
          <w:rFonts w:ascii="Calibri" w:cs="Calibri" w:eastAsia="Calibri" w:hAnsi="Calibri"/>
          <w:color w:val="1A1A2E"/>
          <w:sz w:val="22"/>
          <w:szCs w:val="22"/>
        </w:rPr>
        <w:t xml:space="preserve">The "workqueue.pollingintervalms" parameter in BillingCenter controls: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How long the Work Queue Engine waits before retrying a failed item</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interval in milliseconds between Work Queue Engine polling cycles for new items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maximum time a work queue item can run before being considered hung</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interval at which BillingCenter checks for new BillingInstructions from PolicyCenter</w:t>
      </w:r>
    </w:p>
    <w:p>
      <w:pPr>
        <w:pBdr>
          <w:left w:val="thick" w:color="2E7D32" w:sz="12"/>
        </w:pBdr>
        <w:spacing w:after="40" w:before="60"/>
        <w:ind w:left="360"/>
      </w:pPr>
      <w:r>
        <w:rPr>
          <w:rFonts w:ascii="Calibri" w:cs="Calibri" w:eastAsia="Calibri" w:hAnsi="Calibri"/>
          <w:i/>
          <w:iCs/>
          <w:color w:val="555555"/>
          <w:sz w:val="19"/>
          <w:szCs w:val="19"/>
        </w:rPr>
        <w:t xml:space="preserve">Answer: B — workqueue.pollingintervalms determines how frequently the WQE checks for new items to process. Lower values increase throughput but add more database polling overhead. Default 5000ms (5 seconds) is appropriate for most implementations.</w:t>
      </w:r>
    </w:p>
    <w:p>
      <w:pPr>
        <w:spacing w:after="80" w:before="200"/>
      </w:pPr>
      <w:r>
        <w:rPr>
          <w:rFonts w:ascii="Calibri" w:cs="Calibri" w:eastAsia="Calibri" w:hAnsi="Calibri"/>
          <w:b/>
          <w:bCs/>
          <w:color w:val="1A1A2E"/>
          <w:sz w:val="22"/>
          <w:szCs w:val="22"/>
        </w:rPr>
        <w:t xml:space="preserve">51. </w:t>
      </w:r>
      <w:r>
        <w:rPr>
          <w:rFonts w:ascii="Calibri" w:cs="Calibri" w:eastAsia="Calibri" w:hAnsi="Calibri"/>
          <w:color w:val="1A1A2E"/>
          <w:sz w:val="22"/>
          <w:szCs w:val="22"/>
        </w:rPr>
        <w:t xml:space="preserve">In BillingCenter, a "Delinquency" entity is created when: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An insured disputes a charge on their billing account</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billing account misses a required payment obligation and the grace period has elapsed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commission check is returned by the agency's bank</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BillingInstruction from PolicyCenter fails to process</w:t>
      </w:r>
    </w:p>
    <w:p>
      <w:pPr>
        <w:pBdr>
          <w:left w:val="thick" w:color="2E7D32" w:sz="12"/>
        </w:pBdr>
        <w:spacing w:after="40" w:before="60"/>
        <w:ind w:left="360"/>
      </w:pPr>
      <w:r>
        <w:rPr>
          <w:rFonts w:ascii="Calibri" w:cs="Calibri" w:eastAsia="Calibri" w:hAnsi="Calibri"/>
          <w:i/>
          <w:iCs/>
          <w:color w:val="555555"/>
          <w:sz w:val="19"/>
          <w:szCs w:val="19"/>
        </w:rPr>
        <w:t xml:space="preserve">Answer: B — A Delinquency is created by BillingCenter when an installment payment is not received within the grace period after the due date. It drives the notices, late fees, and eventual cancellation referral workflow.</w:t>
      </w:r>
    </w:p>
    <w:p>
      <w:pPr>
        <w:spacing w:after="80" w:before="200"/>
      </w:pPr>
      <w:r>
        <w:rPr>
          <w:rFonts w:ascii="Calibri" w:cs="Calibri" w:eastAsia="Calibri" w:hAnsi="Calibri"/>
          <w:b/>
          <w:bCs/>
          <w:color w:val="1A1A2E"/>
          <w:sz w:val="22"/>
          <w:szCs w:val="22"/>
        </w:rPr>
        <w:t xml:space="preserve">52. </w:t>
      </w:r>
      <w:r>
        <w:rPr>
          <w:rFonts w:ascii="Calibri" w:cs="Calibri" w:eastAsia="Calibri" w:hAnsi="Calibri"/>
          <w:color w:val="1A1A2E"/>
          <w:sz w:val="22"/>
          <w:szCs w:val="22"/>
        </w:rPr>
        <w:t xml:space="preserve">What is a "Commission Chargeback" in BillingCenter?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fee charged to the agent when they fail to remit collected premiums on time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recovery of previously paid commission from an agent when the underlying policy is cancelled and premium is returned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deduction from an agent's commission for claims on their book of business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An adjustment to commission for policy endorsements that change the premium</w:t>
      </w:r>
    </w:p>
    <w:p>
      <w:pPr>
        <w:pBdr>
          <w:left w:val="thick" w:color="2E7D32" w:sz="12"/>
        </w:pBdr>
        <w:spacing w:after="40" w:before="60"/>
        <w:ind w:left="360"/>
      </w:pPr>
      <w:r>
        <w:rPr>
          <w:rFonts w:ascii="Calibri" w:cs="Calibri" w:eastAsia="Calibri" w:hAnsi="Calibri"/>
          <w:i/>
          <w:iCs/>
          <w:color w:val="555555"/>
          <w:sz w:val="19"/>
          <w:szCs w:val="19"/>
        </w:rPr>
        <w:t xml:space="preserve">Answer: B — Commission Chargeback recovers the commission paid on cancelled premium. If a policy cancels mid-term and premium is returned to the insured, the carrier recovers the proportional commission from the agent within the chargeback window.</w:t>
      </w:r>
    </w:p>
    <w:p>
      <w:pPr>
        <w:spacing w:after="80" w:before="200"/>
      </w:pPr>
      <w:r>
        <w:rPr>
          <w:rFonts w:ascii="Calibri" w:cs="Calibri" w:eastAsia="Calibri" w:hAnsi="Calibri"/>
          <w:b/>
          <w:bCs/>
          <w:color w:val="1A1A2E"/>
          <w:sz w:val="22"/>
          <w:szCs w:val="22"/>
        </w:rPr>
        <w:t xml:space="preserve">53. </w:t>
      </w:r>
      <w:r>
        <w:rPr>
          <w:rFonts w:ascii="Calibri" w:cs="Calibri" w:eastAsia="Calibri" w:hAnsi="Calibri"/>
          <w:color w:val="1A1A2E"/>
          <w:sz w:val="22"/>
          <w:szCs w:val="22"/>
        </w:rPr>
        <w:t xml:space="preserve">Which BillingCenter entity represents a financial obligation placed on a BillingAccount?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Payment</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Commission</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Charge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BillingInstruction</w:t>
      </w:r>
    </w:p>
    <w:p>
      <w:pPr>
        <w:pBdr>
          <w:left w:val="thick" w:color="2E7D32" w:sz="12"/>
        </w:pBdr>
        <w:spacing w:after="40" w:before="60"/>
        <w:ind w:left="360"/>
      </w:pPr>
      <w:r>
        <w:rPr>
          <w:rFonts w:ascii="Calibri" w:cs="Calibri" w:eastAsia="Calibri" w:hAnsi="Calibri"/>
          <w:i/>
          <w:iCs/>
          <w:color w:val="555555"/>
          <w:sz w:val="19"/>
          <w:szCs w:val="19"/>
        </w:rPr>
        <w:t xml:space="preserve">Answer: C — A Charge is a financial obligation on a BillingAccount with a due date and amount. Charges include premium charges, tax charges, installment fees, and late fees. Payments are applied to Charges to reduce the outstanding balance.</w:t>
      </w:r>
    </w:p>
    <w:p>
      <w:pPr>
        <w:spacing w:after="80" w:before="200"/>
      </w:pPr>
      <w:r>
        <w:rPr>
          <w:rFonts w:ascii="Calibri" w:cs="Calibri" w:eastAsia="Calibri" w:hAnsi="Calibri"/>
          <w:b/>
          <w:bCs/>
          <w:color w:val="1A1A2E"/>
          <w:sz w:val="22"/>
          <w:szCs w:val="22"/>
        </w:rPr>
        <w:t xml:space="preserve">54. </w:t>
      </w:r>
      <w:r>
        <w:rPr>
          <w:rFonts w:ascii="Calibri" w:cs="Calibri" w:eastAsia="Calibri" w:hAnsi="Calibri"/>
          <w:color w:val="1A1A2E"/>
          <w:sz w:val="22"/>
          <w:szCs w:val="22"/>
        </w:rPr>
        <w:t xml:space="preserve">What is the purpose of the "financials.suspenseaccount" parameter in BillingCenter?</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The account to which unallocated payment receipts are posted pending matching to a charge</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The reserve account for estimated future delinquency losses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clearing account used for agency remittances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account used to hold disputed payment amounts</w:t>
      </w:r>
    </w:p>
    <w:p>
      <w:pPr>
        <w:pBdr>
          <w:left w:val="thick" w:color="2E7D32" w:sz="12"/>
        </w:pBdr>
        <w:spacing w:after="40" w:before="60"/>
        <w:ind w:left="360"/>
      </w:pPr>
      <w:r>
        <w:rPr>
          <w:rFonts w:ascii="Calibri" w:cs="Calibri" w:eastAsia="Calibri" w:hAnsi="Calibri"/>
          <w:i/>
          <w:iCs/>
          <w:color w:val="555555"/>
          <w:sz w:val="19"/>
          <w:szCs w:val="19"/>
        </w:rPr>
        <w:t xml:space="preserve">Answer: A — The suspense account holds unallocated receipts — payments received that cannot be immediately matched to an outstanding charge. It must correspond to a real GL account in the carrier's chart of accounts for financial reconciliation.</w:t>
      </w:r>
    </w:p>
    <w:p>
      <w:pPr>
        <w:spacing w:after="80" w:before="200"/>
      </w:pPr>
      <w:r>
        <w:rPr>
          <w:rFonts w:ascii="Calibri" w:cs="Calibri" w:eastAsia="Calibri" w:hAnsi="Calibri"/>
          <w:b/>
          <w:bCs/>
          <w:color w:val="1A1A2E"/>
          <w:sz w:val="22"/>
          <w:szCs w:val="22"/>
        </w:rPr>
        <w:t xml:space="preserve">55. </w:t>
      </w:r>
      <w:r>
        <w:rPr>
          <w:rFonts w:ascii="Calibri" w:cs="Calibri" w:eastAsia="Calibri" w:hAnsi="Calibri"/>
          <w:color w:val="1A1A2E"/>
          <w:sz w:val="22"/>
          <w:szCs w:val="22"/>
        </w:rPr>
        <w:t xml:space="preserve">BillingCenter's "delinquency.autorescindminimum" parameter is used to:</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Automatically rescind a delinquency when the outstanding balance falls below the configured threshold due to a credit or adjustment</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Set the minimum payment required to prevent a delinquency from being escalated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Define the minimum premium balance that qualifies for a delinquency installment plan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Set the threshold below which delinquency notices are not generated</w:t>
      </w:r>
    </w:p>
    <w:p>
      <w:pPr>
        <w:pBdr>
          <w:left w:val="thick" w:color="2E7D32" w:sz="12"/>
        </w:pBdr>
        <w:spacing w:after="40" w:before="60"/>
        <w:ind w:left="360"/>
      </w:pPr>
      <w:r>
        <w:rPr>
          <w:rFonts w:ascii="Calibri" w:cs="Calibri" w:eastAsia="Calibri" w:hAnsi="Calibri"/>
          <w:i/>
          <w:iCs/>
          <w:color w:val="555555"/>
          <w:sz w:val="19"/>
          <w:szCs w:val="19"/>
        </w:rPr>
        <w:t xml:space="preserve">Answer: A — If credits or adjustments reduce the outstanding delinquency balance to below delinquency.autorescindminimum, BillingCenter automatically rescinds the delinquency. This prevents de minimis delinquency events from generating notices and cancellation referrals.</w:t>
      </w:r>
    </w:p>
    <w:p>
      <w:pPr>
        <w:spacing w:after="80" w:before="200"/>
      </w:pPr>
      <w:r>
        <w:rPr>
          <w:rFonts w:ascii="Calibri" w:cs="Calibri" w:eastAsia="Calibri" w:hAnsi="Calibri"/>
          <w:b/>
          <w:bCs/>
          <w:color w:val="1A1A2E"/>
          <w:sz w:val="22"/>
          <w:szCs w:val="22"/>
        </w:rPr>
        <w:t xml:space="preserve">56. </w:t>
      </w:r>
      <w:r>
        <w:rPr>
          <w:rFonts w:ascii="Calibri" w:cs="Calibri" w:eastAsia="Calibri" w:hAnsi="Calibri"/>
          <w:color w:val="1A1A2E"/>
          <w:sz w:val="22"/>
          <w:szCs w:val="22"/>
        </w:rPr>
        <w:t xml:space="preserve">In BillingCenter, which work queue configuration parameter should be increased when a high-volume implementation is experiencing financial processing backlogs?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workqueue.retryattempts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workqueue.maxbatchsize and workqueue.maxthreads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workqueue.alertonfailure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workqueue.auditlog</w:t>
      </w:r>
    </w:p>
    <w:p>
      <w:pPr>
        <w:pBdr>
          <w:left w:val="thick" w:color="2E7D32" w:sz="12"/>
        </w:pBdr>
        <w:spacing w:after="40" w:before="60"/>
        <w:ind w:left="360"/>
      </w:pPr>
      <w:r>
        <w:rPr>
          <w:rFonts w:ascii="Calibri" w:cs="Calibri" w:eastAsia="Calibri" w:hAnsi="Calibri"/>
          <w:i/>
          <w:iCs/>
          <w:color w:val="555555"/>
          <w:sz w:val="19"/>
          <w:szCs w:val="19"/>
        </w:rPr>
        <w:t xml:space="preserve">Answer: B — Increasing workqueue.maxthreads and workqueue.maxbatchsize improves throughput by allowing more parallel processing and larger processing batches. Ensure the database connection pool is also sized accordingly.</w:t>
      </w:r>
    </w:p>
    <w:p>
      <w:pPr>
        <w:spacing w:after="80" w:before="200"/>
      </w:pPr>
      <w:r>
        <w:rPr>
          <w:rFonts w:ascii="Calibri" w:cs="Calibri" w:eastAsia="Calibri" w:hAnsi="Calibri"/>
          <w:b/>
          <w:bCs/>
          <w:color w:val="1A1A2E"/>
          <w:sz w:val="22"/>
          <w:szCs w:val="22"/>
        </w:rPr>
        <w:t xml:space="preserve">57. </w:t>
      </w:r>
      <w:r>
        <w:rPr>
          <w:rFonts w:ascii="Calibri" w:cs="Calibri" w:eastAsia="Calibri" w:hAnsi="Calibri"/>
          <w:color w:val="1A1A2E"/>
          <w:sz w:val="22"/>
          <w:szCs w:val="22"/>
        </w:rPr>
        <w:t xml:space="preserve">What type of BillingCenter integration does the "IFinancialsPlugin" plugin interface support?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Integration with the carrier's payment processor for credit card and ACH transactions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Integration with the carrier's general ledger or financial accounting system for journal entry transmission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Integration with a premium finance company for installment billing</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Integration with an agency management system for commission statements</w:t>
      </w:r>
    </w:p>
    <w:p>
      <w:pPr>
        <w:pBdr>
          <w:left w:val="thick" w:color="2E7D32" w:sz="12"/>
        </w:pBdr>
        <w:spacing w:after="40" w:before="60"/>
        <w:ind w:left="360"/>
      </w:pPr>
      <w:r>
        <w:rPr>
          <w:rFonts w:ascii="Calibri" w:cs="Calibri" w:eastAsia="Calibri" w:hAnsi="Calibri"/>
          <w:i/>
          <w:iCs/>
          <w:color w:val="555555"/>
          <w:sz w:val="19"/>
          <w:szCs w:val="19"/>
        </w:rPr>
        <w:t xml:space="preserve">Answer: B — IFinancialsPlugin transmits BillingCenter financial events as journal entries to the carrier's GL system (SAP, Oracle Financials, Workday). This is the primary integration between BillingCenter and the carrier's financial accounting infrastructure.</w:t>
      </w:r>
    </w:p>
    <w:p>
      <w:pPr>
        <w:spacing w:after="80" w:before="200"/>
      </w:pPr>
      <w:r>
        <w:rPr>
          <w:rFonts w:ascii="Calibri" w:cs="Calibri" w:eastAsia="Calibri" w:hAnsi="Calibri"/>
          <w:b/>
          <w:bCs/>
          <w:color w:val="1A1A2E"/>
          <w:sz w:val="22"/>
          <w:szCs w:val="22"/>
        </w:rPr>
        <w:t xml:space="preserve">58. </w:t>
      </w:r>
      <w:r>
        <w:rPr>
          <w:rFonts w:ascii="Calibri" w:cs="Calibri" w:eastAsia="Calibri" w:hAnsi="Calibri"/>
          <w:color w:val="1A1A2E"/>
          <w:sz w:val="22"/>
          <w:szCs w:val="22"/>
        </w:rPr>
        <w:t xml:space="preserve">A carrier wants to charge a $6 installment fee when policyholders select a monthly payment plan. Where is this configured in BillingCenter?</w:t>
      </w:r>
    </w:p>
    <w:p>
      <w:pPr>
        <w:spacing w:after="30" w:before="30"/>
      </w:pPr>
      <w:r>
        <w:rPr>
          <w:rFonts w:ascii="Calibri" w:cs="Calibri" w:eastAsia="Calibri" w:hAnsi="Calibri"/>
          <w:b/>
          <w:bCs/>
          <w:color w:val="2E7D32"/>
          <w:sz w:val="21"/>
          <w:szCs w:val="21"/>
        </w:rPr>
        <w:t xml:space="preserve">    A) </w:t>
      </w:r>
      <w:r>
        <w:rPr>
          <w:rFonts w:ascii="Calibri" w:cs="Calibri" w:eastAsia="Calibri" w:hAnsi="Calibri"/>
          <w:b/>
          <w:bCs/>
          <w:color w:val="2E7D32"/>
          <w:sz w:val="21"/>
          <w:szCs w:val="21"/>
        </w:rPr>
        <w:t xml:space="preserve">In the financials.installmentfee.amount parameter</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In the delinquency plan configuration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In the commission schedule for the producing agent</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 the workqueue.maxbatchsize parameter</w:t>
      </w:r>
    </w:p>
    <w:p>
      <w:pPr>
        <w:pBdr>
          <w:left w:val="thick" w:color="2E7D32" w:sz="12"/>
        </w:pBdr>
        <w:spacing w:after="40" w:before="60"/>
        <w:ind w:left="360"/>
      </w:pPr>
      <w:r>
        <w:rPr>
          <w:rFonts w:ascii="Calibri" w:cs="Calibri" w:eastAsia="Calibri" w:hAnsi="Calibri"/>
          <w:i/>
          <w:iCs/>
          <w:color w:val="555555"/>
          <w:sz w:val="19"/>
          <w:szCs w:val="19"/>
        </w:rPr>
        <w:t xml:space="preserve">Answer: A — financials.installmentfee.amount sets the default installment fee for payment plans. Carriers may also configure this at the payment plan level for different fees on different plans. Always verify against state regulatory limits on installment fees.</w:t>
      </w:r>
    </w:p>
    <w:p>
      <w:pPr>
        <w:spacing w:after="80" w:before="200"/>
      </w:pPr>
      <w:r>
        <w:rPr>
          <w:rFonts w:ascii="Calibri" w:cs="Calibri" w:eastAsia="Calibri" w:hAnsi="Calibri"/>
          <w:b/>
          <w:bCs/>
          <w:color w:val="1A1A2E"/>
          <w:sz w:val="22"/>
          <w:szCs w:val="22"/>
        </w:rPr>
        <w:t xml:space="preserve">59. </w:t>
      </w:r>
      <w:r>
        <w:rPr>
          <w:rFonts w:ascii="Calibri" w:cs="Calibri" w:eastAsia="Calibri" w:hAnsi="Calibri"/>
          <w:color w:val="1A1A2E"/>
          <w:sz w:val="22"/>
          <w:szCs w:val="22"/>
        </w:rPr>
        <w:t xml:space="preserve">What is "written premium" in BillingCenter?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premium amount actually collected in cash from the insured in a given period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total premium booked at policy issuance or endorsement, representing the carrier's full contractual obligation for the coverage period</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premium remaining to be collected in the current billing period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premium recorded on the policy declarations page</w:t>
      </w:r>
    </w:p>
    <w:p>
      <w:pPr>
        <w:pBdr>
          <w:left w:val="thick" w:color="2E7D32" w:sz="12"/>
        </w:pBdr>
        <w:spacing w:after="40" w:before="60"/>
        <w:ind w:left="360"/>
      </w:pPr>
      <w:r>
        <w:rPr>
          <w:rFonts w:ascii="Calibri" w:cs="Calibri" w:eastAsia="Calibri" w:hAnsi="Calibri"/>
          <w:i/>
          <w:iCs/>
          <w:color w:val="555555"/>
          <w:sz w:val="19"/>
          <w:szCs w:val="19"/>
        </w:rPr>
        <w:t xml:space="preserve">Answer: B — Written Premium is the full premium for the coverage period booked at issuance. It differs from Earned Premium (the portion earned as time passes) and Collected Premium (cash actually received). These distinctions drive financial reporting.</w:t>
      </w:r>
    </w:p>
    <w:p>
      <w:pPr>
        <w:spacing w:after="80" w:before="200"/>
      </w:pPr>
      <w:r>
        <w:rPr>
          <w:rFonts w:ascii="Calibri" w:cs="Calibri" w:eastAsia="Calibri" w:hAnsi="Calibri"/>
          <w:b/>
          <w:bCs/>
          <w:color w:val="1A1A2E"/>
          <w:sz w:val="22"/>
          <w:szCs w:val="22"/>
        </w:rPr>
        <w:t xml:space="preserve">60. </w:t>
      </w:r>
      <w:r>
        <w:rPr>
          <w:rFonts w:ascii="Calibri" w:cs="Calibri" w:eastAsia="Calibri" w:hAnsi="Calibri"/>
          <w:color w:val="1A1A2E"/>
          <w:sz w:val="22"/>
          <w:szCs w:val="22"/>
        </w:rPr>
        <w:t xml:space="preserve">Which BillingCenter delinquency parameter must be aligned with state regulatory requirements for minimum notice periods before policy cancellation?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delinquency.graceperioddays</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delinquency.firstnoticedays</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delinquency.cancellationreferraldays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delinquency.reinstatementwindowdays</w:t>
      </w:r>
    </w:p>
    <w:p>
      <w:pPr>
        <w:pBdr>
          <w:left w:val="thick" w:color="2E7D32" w:sz="12"/>
        </w:pBdr>
        <w:spacing w:after="40" w:before="60"/>
        <w:ind w:left="360"/>
      </w:pPr>
      <w:r>
        <w:rPr>
          <w:rFonts w:ascii="Calibri" w:cs="Calibri" w:eastAsia="Calibri" w:hAnsi="Calibri"/>
          <w:i/>
          <w:iCs/>
          <w:color w:val="555555"/>
          <w:sz w:val="19"/>
          <w:szCs w:val="19"/>
        </w:rPr>
        <w:t xml:space="preserve">Answer: C — delinquency.cancellationreferraldays must be set so that the total elapsed time (from missed payment through cancellation effective date) meets or exceeds the state's minimum required notice period. This varies significantly by state and line of business.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shd w:fill="5B2D8E" w:val="clear"/>
            <w:tcMar>
              <w:top w:type="dxa" w:w="240"/>
              <w:left w:type="dxa" w:w="400"/>
              <w:bottom w:type="dxa" w:w="240"/>
              <w:right w:type="dxa" w:w="400"/>
            </w:tcMar>
          </w:tcPr>
          <w:p>
            <w:pPr>
              <w:spacing w:after="40"/>
            </w:pPr>
            <w:r>
              <w:rPr>
                <w:rFonts w:ascii="Calibri" w:cs="Calibri" w:eastAsia="Calibri" w:hAnsi="Calibri"/>
                <w:b/>
                <w:bCs/>
                <w:caps/>
                <w:color w:val="F5A623"/>
                <w:sz w:val="18"/>
                <w:szCs w:val="18"/>
              </w:rPr>
              <w:t xml:space="preserve">RAPIDAI TECH™</w:t>
            </w:r>
          </w:p>
          <w:p>
            <w:pPr>
              <w:spacing w:after="40"/>
            </w:pPr>
            <w:r>
              <w:rPr>
                <w:rFonts w:ascii="Calibri" w:cs="Calibri" w:eastAsia="Calibri" w:hAnsi="Calibri"/>
                <w:b/>
                <w:bCs/>
                <w:color w:val="FFFFFF"/>
                <w:sz w:val="44"/>
                <w:szCs w:val="44"/>
              </w:rPr>
              <w:t xml:space="preserve">Section 4: Integration</w:t>
            </w:r>
          </w:p>
          <w:p>
            <w:pPr>
              <w:spacing w:after="0"/>
            </w:pPr>
            <w:r>
              <w:rPr>
                <w:rFonts w:ascii="Calibri" w:cs="Calibri" w:eastAsia="Calibri" w:hAnsi="Calibri"/>
                <w:i/>
                <w:iCs/>
                <w:color w:val="E0E0E0"/>
                <w:sz w:val="22"/>
                <w:szCs w:val="22"/>
              </w:rPr>
              <w:t xml:space="preserve">Questions 61–80  |  20 points</w:t>
            </w:r>
          </w:p>
        </w:tc>
      </w:tr>
    </w:tbl>
    <w:p>
      <w:pPr>
        <w:spacing w:before="200"/>
      </w:pPr>
    </w:p>
    <w:p>
      <w:pPr>
        <w:spacing w:after="80" w:before="200"/>
      </w:pPr>
      <w:r>
        <w:rPr>
          <w:rFonts w:ascii="Calibri" w:cs="Calibri" w:eastAsia="Calibri" w:hAnsi="Calibri"/>
          <w:b/>
          <w:bCs/>
          <w:color w:val="1A1A2E"/>
          <w:sz w:val="22"/>
          <w:szCs w:val="22"/>
        </w:rPr>
        <w:t xml:space="preserve">61. </w:t>
      </w:r>
      <w:r>
        <w:rPr>
          <w:rFonts w:ascii="Calibri" w:cs="Calibri" w:eastAsia="Calibri" w:hAnsi="Calibri"/>
          <w:color w:val="1A1A2E"/>
          <w:sz w:val="22"/>
          <w:szCs w:val="22"/>
        </w:rPr>
        <w:t xml:space="preserve">Which Guidewire integration pattern is best suited for integrating with a modern web portal or mobile application?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SOAP Web Services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Cloud API (REST)</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Plugin Framework</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Batch Data Exchange via FTP</w:t>
      </w:r>
    </w:p>
    <w:p>
      <w:pPr>
        <w:pBdr>
          <w:left w:val="thick" w:color="2E7D32" w:sz="12"/>
        </w:pBdr>
        <w:spacing w:after="40" w:before="60"/>
        <w:ind w:left="360"/>
      </w:pPr>
      <w:r>
        <w:rPr>
          <w:rFonts w:ascii="Calibri" w:cs="Calibri" w:eastAsia="Calibri" w:hAnsi="Calibri"/>
          <w:i/>
          <w:iCs/>
          <w:color w:val="555555"/>
          <w:sz w:val="19"/>
          <w:szCs w:val="19"/>
        </w:rPr>
        <w:t xml:space="preserve">Answer: B — The Cloud API (REST/JSON) is purpose-built for modern API consumers including web portals and mobile apps. SOAP is better for legacy enterprise middleware. Plugins run server-side within the application.</w:t>
      </w:r>
    </w:p>
    <w:p>
      <w:pPr>
        <w:spacing w:after="80" w:before="200"/>
      </w:pPr>
      <w:r>
        <w:rPr>
          <w:rFonts w:ascii="Calibri" w:cs="Calibri" w:eastAsia="Calibri" w:hAnsi="Calibri"/>
          <w:b/>
          <w:bCs/>
          <w:color w:val="1A1A2E"/>
          <w:sz w:val="22"/>
          <w:szCs w:val="22"/>
        </w:rPr>
        <w:t xml:space="preserve">62. </w:t>
      </w:r>
      <w:r>
        <w:rPr>
          <w:rFonts w:ascii="Calibri" w:cs="Calibri" w:eastAsia="Calibri" w:hAnsi="Calibri"/>
          <w:color w:val="1A1A2E"/>
          <w:sz w:val="22"/>
          <w:szCs w:val="22"/>
        </w:rPr>
        <w:t xml:space="preserve">In the Guidewire Plugin Framework, plugins are packaged as: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WAR files deployed to the application server</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OSGi bundles containing implementation classes and an OSGi manifest</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Gosu script files deployed to the configuration directory</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Docker containers deployed alongside the Guidewire application</w:t>
      </w:r>
    </w:p>
    <w:p>
      <w:pPr>
        <w:pBdr>
          <w:left w:val="thick" w:color="2E7D32" w:sz="12"/>
        </w:pBdr>
        <w:spacing w:after="40" w:before="60"/>
        <w:ind w:left="360"/>
      </w:pPr>
      <w:r>
        <w:rPr>
          <w:rFonts w:ascii="Calibri" w:cs="Calibri" w:eastAsia="Calibri" w:hAnsi="Calibri"/>
          <w:i/>
          <w:iCs/>
          <w:color w:val="555555"/>
          <w:sz w:val="19"/>
          <w:szCs w:val="19"/>
        </w:rPr>
        <w:t xml:space="preserve">Answer: B — Guidewire plugins are OSGi bundles — the standard module format for the OSGi specification. Each bundle contains implementation classes (Java or Gosu), dependencies, and the OSGi manifest declaring the plugin's identity and services.</w:t>
      </w:r>
    </w:p>
    <w:p>
      <w:pPr>
        <w:spacing w:after="80" w:before="200"/>
      </w:pPr>
      <w:r>
        <w:rPr>
          <w:rFonts w:ascii="Calibri" w:cs="Calibri" w:eastAsia="Calibri" w:hAnsi="Calibri"/>
          <w:b/>
          <w:bCs/>
          <w:color w:val="1A1A2E"/>
          <w:sz w:val="22"/>
          <w:szCs w:val="22"/>
        </w:rPr>
        <w:t xml:space="preserve">63. </w:t>
      </w:r>
      <w:r>
        <w:rPr>
          <w:rFonts w:ascii="Calibri" w:cs="Calibri" w:eastAsia="Calibri" w:hAnsi="Calibri"/>
          <w:color w:val="1A1A2E"/>
          <w:sz w:val="22"/>
          <w:szCs w:val="22"/>
        </w:rPr>
        <w:t xml:space="preserve">The preferred authentication mechanism for new Cloud API (REST) integrations with Guidewire InsuranceSuite is: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HTTP Basic Authentication over TLS</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WS-Security Username Token</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OAuth 2.0 Client Credentials flow</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API Key in the X-API-Key header</w:t>
      </w:r>
    </w:p>
    <w:p>
      <w:pPr>
        <w:pBdr>
          <w:left w:val="thick" w:color="2E7D32" w:sz="12"/>
        </w:pBdr>
        <w:spacing w:after="40" w:before="60"/>
        <w:ind w:left="360"/>
      </w:pPr>
      <w:r>
        <w:rPr>
          <w:rFonts w:ascii="Calibri" w:cs="Calibri" w:eastAsia="Calibri" w:hAnsi="Calibri"/>
          <w:i/>
          <w:iCs/>
          <w:color w:val="555555"/>
          <w:sz w:val="19"/>
          <w:szCs w:val="19"/>
        </w:rPr>
        <w:t xml:space="preserve">Answer: C — OAuth 2.0 Client Credentials is the required authentication mechanism for Guidewire Cloud API. Each external system is issued a client ID and secret, which are exchanged for a time-limited access token at the authorization server.</w:t>
      </w:r>
    </w:p>
    <w:p>
      <w:pPr>
        <w:spacing w:after="80" w:before="200"/>
      </w:pPr>
      <w:r>
        <w:rPr>
          <w:rFonts w:ascii="Calibri" w:cs="Calibri" w:eastAsia="Calibri" w:hAnsi="Calibri"/>
          <w:b/>
          <w:bCs/>
          <w:color w:val="1A1A2E"/>
          <w:sz w:val="22"/>
          <w:szCs w:val="22"/>
        </w:rPr>
        <w:t xml:space="preserve">64. </w:t>
      </w:r>
      <w:r>
        <w:rPr>
          <w:rFonts w:ascii="Calibri" w:cs="Calibri" w:eastAsia="Calibri" w:hAnsi="Calibri"/>
          <w:color w:val="1A1A2E"/>
          <w:sz w:val="22"/>
          <w:szCs w:val="22"/>
        </w:rPr>
        <w:t xml:space="preserve">What is a "PublicID" in the context of Guidewire integration?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carrier's public-facing policy number shown on the declarations page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stable external identifier for a Guidewire entity that should be used in API and web service payloads instead of internal database IDs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OAuth 2.0 client ID assigned to an integration application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public IP address of the Guidewire cloud instance</w:t>
      </w:r>
    </w:p>
    <w:p>
      <w:pPr>
        <w:pBdr>
          <w:left w:val="thick" w:color="2E7D32" w:sz="12"/>
        </w:pBdr>
        <w:spacing w:after="40" w:before="60"/>
        <w:ind w:left="360"/>
      </w:pPr>
      <w:r>
        <w:rPr>
          <w:rFonts w:ascii="Calibri" w:cs="Calibri" w:eastAsia="Calibri" w:hAnsi="Calibri"/>
          <w:i/>
          <w:iCs/>
          <w:color w:val="555555"/>
          <w:sz w:val="19"/>
          <w:szCs w:val="19"/>
        </w:rPr>
        <w:t xml:space="preserve">Answer: B — PublicIDs are stable external references for Guidewire entities. Unlike internal database IDs (which can change across migrations), PublicIDs are immutable. External systems must store and reference PublicIDs for all Guidewire entities they interact with.</w:t>
      </w:r>
    </w:p>
    <w:p>
      <w:pPr>
        <w:spacing w:after="80" w:before="200"/>
      </w:pPr>
      <w:r>
        <w:rPr>
          <w:rFonts w:ascii="Calibri" w:cs="Calibri" w:eastAsia="Calibri" w:hAnsi="Calibri"/>
          <w:b/>
          <w:bCs/>
          <w:color w:val="1A1A2E"/>
          <w:sz w:val="22"/>
          <w:szCs w:val="22"/>
        </w:rPr>
        <w:t xml:space="preserve">65. </w:t>
      </w:r>
      <w:r>
        <w:rPr>
          <w:rFonts w:ascii="Calibri" w:cs="Calibri" w:eastAsia="Calibri" w:hAnsi="Calibri"/>
          <w:color w:val="1A1A2E"/>
          <w:sz w:val="22"/>
          <w:szCs w:val="22"/>
        </w:rPr>
        <w:t xml:space="preserve">Which Cloud API configuration file defines which fields are exposed for each resource type, including their data types and whether they are filterable?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apiconfig.yaml</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mapping.json</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schema.json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integrationGraph.json</w:t>
      </w:r>
    </w:p>
    <w:p>
      <w:pPr>
        <w:pBdr>
          <w:left w:val="thick" w:color="2E7D32" w:sz="12"/>
        </w:pBdr>
        <w:spacing w:after="40" w:before="60"/>
        <w:ind w:left="360"/>
      </w:pPr>
      <w:r>
        <w:rPr>
          <w:rFonts w:ascii="Calibri" w:cs="Calibri" w:eastAsia="Calibri" w:hAnsi="Calibri"/>
          <w:i/>
          <w:iCs/>
          <w:color w:val="555555"/>
          <w:sz w:val="19"/>
          <w:szCs w:val="19"/>
        </w:rPr>
        <w:t xml:space="preserve">Answer: C — schema.json defines the API resource schema: fields, data types, read/write status, and filterability. Carriers extend this file to expose custom data model fields through the API.</w:t>
      </w:r>
    </w:p>
    <w:p>
      <w:pPr>
        <w:spacing w:after="80" w:before="200"/>
      </w:pPr>
      <w:r>
        <w:rPr>
          <w:rFonts w:ascii="Calibri" w:cs="Calibri" w:eastAsia="Calibri" w:hAnsi="Calibri"/>
          <w:b/>
          <w:bCs/>
          <w:color w:val="1A1A2E"/>
          <w:sz w:val="22"/>
          <w:szCs w:val="22"/>
        </w:rPr>
        <w:t xml:space="preserve">66. </w:t>
      </w:r>
      <w:r>
        <w:rPr>
          <w:rFonts w:ascii="Calibri" w:cs="Calibri" w:eastAsia="Calibri" w:hAnsi="Calibri"/>
          <w:color w:val="1A1A2E"/>
          <w:sz w:val="22"/>
          <w:szCs w:val="22"/>
        </w:rPr>
        <w:t xml:space="preserve">The Guidewire "Messaging" framework is primarily used for:</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Sending internal application notifications to users' inboxes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Publishing events from InsuranceSuite applications to external systems via JMS or Kafka message queues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Transmitting SOAP web service payloads between PolicyCenter and ClaimCenter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Scheduling batch jobs that communicate with external systems</w:t>
      </w:r>
    </w:p>
    <w:p>
      <w:pPr>
        <w:pBdr>
          <w:left w:val="thick" w:color="2E7D32" w:sz="12"/>
        </w:pBdr>
        <w:spacing w:after="40" w:before="60"/>
        <w:ind w:left="360"/>
      </w:pPr>
      <w:r>
        <w:rPr>
          <w:rFonts w:ascii="Calibri" w:cs="Calibri" w:eastAsia="Calibri" w:hAnsi="Calibri"/>
          <w:i/>
          <w:iCs/>
          <w:color w:val="555555"/>
          <w:sz w:val="19"/>
          <w:szCs w:val="19"/>
        </w:rPr>
        <w:t xml:space="preserve">Answer: B — Guidewire Messaging enables event-driven integration — it publishes events (claim opened, policy bound, payment received) to external message queues. External systems subscribe to these queues and react to events asynchronously.</w:t>
      </w:r>
    </w:p>
    <w:p>
      <w:pPr>
        <w:spacing w:after="80" w:before="200"/>
      </w:pPr>
      <w:r>
        <w:rPr>
          <w:rFonts w:ascii="Calibri" w:cs="Calibri" w:eastAsia="Calibri" w:hAnsi="Calibri"/>
          <w:b/>
          <w:bCs/>
          <w:color w:val="1A1A2E"/>
          <w:sz w:val="22"/>
          <w:szCs w:val="22"/>
        </w:rPr>
        <w:t xml:space="preserve">67. </w:t>
      </w:r>
      <w:r>
        <w:rPr>
          <w:rFonts w:ascii="Calibri" w:cs="Calibri" w:eastAsia="Calibri" w:hAnsi="Calibri"/>
          <w:color w:val="1A1A2E"/>
          <w:sz w:val="22"/>
          <w:szCs w:val="22"/>
        </w:rPr>
        <w:t xml:space="preserve">A carrier needs to retrieve a Motor Vehicle Report (MVR) from an external vendor during a PolicyCenter submission. Which integration pattern is most appropriate?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SOAP Web Service call from an external orchestrator to PolicyCenter</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Cloud API REST endpoint on PolicyCenter</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A Guidewire Plugin implementing the appropriate plugin interface, called by PolicyCenter during the quoting process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scheduled batch export from PolicyCenter to the MVR vendor</w:t>
      </w:r>
    </w:p>
    <w:p>
      <w:pPr>
        <w:pBdr>
          <w:left w:val="thick" w:color="2E7D32" w:sz="12"/>
        </w:pBdr>
        <w:spacing w:after="40" w:before="60"/>
        <w:ind w:left="360"/>
      </w:pPr>
      <w:r>
        <w:rPr>
          <w:rFonts w:ascii="Calibri" w:cs="Calibri" w:eastAsia="Calibri" w:hAnsi="Calibri"/>
          <w:i/>
          <w:iCs/>
          <w:color w:val="555555"/>
          <w:sz w:val="19"/>
          <w:szCs w:val="19"/>
        </w:rPr>
        <w:t xml:space="preserve">Answer: C — MVR retrieval is a classic plugin use case. A plugin executes within PolicyCenter's transaction boundary, allowing the MVR result to immediately influence eligibility rules and underwriting issues during the quote workflow.</w:t>
      </w:r>
    </w:p>
    <w:p>
      <w:pPr>
        <w:spacing w:after="80" w:before="200"/>
      </w:pPr>
      <w:r>
        <w:rPr>
          <w:rFonts w:ascii="Calibri" w:cs="Calibri" w:eastAsia="Calibri" w:hAnsi="Calibri"/>
          <w:b/>
          <w:bCs/>
          <w:color w:val="1A1A2E"/>
          <w:sz w:val="22"/>
          <w:szCs w:val="22"/>
        </w:rPr>
        <w:t xml:space="preserve">68. </w:t>
      </w:r>
      <w:r>
        <w:rPr>
          <w:rFonts w:ascii="Calibri" w:cs="Calibri" w:eastAsia="Calibri" w:hAnsi="Calibri"/>
          <w:color w:val="1A1A2E"/>
          <w:sz w:val="22"/>
          <w:szCs w:val="22"/>
        </w:rPr>
        <w:t xml:space="preserve">Which configuration file in the Cloud API defines the relationships between resources, enabling the API to return related entities in a single request?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schema.json</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mapping.json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updater.json</w:t>
      </w:r>
    </w:p>
    <w:p>
      <w:pPr>
        <w:spacing w:after="30" w:before="30"/>
      </w:pPr>
      <w:r>
        <w:rPr>
          <w:rFonts w:ascii="Calibri" w:cs="Calibri" w:eastAsia="Calibri" w:hAnsi="Calibri"/>
          <w:b/>
          <w:bCs/>
          <w:color w:val="2E7D32"/>
          <w:sz w:val="21"/>
          <w:szCs w:val="21"/>
        </w:rPr>
        <w:t xml:space="preserve">    D) </w:t>
      </w:r>
      <w:r>
        <w:rPr>
          <w:rFonts w:ascii="Calibri" w:cs="Calibri" w:eastAsia="Calibri" w:hAnsi="Calibri"/>
          <w:b/>
          <w:bCs/>
          <w:color w:val="2E7D32"/>
          <w:sz w:val="21"/>
          <w:szCs w:val="21"/>
        </w:rPr>
        <w:t xml:space="preserve">integrationGraph.json</w:t>
      </w:r>
    </w:p>
    <w:p>
      <w:pPr>
        <w:pBdr>
          <w:left w:val="thick" w:color="2E7D32" w:sz="12"/>
        </w:pBdr>
        <w:spacing w:after="40" w:before="60"/>
        <w:ind w:left="360"/>
      </w:pPr>
      <w:r>
        <w:rPr>
          <w:rFonts w:ascii="Calibri" w:cs="Calibri" w:eastAsia="Calibri" w:hAnsi="Calibri"/>
          <w:i/>
          <w:iCs/>
          <w:color w:val="555555"/>
          <w:sz w:val="19"/>
          <w:szCs w:val="19"/>
        </w:rPr>
        <w:t xml:space="preserve">Answer: D — integrationGraph.json defines how resources relate to each other in the API graph. This enables API consumers to request related entities in a single call, reducing round trips and improving performance for complex resource retrievals.</w:t>
      </w:r>
    </w:p>
    <w:p>
      <w:pPr>
        <w:spacing w:after="80" w:before="200"/>
      </w:pPr>
      <w:r>
        <w:rPr>
          <w:rFonts w:ascii="Calibri" w:cs="Calibri" w:eastAsia="Calibri" w:hAnsi="Calibri"/>
          <w:b/>
          <w:bCs/>
          <w:color w:val="1A1A2E"/>
          <w:sz w:val="22"/>
          <w:szCs w:val="22"/>
        </w:rPr>
        <w:t xml:space="preserve">69. </w:t>
      </w:r>
      <w:r>
        <w:rPr>
          <w:rFonts w:ascii="Calibri" w:cs="Calibri" w:eastAsia="Calibri" w:hAnsi="Calibri"/>
          <w:color w:val="1A1A2E"/>
          <w:sz w:val="22"/>
          <w:szCs w:val="22"/>
        </w:rPr>
        <w:t xml:space="preserve">What HTTP status code does the Guidewire Cloud API return when an integration client exceeds its rate limit?</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400 Bad Request</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401 Unauthorized</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429 Too Many Requests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503 Service Unavailable</w:t>
      </w:r>
    </w:p>
    <w:p>
      <w:pPr>
        <w:pBdr>
          <w:left w:val="thick" w:color="2E7D32" w:sz="12"/>
        </w:pBdr>
        <w:spacing w:after="40" w:before="60"/>
        <w:ind w:left="360"/>
      </w:pPr>
      <w:r>
        <w:rPr>
          <w:rFonts w:ascii="Calibri" w:cs="Calibri" w:eastAsia="Calibri" w:hAnsi="Calibri"/>
          <w:i/>
          <w:iCs/>
          <w:color w:val="555555"/>
          <w:sz w:val="19"/>
          <w:szCs w:val="19"/>
        </w:rPr>
        <w:t xml:space="preserve">Answer: C — HTTP 429 (Too Many Requests) is the standard response for rate limit violations. The response includes a Retry-After header specifying when the client may retry. Well-behaved clients must respect this header.</w:t>
      </w:r>
    </w:p>
    <w:p>
      <w:pPr>
        <w:spacing w:after="80" w:before="200"/>
      </w:pPr>
      <w:r>
        <w:rPr>
          <w:rFonts w:ascii="Calibri" w:cs="Calibri" w:eastAsia="Calibri" w:hAnsi="Calibri"/>
          <w:b/>
          <w:bCs/>
          <w:color w:val="1A1A2E"/>
          <w:sz w:val="22"/>
          <w:szCs w:val="22"/>
        </w:rPr>
        <w:t xml:space="preserve">70. </w:t>
      </w:r>
      <w:r>
        <w:rPr>
          <w:rFonts w:ascii="Calibri" w:cs="Calibri" w:eastAsia="Calibri" w:hAnsi="Calibri"/>
          <w:color w:val="1A1A2E"/>
          <w:sz w:val="22"/>
          <w:szCs w:val="22"/>
        </w:rPr>
        <w:t xml:space="preserve">In the context of the Guidewire Plugin Framework, what does "stateless design" mean for plugins?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Plugins should not access the Guidewire database</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Plugins should not maintain any state between invocations; the OSGi container may create multiple instances and cannot guarantee the same instance handles consecutive requests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Plugins should not use Gosu — only Java is permitted for stateless plugin implementations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Plugins should complete their execution without any external service calls</w:t>
      </w:r>
    </w:p>
    <w:p>
      <w:pPr>
        <w:pBdr>
          <w:left w:val="thick" w:color="2E7D32" w:sz="12"/>
        </w:pBdr>
        <w:spacing w:after="40" w:before="60"/>
        <w:ind w:left="360"/>
      </w:pPr>
      <w:r>
        <w:rPr>
          <w:rFonts w:ascii="Calibri" w:cs="Calibri" w:eastAsia="Calibri" w:hAnsi="Calibri"/>
          <w:i/>
          <w:iCs/>
          <w:color w:val="555555"/>
          <w:sz w:val="19"/>
          <w:szCs w:val="19"/>
        </w:rPr>
        <w:t xml:space="preserve">Answer: B — Stateless design is required because the OSGi container can instantiate multiple plugin instances and cannot guarantee instance affinity between requests. State must be passed in/out as method parameters or stored in request-scoped beans.</w:t>
      </w:r>
    </w:p>
    <w:p>
      <w:pPr>
        <w:spacing w:after="80" w:before="200"/>
      </w:pPr>
      <w:r>
        <w:rPr>
          <w:rFonts w:ascii="Calibri" w:cs="Calibri" w:eastAsia="Calibri" w:hAnsi="Calibri"/>
          <w:b/>
          <w:bCs/>
          <w:color w:val="1A1A2E"/>
          <w:sz w:val="22"/>
          <w:szCs w:val="22"/>
        </w:rPr>
        <w:t xml:space="preserve">71. </w:t>
      </w:r>
      <w:r>
        <w:rPr>
          <w:rFonts w:ascii="Calibri" w:cs="Calibri" w:eastAsia="Calibri" w:hAnsi="Calibri"/>
          <w:color w:val="1A1A2E"/>
          <w:sz w:val="22"/>
          <w:szCs w:val="22"/>
        </w:rPr>
        <w:t xml:space="preserve">The "Ready for Guidewire" certification on Guidewire Marketplace prebuilt integrations indicates: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The integration was built by Guidewire Software internal engineering teams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The integration has passed Guidewire's compatibility, quality, and security validation process conducted by a Guidewire partner</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The integration is available at no additional cost to all Guidewire cloud subscribers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The integration has been deployed at more than 50 carrier implementations</w:t>
      </w:r>
    </w:p>
    <w:p>
      <w:pPr>
        <w:pBdr>
          <w:left w:val="thick" w:color="2E7D32" w:sz="12"/>
        </w:pBdr>
        <w:spacing w:after="40" w:before="60"/>
        <w:ind w:left="360"/>
      </w:pPr>
      <w:r>
        <w:rPr>
          <w:rFonts w:ascii="Calibri" w:cs="Calibri" w:eastAsia="Calibri" w:hAnsi="Calibri"/>
          <w:i/>
          <w:iCs/>
          <w:color w:val="555555"/>
          <w:sz w:val="19"/>
          <w:szCs w:val="19"/>
        </w:rPr>
        <w:t xml:space="preserve">Answer: B — "Ready for Guidewire" is Guidewire's partner certification for Marketplace integrations. It validates that the integration meets compatibility, quality, documentation, and security standards — but the integration is built by a Guidewire partner, not Guidewire itself.</w:t>
      </w:r>
    </w:p>
    <w:p>
      <w:pPr>
        <w:spacing w:after="80" w:before="200"/>
      </w:pPr>
      <w:r>
        <w:rPr>
          <w:rFonts w:ascii="Calibri" w:cs="Calibri" w:eastAsia="Calibri" w:hAnsi="Calibri"/>
          <w:b/>
          <w:bCs/>
          <w:color w:val="1A1A2E"/>
          <w:sz w:val="22"/>
          <w:szCs w:val="22"/>
        </w:rPr>
        <w:t xml:space="preserve">72. </w:t>
      </w:r>
      <w:r>
        <w:rPr>
          <w:rFonts w:ascii="Calibri" w:cs="Calibri" w:eastAsia="Calibri" w:hAnsi="Calibri"/>
          <w:color w:val="1A1A2E"/>
          <w:sz w:val="22"/>
          <w:szCs w:val="22"/>
        </w:rPr>
        <w:t xml:space="preserve">Which SOAP authentication mechanism provides the highest level of security by signing the SOAP message with the calling system's private key?</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HTTP Basic Authentication over TLS</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WS-Security Username Token</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WS-Security X.509 Certificate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OAuth 2.0 Bearer Token</w:t>
      </w:r>
    </w:p>
    <w:p>
      <w:pPr>
        <w:pBdr>
          <w:left w:val="thick" w:color="2E7D32" w:sz="12"/>
        </w:pBdr>
        <w:spacing w:after="40" w:before="60"/>
        <w:ind w:left="360"/>
      </w:pPr>
      <w:r>
        <w:rPr>
          <w:rFonts w:ascii="Calibri" w:cs="Calibri" w:eastAsia="Calibri" w:hAnsi="Calibri"/>
          <w:i/>
          <w:iCs/>
          <w:color w:val="555555"/>
          <w:sz w:val="19"/>
          <w:szCs w:val="19"/>
        </w:rPr>
        <w:t xml:space="preserve">Answer: C — WS-Security X.509 Certificate authentication requires the calling system to sign the SOAP message with its private key. PolicyCenter validates the signature against the trusted certificate. This provides non-repudiation in addition to authentication.</w:t>
      </w:r>
    </w:p>
    <w:p>
      <w:pPr>
        <w:spacing w:after="80" w:before="200"/>
      </w:pPr>
      <w:r>
        <w:rPr>
          <w:rFonts w:ascii="Calibri" w:cs="Calibri" w:eastAsia="Calibri" w:hAnsi="Calibri"/>
          <w:b/>
          <w:bCs/>
          <w:color w:val="1A1A2E"/>
          <w:sz w:val="22"/>
          <w:szCs w:val="22"/>
        </w:rPr>
        <w:t xml:space="preserve">73. </w:t>
      </w:r>
      <w:r>
        <w:rPr>
          <w:rFonts w:ascii="Calibri" w:cs="Calibri" w:eastAsia="Calibri" w:hAnsi="Calibri"/>
          <w:color w:val="1A1A2E"/>
          <w:sz w:val="22"/>
          <w:szCs w:val="22"/>
        </w:rPr>
        <w:t xml:space="preserve">What is the primary risk of using SOAP web services for high-volume batch data retrieval from Guidewire?</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SOAP is not supported in cloud deployments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SOAP services are synchronous; high-volume retrieval blocks calling system threads and creates load on the Guidewire application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SOAP services do not support authentication in Guidewire Cloud</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SOAP payloads cannot include nested data structures</w:t>
      </w:r>
    </w:p>
    <w:p>
      <w:pPr>
        <w:pBdr>
          <w:left w:val="thick" w:color="2E7D32" w:sz="12"/>
        </w:pBdr>
        <w:spacing w:after="40" w:before="60"/>
        <w:ind w:left="360"/>
      </w:pPr>
      <w:r>
        <w:rPr>
          <w:rFonts w:ascii="Calibri" w:cs="Calibri" w:eastAsia="Calibri" w:hAnsi="Calibri"/>
          <w:i/>
          <w:iCs/>
          <w:color w:val="555555"/>
          <w:sz w:val="19"/>
          <w:szCs w:val="19"/>
        </w:rPr>
        <w:t xml:space="preserve">Answer: B — SOAP services are designed for transactional operations on individual records. Using them for bulk retrieval creates thread exhaustion in the calling system and performance issues in Guidewire. Use Guidewire Data Platform or the API for bulk operations.</w:t>
      </w:r>
    </w:p>
    <w:p>
      <w:pPr>
        <w:spacing w:after="80" w:before="200"/>
      </w:pPr>
      <w:r>
        <w:rPr>
          <w:rFonts w:ascii="Calibri" w:cs="Calibri" w:eastAsia="Calibri" w:hAnsi="Calibri"/>
          <w:b/>
          <w:bCs/>
          <w:color w:val="1A1A2E"/>
          <w:sz w:val="22"/>
          <w:szCs w:val="22"/>
        </w:rPr>
        <w:t xml:space="preserve">74. </w:t>
      </w:r>
      <w:r>
        <w:rPr>
          <w:rFonts w:ascii="Calibri" w:cs="Calibri" w:eastAsia="Calibri" w:hAnsi="Calibri"/>
          <w:color w:val="1A1A2E"/>
          <w:sz w:val="22"/>
          <w:szCs w:val="22"/>
        </w:rPr>
        <w:t xml:space="preserve">The "IBillingCenterPlugin" plugin interface in PolicyCenter is used to:</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Process BillingCenter payments when the carrier has no separate BillingCenter installation</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Translate PolicyCenter billing instructions into BillingCenter charge transactions as part of the PolicyCenter-to-BillingCenter integration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Import BillingCenter delinquency data into PolicyCenter for display on the policy account screen</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Configure the BillingCenter Work Queue Engine from within PolicyCenter</w:t>
      </w:r>
    </w:p>
    <w:p>
      <w:pPr>
        <w:pBdr>
          <w:left w:val="thick" w:color="2E7D32" w:sz="12"/>
        </w:pBdr>
        <w:spacing w:after="40" w:before="60"/>
        <w:ind w:left="360"/>
      </w:pPr>
      <w:r>
        <w:rPr>
          <w:rFonts w:ascii="Calibri" w:cs="Calibri" w:eastAsia="Calibri" w:hAnsi="Calibri"/>
          <w:i/>
          <w:iCs/>
          <w:color w:val="555555"/>
          <w:sz w:val="19"/>
          <w:szCs w:val="19"/>
        </w:rPr>
        <w:t xml:space="preserve">Answer: B — IBillingCenterPlugin implements the PolicyCenter-to-BillingCenter integration. When a policy event (bind, endorse, cancel) occurs in PolicyCenter, the plugin creates a BillingInstruction and sends it to BillingCenter to generate the appropriate charge or adjustment.</w:t>
      </w:r>
    </w:p>
    <w:p>
      <w:pPr>
        <w:spacing w:after="80" w:before="200"/>
      </w:pPr>
      <w:r>
        <w:rPr>
          <w:rFonts w:ascii="Calibri" w:cs="Calibri" w:eastAsia="Calibri" w:hAnsi="Calibri"/>
          <w:b/>
          <w:bCs/>
          <w:color w:val="1A1A2E"/>
          <w:sz w:val="22"/>
          <w:szCs w:val="22"/>
        </w:rPr>
        <w:t xml:space="preserve">75. </w:t>
      </w:r>
      <w:r>
        <w:rPr>
          <w:rFonts w:ascii="Calibri" w:cs="Calibri" w:eastAsia="Calibri" w:hAnsi="Calibri"/>
          <w:color w:val="1A1A2E"/>
          <w:sz w:val="22"/>
          <w:szCs w:val="22"/>
        </w:rPr>
        <w:t xml:space="preserve">A custom Cloud API extension endpoint in PolicyCenter is implemented as:</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A PCF InputSet that maps to a REST URL</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A Gosu class implementing the REST Extension Endpoint interface, registered in the API configuration</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A Java servlet deployed alongside the PolicyCenter WAR</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A WSDL service definition with a REST binding</w:t>
      </w:r>
    </w:p>
    <w:p>
      <w:pPr>
        <w:pBdr>
          <w:left w:val="thick" w:color="2E7D32" w:sz="12"/>
        </w:pBdr>
        <w:spacing w:after="40" w:before="60"/>
        <w:ind w:left="360"/>
      </w:pPr>
      <w:r>
        <w:rPr>
          <w:rFonts w:ascii="Calibri" w:cs="Calibri" w:eastAsia="Calibri" w:hAnsi="Calibri"/>
          <w:i/>
          <w:iCs/>
          <w:color w:val="555555"/>
          <w:sz w:val="19"/>
          <w:szCs w:val="19"/>
        </w:rPr>
        <w:t xml:space="preserve">Answer: B — REST Extension Endpoints are Gosu classes that implement a specific interface and are registered in the API configuration. They handle custom HTTP requests and have full access to PolicyCenter business objects and services.</w:t>
      </w:r>
    </w:p>
    <w:p>
      <w:pPr>
        <w:spacing w:after="80" w:before="200"/>
      </w:pPr>
      <w:r>
        <w:rPr>
          <w:rFonts w:ascii="Calibri" w:cs="Calibri" w:eastAsia="Calibri" w:hAnsi="Calibri"/>
          <w:b/>
          <w:bCs/>
          <w:color w:val="1A1A2E"/>
          <w:sz w:val="22"/>
          <w:szCs w:val="22"/>
        </w:rPr>
        <w:t xml:space="preserve">76. </w:t>
      </w:r>
      <w:r>
        <w:rPr>
          <w:rFonts w:ascii="Calibri" w:cs="Calibri" w:eastAsia="Calibri" w:hAnsi="Calibri"/>
          <w:color w:val="1A1A2E"/>
          <w:sz w:val="22"/>
          <w:szCs w:val="22"/>
        </w:rPr>
        <w:t xml:space="preserve">What is the purpose of the "updater.json" file in the Guidewire Cloud API configuration?</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It defines the fields exposed in API responses and their data types</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It maps API field names to Guidewire data model field names</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It defines which fields can be updated via PUT/PATCH requests and any business logic that runs on update</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It configures the API authorization rules and access scopes</w:t>
      </w:r>
    </w:p>
    <w:p>
      <w:pPr>
        <w:pBdr>
          <w:left w:val="thick" w:color="2E7D32" w:sz="12"/>
        </w:pBdr>
        <w:spacing w:after="40" w:before="60"/>
        <w:ind w:left="360"/>
      </w:pPr>
      <w:r>
        <w:rPr>
          <w:rFonts w:ascii="Calibri" w:cs="Calibri" w:eastAsia="Calibri" w:hAnsi="Calibri"/>
          <w:i/>
          <w:iCs/>
          <w:color w:val="555555"/>
          <w:sz w:val="19"/>
          <w:szCs w:val="19"/>
        </w:rPr>
        <w:t xml:space="preserve">Answer: C — updater.json controls which fields are writeable via the API and can include Gosu business logic that executes when those fields are updated. This keeps business rules centralized in the server rather than duplicated in API consumers.</w:t>
      </w:r>
    </w:p>
    <w:p>
      <w:pPr>
        <w:spacing w:after="80" w:before="200"/>
      </w:pPr>
      <w:r>
        <w:rPr>
          <w:rFonts w:ascii="Calibri" w:cs="Calibri" w:eastAsia="Calibri" w:hAnsi="Calibri"/>
          <w:b/>
          <w:bCs/>
          <w:color w:val="1A1A2E"/>
          <w:sz w:val="22"/>
          <w:szCs w:val="22"/>
        </w:rPr>
        <w:t xml:space="preserve">77. </w:t>
      </w:r>
      <w:r>
        <w:rPr>
          <w:rFonts w:ascii="Calibri" w:cs="Calibri" w:eastAsia="Calibri" w:hAnsi="Calibri"/>
          <w:color w:val="1A1A2E"/>
          <w:sz w:val="22"/>
          <w:szCs w:val="22"/>
        </w:rPr>
        <w:t xml:space="preserve">The "IPolicyRetrievalPlugin" in ClaimCenter is called:</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When a new claim payment is approved and needs to be communicated to PolicyCenter</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During FNOL to look up the policy from PolicyCenter and verify coverage at the date of loss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When a cancelled policy needs to be reinstated following a ClaimCenter recovery</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When generating claim documents that require policy data not stored in ClaimCenter</w:t>
      </w:r>
    </w:p>
    <w:p>
      <w:pPr>
        <w:pBdr>
          <w:left w:val="thick" w:color="2E7D32" w:sz="12"/>
        </w:pBdr>
        <w:spacing w:after="40" w:before="60"/>
        <w:ind w:left="360"/>
      </w:pPr>
      <w:r>
        <w:rPr>
          <w:rFonts w:ascii="Calibri" w:cs="Calibri" w:eastAsia="Calibri" w:hAnsi="Calibri"/>
          <w:i/>
          <w:iCs/>
          <w:color w:val="555555"/>
          <w:sz w:val="19"/>
          <w:szCs w:val="19"/>
        </w:rPr>
        <w:t xml:space="preserve">Answer: B — IPolicyRetrievalPlugin is called by ClaimCenter during FNOL intake. It queries PolicyCenter for the reported policy, validates that it was in force on the loss date, and returns coverage details to populate the claim exposure.</w:t>
      </w:r>
    </w:p>
    <w:p>
      <w:pPr>
        <w:spacing w:after="80" w:before="200"/>
      </w:pPr>
      <w:r>
        <w:rPr>
          <w:rFonts w:ascii="Calibri" w:cs="Calibri" w:eastAsia="Calibri" w:hAnsi="Calibri"/>
          <w:b/>
          <w:bCs/>
          <w:color w:val="1A1A2E"/>
          <w:sz w:val="22"/>
          <w:szCs w:val="22"/>
        </w:rPr>
        <w:t xml:space="preserve">78. </w:t>
      </w:r>
      <w:r>
        <w:rPr>
          <w:rFonts w:ascii="Calibri" w:cs="Calibri" w:eastAsia="Calibri" w:hAnsi="Calibri"/>
          <w:color w:val="1A1A2E"/>
          <w:sz w:val="22"/>
          <w:szCs w:val="22"/>
        </w:rPr>
        <w:t xml:space="preserve">When implementing a plugin that calls an external web service, which of the following is a best practice for handling external service unavailability?</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Log the error and silently succeed so the application user experience is not impacted</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Implement a circuit breaker pattern; fail gracefully with a user-visible validation message or retry the operation via a work queue</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Throw an uncaught exception to force the calling Guidewire transaction to roll back</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Cache the last successful response indefinitely and return it for all future calls when the service is down</w:t>
      </w:r>
    </w:p>
    <w:p>
      <w:pPr>
        <w:pBdr>
          <w:left w:val="thick" w:color="2E7D32" w:sz="12"/>
        </w:pBdr>
        <w:spacing w:after="40" w:before="60"/>
        <w:ind w:left="360"/>
      </w:pPr>
      <w:r>
        <w:rPr>
          <w:rFonts w:ascii="Calibri" w:cs="Calibri" w:eastAsia="Calibri" w:hAnsi="Calibri"/>
          <w:i/>
          <w:iCs/>
          <w:color w:val="555555"/>
          <w:sz w:val="19"/>
          <w:szCs w:val="19"/>
        </w:rPr>
        <w:t xml:space="preserve">Answer: B — Circuit breakers prevent cascade failures when external services are unavailable. Failing gracefully — with a clear message to the user or automatic retry — is preferable to either silent failure (which creates data inconsistencies) or uncaught exceptions (which roll back user work).</w:t>
      </w:r>
    </w:p>
    <w:p>
      <w:pPr>
        <w:spacing w:after="80" w:before="200"/>
      </w:pPr>
      <w:r>
        <w:rPr>
          <w:rFonts w:ascii="Calibri" w:cs="Calibri" w:eastAsia="Calibri" w:hAnsi="Calibri"/>
          <w:b/>
          <w:bCs/>
          <w:color w:val="1A1A2E"/>
          <w:sz w:val="22"/>
          <w:szCs w:val="22"/>
        </w:rPr>
        <w:t xml:space="preserve">79. </w:t>
      </w:r>
      <w:r>
        <w:rPr>
          <w:rFonts w:ascii="Calibri" w:cs="Calibri" w:eastAsia="Calibri" w:hAnsi="Calibri"/>
          <w:color w:val="1A1A2E"/>
          <w:sz w:val="22"/>
          <w:szCs w:val="22"/>
        </w:rPr>
        <w:t xml:space="preserve">In a Guidewire Cloud deployment, where should integration credentials (OAuth client secrets, API keys for external services) be stored?</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In a plain text properties file in the configuration directory</w:t>
      </w:r>
    </w:p>
    <w:p>
      <w:pPr>
        <w:spacing w:after="30" w:before="30"/>
      </w:pPr>
      <w:r>
        <w:rPr>
          <w:rFonts w:ascii="Calibri" w:cs="Calibri" w:eastAsia="Calibri" w:hAnsi="Calibri"/>
          <w:b w:val="false"/>
          <w:bCs w:val="false"/>
          <w:color w:val="4A4A4A"/>
          <w:sz w:val="21"/>
          <w:szCs w:val="21"/>
        </w:rPr>
        <w:t xml:space="preserve">    B) </w:t>
      </w:r>
      <w:r>
        <w:rPr>
          <w:rFonts w:ascii="Calibri" w:cs="Calibri" w:eastAsia="Calibri" w:hAnsi="Calibri"/>
          <w:b w:val="false"/>
          <w:bCs w:val="false"/>
          <w:color w:val="4A4A4A"/>
          <w:sz w:val="21"/>
          <w:szCs w:val="21"/>
        </w:rPr>
        <w:t xml:space="preserve">In the Guidewire Studio project's application.properties file under version control</w:t>
      </w:r>
    </w:p>
    <w:p>
      <w:pPr>
        <w:spacing w:after="30" w:before="30"/>
      </w:pPr>
      <w:r>
        <w:rPr>
          <w:rFonts w:ascii="Calibri" w:cs="Calibri" w:eastAsia="Calibri" w:hAnsi="Calibri"/>
          <w:b/>
          <w:bCs/>
          <w:color w:val="2E7D32"/>
          <w:sz w:val="21"/>
          <w:szCs w:val="21"/>
        </w:rPr>
        <w:t xml:space="preserve">    C) </w:t>
      </w:r>
      <w:r>
        <w:rPr>
          <w:rFonts w:ascii="Calibri" w:cs="Calibri" w:eastAsia="Calibri" w:hAnsi="Calibri"/>
          <w:b/>
          <w:bCs/>
          <w:color w:val="2E7D32"/>
          <w:sz w:val="21"/>
          <w:szCs w:val="21"/>
        </w:rPr>
        <w:t xml:space="preserve">In the carrier's secrets management platform (HashiCorp Vault, AWS Secrets Manager, Azure Key Vault)</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In the Guidewire Cloud Console environment configuration screen</w:t>
      </w:r>
    </w:p>
    <w:p>
      <w:pPr>
        <w:pBdr>
          <w:left w:val="thick" w:color="2E7D32" w:sz="12"/>
        </w:pBdr>
        <w:spacing w:after="40" w:before="60"/>
        <w:ind w:left="360"/>
      </w:pPr>
      <w:r>
        <w:rPr>
          <w:rFonts w:ascii="Calibri" w:cs="Calibri" w:eastAsia="Calibri" w:hAnsi="Calibri"/>
          <w:i/>
          <w:iCs/>
          <w:color w:val="555555"/>
          <w:sz w:val="19"/>
          <w:szCs w:val="19"/>
        </w:rPr>
        <w:t xml:space="preserve">Answer: C — Integration credentials must never be stored in plain text files or version control. Use a dedicated secrets management platform to store and rotate credentials. The Guidewire Cloud environment retrieves secrets from the carrier's secrets management platform at runtime.</w:t>
      </w:r>
    </w:p>
    <w:p>
      <w:pPr>
        <w:spacing w:after="80" w:before="200"/>
      </w:pPr>
      <w:r>
        <w:rPr>
          <w:rFonts w:ascii="Calibri" w:cs="Calibri" w:eastAsia="Calibri" w:hAnsi="Calibri"/>
          <w:b/>
          <w:bCs/>
          <w:color w:val="1A1A2E"/>
          <w:sz w:val="22"/>
          <w:szCs w:val="22"/>
        </w:rPr>
        <w:t xml:space="preserve">80. </w:t>
      </w:r>
      <w:r>
        <w:rPr>
          <w:rFonts w:ascii="Calibri" w:cs="Calibri" w:eastAsia="Calibri" w:hAnsi="Calibri"/>
          <w:color w:val="1A1A2E"/>
          <w:sz w:val="22"/>
          <w:szCs w:val="22"/>
        </w:rPr>
        <w:t xml:space="preserve">The "mapping.json" file in the Guidewire Cloud API is used to:</w:t>
      </w:r>
    </w:p>
    <w:p>
      <w:pPr>
        <w:spacing w:after="30" w:before="30"/>
      </w:pPr>
      <w:r>
        <w:rPr>
          <w:rFonts w:ascii="Calibri" w:cs="Calibri" w:eastAsia="Calibri" w:hAnsi="Calibri"/>
          <w:b w:val="false"/>
          <w:bCs w:val="false"/>
          <w:color w:val="4A4A4A"/>
          <w:sz w:val="21"/>
          <w:szCs w:val="21"/>
        </w:rPr>
        <w:t xml:space="preserve">    A) </w:t>
      </w:r>
      <w:r>
        <w:rPr>
          <w:rFonts w:ascii="Calibri" w:cs="Calibri" w:eastAsia="Calibri" w:hAnsi="Calibri"/>
          <w:b w:val="false"/>
          <w:bCs w:val="false"/>
          <w:color w:val="4A4A4A"/>
          <w:sz w:val="21"/>
          <w:szCs w:val="21"/>
        </w:rPr>
        <w:t xml:space="preserve">Map API resource URLs to Guidewire server-side endpoint handlers</w:t>
      </w:r>
    </w:p>
    <w:p>
      <w:pPr>
        <w:spacing w:after="30" w:before="30"/>
      </w:pPr>
      <w:r>
        <w:rPr>
          <w:rFonts w:ascii="Calibri" w:cs="Calibri" w:eastAsia="Calibri" w:hAnsi="Calibri"/>
          <w:b/>
          <w:bCs/>
          <w:color w:val="2E7D32"/>
          <w:sz w:val="21"/>
          <w:szCs w:val="21"/>
        </w:rPr>
        <w:t xml:space="preserve">    B) </w:t>
      </w:r>
      <w:r>
        <w:rPr>
          <w:rFonts w:ascii="Calibri" w:cs="Calibri" w:eastAsia="Calibri" w:hAnsi="Calibri"/>
          <w:b/>
          <w:bCs/>
          <w:color w:val="2E7D32"/>
          <w:sz w:val="21"/>
          <w:szCs w:val="21"/>
        </w:rPr>
        <w:t xml:space="preserve">Map Cloud API field names to Guidewire data model field names, enabling renaming or remapping for API consumers</w:t>
      </w:r>
    </w:p>
    <w:p>
      <w:pPr>
        <w:spacing w:after="30" w:before="30"/>
      </w:pPr>
      <w:r>
        <w:rPr>
          <w:rFonts w:ascii="Calibri" w:cs="Calibri" w:eastAsia="Calibri" w:hAnsi="Calibri"/>
          <w:b w:val="false"/>
          <w:bCs w:val="false"/>
          <w:color w:val="4A4A4A"/>
          <w:sz w:val="21"/>
          <w:szCs w:val="21"/>
        </w:rPr>
        <w:t xml:space="preserve">    C) </w:t>
      </w:r>
      <w:r>
        <w:rPr>
          <w:rFonts w:ascii="Calibri" w:cs="Calibri" w:eastAsia="Calibri" w:hAnsi="Calibri"/>
          <w:b w:val="false"/>
          <w:bCs w:val="false"/>
          <w:color w:val="4A4A4A"/>
          <w:sz w:val="21"/>
          <w:szCs w:val="21"/>
        </w:rPr>
        <w:t xml:space="preserve">Map OAuth 2.0 scopes to Guidewire permission sets</w:t>
      </w:r>
    </w:p>
    <w:p>
      <w:pPr>
        <w:spacing w:after="30" w:before="30"/>
      </w:pPr>
      <w:r>
        <w:rPr>
          <w:rFonts w:ascii="Calibri" w:cs="Calibri" w:eastAsia="Calibri" w:hAnsi="Calibri"/>
          <w:b w:val="false"/>
          <w:bCs w:val="false"/>
          <w:color w:val="4A4A4A"/>
          <w:sz w:val="21"/>
          <w:szCs w:val="21"/>
        </w:rPr>
        <w:t xml:space="preserve">    D) </w:t>
      </w:r>
      <w:r>
        <w:rPr>
          <w:rFonts w:ascii="Calibri" w:cs="Calibri" w:eastAsia="Calibri" w:hAnsi="Calibri"/>
          <w:b w:val="false"/>
          <w:bCs w:val="false"/>
          <w:color w:val="4A4A4A"/>
          <w:sz w:val="21"/>
          <w:szCs w:val="21"/>
        </w:rPr>
        <w:t xml:space="preserve">Map integration error codes to HTTP status codes in API responses</w:t>
      </w:r>
    </w:p>
    <w:p>
      <w:pPr>
        <w:pBdr>
          <w:left w:val="thick" w:color="2E7D32" w:sz="12"/>
        </w:pBdr>
        <w:spacing w:after="40" w:before="60"/>
        <w:ind w:left="360"/>
      </w:pPr>
      <w:r>
        <w:rPr>
          <w:rFonts w:ascii="Calibri" w:cs="Calibri" w:eastAsia="Calibri" w:hAnsi="Calibri"/>
          <w:i/>
          <w:iCs/>
          <w:color w:val="555555"/>
          <w:sz w:val="19"/>
          <w:szCs w:val="19"/>
        </w:rPr>
        <w:t xml:space="preserve">Answer: B — mapping.json enables carriers to present a clean, stable API contract to consumers independent of internal Guidewire field naming conventions. Internal field names can be restructured or renamed without breaking external API contracts.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shd w:fill="5B2D8E" w:val="clear"/>
            <w:tcMar>
              <w:top w:type="dxa" w:w="240"/>
              <w:left w:type="dxa" w:w="400"/>
              <w:bottom w:type="dxa" w:w="240"/>
              <w:right w:type="dxa" w:w="400"/>
            </w:tcMar>
          </w:tcPr>
          <w:p>
            <w:pPr>
              <w:spacing w:after="40"/>
            </w:pPr>
            <w:r>
              <w:rPr>
                <w:rFonts w:ascii="Calibri" w:cs="Calibri" w:eastAsia="Calibri" w:hAnsi="Calibri"/>
                <w:b/>
                <w:bCs/>
                <w:caps/>
                <w:color w:val="F5A623"/>
                <w:sz w:val="18"/>
                <w:szCs w:val="18"/>
              </w:rPr>
              <w:t xml:space="preserve">RAPIDAI TECH™</w:t>
            </w:r>
          </w:p>
          <w:p>
            <w:pPr>
              <w:spacing w:after="40"/>
            </w:pPr>
            <w:r>
              <w:rPr>
                <w:rFonts w:ascii="Calibri" w:cs="Calibri" w:eastAsia="Calibri" w:hAnsi="Calibri"/>
                <w:b/>
                <w:bCs/>
                <w:color w:val="FFFFFF"/>
                <w:sz w:val="44"/>
                <w:szCs w:val="44"/>
              </w:rPr>
              <w:t xml:space="preserve">Answer Key</w:t>
            </w:r>
          </w:p>
          <w:p>
            <w:pPr>
              <w:spacing w:after="0"/>
            </w:pPr>
            <w:r>
              <w:rPr>
                <w:rFonts w:ascii="Calibri" w:cs="Calibri" w:eastAsia="Calibri" w:hAnsi="Calibri"/>
                <w:i/>
                <w:iCs/>
                <w:color w:val="E0E0E0"/>
                <w:sz w:val="22"/>
                <w:szCs w:val="22"/>
              </w:rPr>
              <w:t xml:space="preserve">Quick Reference — All 80 Questions</w:t>
            </w:r>
          </w:p>
        </w:tc>
      </w:tr>
    </w:tbl>
    <w:p>
      <w:pPr>
        <w:spacing w:before="200"/>
      </w:pPr>
    </w:p>
    <w:p>
      <w:pPr>
        <w:spacing w:after="100" w:before="60"/>
      </w:pPr>
      <w:r>
        <w:rPr>
          <w:rFonts w:ascii="Calibri" w:cs="Calibri" w:eastAsia="Calibri" w:hAnsi="Calibri"/>
          <w:color w:val="4A4A4A"/>
          <w:sz w:val="22"/>
          <w:szCs w:val="22"/>
        </w:rPr>
        <w:t xml:space="preserve">Correct answers are marked in green throughout the test. The table below provides a rapid lookup reference.</w:t>
      </w:r>
    </w:p>
    <w:p>
      <w:pPr>
        <w:spacing w:before="160"/>
      </w:pP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936"/>
        <w:gridCol w:w="936"/>
        <w:gridCol w:w="936"/>
        <w:gridCol w:w="936"/>
        <w:gridCol w:w="936"/>
        <w:gridCol w:w="936"/>
        <w:gridCol w:w="936"/>
        <w:gridCol w:w="936"/>
        <w:gridCol w:w="936"/>
        <w:gridCol w:w="936"/>
      </w:tblGrid>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D</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Q19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Q29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Q39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Q49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A</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Q59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D</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Q69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Q71</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Q72</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Q73</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Q74</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Q75</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r>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Q76</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Q77</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Q78</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Q79</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C</w:t>
            </w:r>
          </w:p>
        </w:tc>
        <w:tc>
          <w:tcPr>
            <w:tcW w:type="dxa" w:w="936"/>
            <w:shd w:fill="F5F5F5" w:val="clear"/>
            <w:tcMar>
              <w:top w:type="dxa" w:w="60"/>
              <w:left w:type="dxa" w:w="80"/>
              <w:bottom w:type="dxa" w:w="60"/>
              <w:right w:type="dxa" w:w="80"/>
            </w:tcMar>
          </w:tcPr>
          <w:p>
            <w:pPr>
              <w:spacing w:after="0"/>
            </w:pPr>
            <w:r>
              <w:rPr>
                <w:rFonts w:ascii="Calibri" w:cs="Calibri" w:eastAsia="Calibri" w:hAnsi="Calibri"/>
                <w:b/>
                <w:bCs/>
                <w:color w:val="1A1A2E"/>
                <w:sz w:val="19"/>
                <w:szCs w:val="19"/>
              </w:rPr>
              <w:t xml:space="preserve">Q80</w:t>
            </w:r>
          </w:p>
        </w:tc>
        <w:tc>
          <w:tcPr>
            <w:tcW w:type="dxa" w:w="936"/>
            <w:shd w:fill="FFFFFF" w:val="clear"/>
            <w:tcMar>
              <w:top w:type="dxa" w:w="60"/>
              <w:left w:type="dxa" w:w="80"/>
              <w:bottom w:type="dxa" w:w="60"/>
              <w:right w:type="dxa" w:w="80"/>
            </w:tcMar>
          </w:tcPr>
          <w:p>
            <w:pPr>
              <w:spacing w:after="0"/>
            </w:pPr>
            <w:r>
              <w:rPr>
                <w:rFonts w:ascii="Calibri" w:cs="Calibri" w:eastAsia="Calibri" w:hAnsi="Calibri"/>
                <w:b w:val="false"/>
                <w:bCs w:val="false"/>
                <w:color w:val="2E7D32"/>
                <w:sz w:val="19"/>
                <w:szCs w:val="19"/>
              </w:rPr>
              <w:t xml:space="preserve">B</w:t>
            </w:r>
          </w:p>
        </w:tc>
      </w:tr>
    </w:tbl>
    <w:p>
      <w:pPr>
        <w:spacing w:before="300"/>
      </w:pPr>
    </w:p>
    <w:p>
      <w:pPr>
        <w:pBdr>
          <w:bottom w:val="single" w:color="5B2D8E" w:sz="6" w:space="1"/>
        </w:pBdr>
        <w:spacing w:after="120" w:before="120"/>
      </w:pPr>
    </w:p>
    <w:p>
      <w:pPr>
        <w:spacing w:before="200"/>
        <w:jc w:val="center"/>
      </w:pPr>
      <w:r>
        <w:rPr>
          <w:rFonts w:ascii="Calibri" w:cs="Calibri" w:eastAsia="Calibri" w:hAnsi="Calibri"/>
          <w:i/>
          <w:iCs/>
          <w:color w:val="4A4A4A"/>
          <w:sz w:val="16"/>
          <w:szCs w:val="16"/>
        </w:rPr>
        <w:t xml:space="preserve">© 2025 RapidAI Tech™  |  Guidewire InsuranceSuite Assessment  |  For training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2026-09-24T18:39:17.980Z</dcterms:created>
  <dcterms:modified xsi:type="dcterms:W3CDTF">2026-09-24T18:39:17.983Z</dcterms:modified>
</cp:coreProperties>
</file>

<file path=docProps/custom.xml><?xml version="1.0" encoding="utf-8"?>
<Properties xmlns="http://schemas.openxmlformats.org/officeDocument/2006/custom-properties" xmlns:vt="http://schemas.openxmlformats.org/officeDocument/2006/docPropsVTypes"/>
</file>