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F5A623"/>
          <w:spacing w:val="120"/>
          <w:sz w:val="28"/>
          <w:szCs w:val="28"/>
        </w:rPr>
        <w:t xml:space="preserve">RAPIDAI TECH™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B2D8E"/>
          <w:sz w:val="64"/>
          <w:szCs w:val="64"/>
        </w:rPr>
        <w:t xml:space="preserve">Guidewire InsuranceSuite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B4FBE"/>
          <w:sz w:val="40"/>
          <w:szCs w:val="40"/>
        </w:rPr>
        <w:t xml:space="preserve">Quick Reference Book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E0E0E0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3A3A3A"/>
          <w:sz w:val="22"/>
          <w:szCs w:val="22"/>
        </w:rPr>
        <w:t xml:space="preserve">PolicyCenter · ClaimCenter · BillingCenter · Integration</w:t>
      </w:r>
    </w:p>
    <w:p>
      <w:pPr>
        <w:jc w:val="center"/>
      </w:pPr>
      <w:r>
        <w:rPr>
          <w:rFonts w:ascii="Calibri" w:cs="Calibri" w:eastAsia="Calibri" w:hAnsi="Calibri"/>
          <w:color w:val="3A3A3A"/>
          <w:sz w:val="18"/>
          <w:szCs w:val="18"/>
        </w:rPr>
        <w:t xml:space="preserve">Release 2025.03  |  © 2025 RapidAI Tech™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shd w:fill="5B2D8E" w:val="clear"/>
            <w:tcMar>
              <w:top w:type="dxa" w:w="200"/>
              <w:left w:type="dxa" w:w="320"/>
              <w:bottom w:type="dxa" w:w="160"/>
              <w:right w:type="dxa" w:w="3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F5A623"/>
                <w:spacing w:val="80"/>
                <w:sz w:val="16"/>
                <w:szCs w:val="16"/>
              </w:rPr>
              <w:t xml:space="preserve">RAPIDAI TECH™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PolicyCenter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E0E0E0"/>
                <w:sz w:val="20"/>
                <w:szCs w:val="20"/>
              </w:rPr>
              <w:t xml:space="preserve">Policy Management Quick Reference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CORE DATA MODEL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56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Holds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Policy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Top-level container. Has 1+ PolicyPeriods. Linked to Account.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PolicyPeriod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One coverage term. Holds all coverages, rates, premium. The "source of truth" for a bound term.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Account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Customer relationship. 1 Account → many Policies. Contact management hub.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PolicyLine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 line of business on a PolicyPeriod (auto, property, GL, etc.)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Coverage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Specific coverage on a risk. Has Coverage Terms (limits, deductibles).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Risk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The insured item — Vehicle, Building, DriverPerson.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Job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 business transaction on a policy. See Job Types below.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Activity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User task. Drives workflow and follow-up.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PremiumSummary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Final rated premium breakdown by coverage and cost type.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JOB TYPES &amp; LIFECYCLES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Job Type</w:t>
            </w:r>
          </w:p>
        </w:tc>
        <w:tc>
          <w:tcPr>
            <w:tcW w:type="dxa" w:w="656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 &amp; Flow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Submission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New business. Draft → Quoting → Quoted → [UW Review] → Bound → Issued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PolicyChange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Mid-term endorsement. Same flow as Submission minus Issued step.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Renewal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Re-issuance at expiry. Generated by accPurge_RenewalGeneration batch.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Cancellation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Terminates in-force policy. Return premium: flat / short-rate / pro-rata.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Reinstatement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Reverses a cancellation. Requires UW review. Time-limited window.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Rewrite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New policy replacing cancelled/expired policy. Used when restructuring needed.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Audit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Post-term premium adjustment for auditable lines (WC, GL on payroll basis).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UNDERWRITING ISSUES (UWIS)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36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Advisory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Displays to UW; does NOT block binding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Referred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Requires review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Blocks binding until authorized UW approves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Blocked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Cannot bind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Blocks binding regardless of authority level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TOP CONFIGURATION PARAMETERS — POLICYCENTER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36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batch.maxthreads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Total batch pool threads. Scale with CPUs.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batch.maintwindow.start/end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01:00 / 05:00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Heavy batch window. Align with downtime.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cache.typelist.ttlminutes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60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Typelist cache TTL. Changes need restart/expiry.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cache.productmodel.ttlminutes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120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Product model cache TTL.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security.sessiontimeoutminutes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Idle session timeout. Align with InfoSec policy.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security.maxfailedlogins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5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Account lockout threshold.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security.requiremfa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false (dev)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ALWAYS enable in production.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security.passwordminlength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12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NIST recommends 8+; use 12+.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archive.minimumagedays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365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Min days before policy is archivable.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assignment.strategy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RoundRobin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Options: RoundRobin, LoadBalanced, SkillBased.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SECURITY MODEL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56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User → Groups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 user belongs to 1+ groups. Group links user to a Role.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Role → Permissions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Role defines permissions (Policy_View, Submission_Edit…) and authority limits.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Authority Resolution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UNION of all roles: user gets the HIGHEST authority limit from any active role.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External Auth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SAML 2.0 / OAuth 2.0 for SSO. AD groups → GW roles via attribute mapping.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UWI Approval Authority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Per-role config. Users can approve UWIs up to their configured authority level.</w:t>
            </w:r>
          </w:p>
        </w:tc>
      </w:tr>
    </w:tbl>
    <w:p>
      <w:pPr>
        <w:spacing w:after="60" w:before="60"/>
        <w:ind w:left="200"/>
      </w:pPr>
      <w:r>
        <w:rPr>
          <w:rFonts w:ascii="Calibri" w:cs="Calibri" w:eastAsia="Calibri" w:hAnsi="Calibri"/>
          <w:i/>
          <w:iCs/>
          <w:color w:val="E65100"/>
          <w:sz w:val="18"/>
          <w:szCs w:val="18"/>
        </w:rPr>
        <w:t xml:space="preserve">⚑ GOTCHA: Multi-group membership grants the HIGHEST authority across all roles. Regularly audit group membership to prevent unintended privilege escalation.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shd w:fill="1565C0" w:val="clear"/>
            <w:tcMar>
              <w:top w:type="dxa" w:w="200"/>
              <w:left w:type="dxa" w:w="320"/>
              <w:bottom w:type="dxa" w:w="160"/>
              <w:right w:type="dxa" w:w="3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F5A623"/>
                <w:spacing w:val="80"/>
                <w:sz w:val="16"/>
                <w:szCs w:val="16"/>
              </w:rPr>
              <w:t xml:space="preserve">RAPIDAI TECH™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ClaimCenter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E0E0E0"/>
                <w:sz w:val="20"/>
                <w:szCs w:val="20"/>
              </w:rPr>
              <w:t xml:space="preserve">Claims Management Quick Reference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CORE DATA MODEL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56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Holds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Claim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Top-level container for a loss event. Has date of loss, location, status, and 1+ Exposures.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Exposure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Claim against ONE coverage for ONE claimant. Reserves &amp; payments live here.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Claimant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Person/entity claiming. Linked to Exposures.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Incident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 specific event/item within the loss (vehicle, building, injury). Linked to Exposure.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Reserve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Financial estimate of ultimate cost per Exposure. Types: Damages, Expenses, Legal, Recovery.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Payment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Actual disbursement to claimant/vendor. Reduces outstanding reserve.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Recovery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Amount recovered (subrogation, salvage). Negative reserve — reduces net incurred.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Matter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Litigation case. Own activities, documents, financials separate from Claim.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Service Request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Vendor assignment (IA, appraiser, repair). Own workflow and financial tracking.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Activity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User task/follow-up. Core workflow driver.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CLAIM LIFECYCLE STAGES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Open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Active handling. Investigation, assignment, reserving.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In Litigation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1+ active Matters. Coordinated with defense counsel.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Under Appeal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Claimant appealing decision. Payments may be restricted.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Denied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Coverage denied. Denial letter generated. File retained for SOL period.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Closed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All exposures closed, all payments complete. Can be Recalled.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Recalled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Closed claim reopened. Requires documentation and usually management approval.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Void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Opened in error. Only available with no financial activity.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RESERVE TYPES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36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Damages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Indemnity reserve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Amount to be paid to claimant for their loss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Expenses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ALAE reserve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Adjuster fees, court costs, expert witnesses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Legal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Defense cost reserve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Defense counsel fees for litigated claims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Medical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BI/bodily injury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Medical cost estimate for injury claims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Recovery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Negative reserve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Expected recovery from subrogation/salvage/reinsurance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Statutory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Regulatory reserve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Reserve required by state DOI; may differ from actuarial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PAYMENT TYPES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Indemnity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Payment to claimant for covered loss.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Expense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Payment to vendor for services (adjuster, attorney, expert).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Advance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Partial pre-settlement payment for urgent needs (living expenses, medical).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Deductible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Net payment (gross minus deductible). CC notifies BC to collect deductible.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TOP CONFIGURATION PARAMETERS — CLAIMCENTER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36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approval.paymentlimit.default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$5,000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Default adjuster payment authority. Set conservatively.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approval.reservechange.threshold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$10,000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Reserve change requiring supervisor approval.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approval.denialrequiresreview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true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Keep enabled — supervisor reviews all denials.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approval.requiresupervisor.days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90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Open claim age triggering supervisor review.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assignment.maxadjusterclaims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100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At-capacity threshold per adjuster.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assignment.escalationdays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5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Unworked claim escalation to supervisor.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assignment.litigationreassign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false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Auto-assign litigated claims to lit. team.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financials.ibnrmodel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Factor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IBNR model: Factor, BornhuetterFerguson, Custom.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financials.duplicatepayment.windowdays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365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Duplicate payment detection window.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financials.reservehistory.retainyears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7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Reserve history retention. Must meet SOL.</w:t>
            </w:r>
          </w:p>
        </w:tc>
      </w:tr>
    </w:tbl>
    <w:p>
      <w:pPr>
        <w:spacing w:after="60" w:before="60"/>
        <w:ind w:left="200"/>
      </w:pPr>
      <w:r>
        <w:rPr>
          <w:rFonts w:ascii="Calibri" w:cs="Calibri" w:eastAsia="Calibri" w:hAnsi="Calibri"/>
          <w:i/>
          <w:iCs/>
          <w:color w:val="E65100"/>
          <w:sz w:val="18"/>
          <w:szCs w:val="18"/>
        </w:rPr>
        <w:t xml:space="preserve">⚑ KEY INTEGRATION: ClaimCenter → PolicyCenter via IPolicyRetrievalPlugin at FNOL. ClaimCenter → BillingCenter for deductible collection (must be enabled: financials.deductible.integrationenabled=true).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200"/>
              <w:left w:type="dxa" w:w="320"/>
              <w:bottom w:type="dxa" w:w="160"/>
              <w:right w:type="dxa" w:w="3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F5A623"/>
                <w:spacing w:val="80"/>
                <w:sz w:val="16"/>
                <w:szCs w:val="16"/>
              </w:rPr>
              <w:t xml:space="preserve">RAPIDAI TECH™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BillingCenter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E0E0E0"/>
                <w:sz w:val="20"/>
                <w:szCs w:val="20"/>
              </w:rPr>
              <w:t xml:space="preserve">Billing Management Quick Reference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CORE DATA MODEL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56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Holds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BillingAccount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Master account. All charges, payments, delinquency records live here.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Policy (BC)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BC reference to PolicyCenter policy. Holds billing plan, payment plan, agency.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Charge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Financial obligation on an account. Has due date, amount, status.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Payment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Cash receipt. Applied to 1+ charges. Reduces outstanding balance.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BillingInstruction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Command from PolicyCenter → BillingCenter to create/adjust charges.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Agency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Producing agency. Earns commissions. Receives statements.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Commission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Amount owed to agent/agency. Auto-calculated from commission schedule.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Delinquency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Missed-payment state. Drives notices, late fees, cancellation referral.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WorkQueue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Async financial processing task. Processed by the Work Queue Engine.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BILLING PLAN VS. PAYMENT PLAN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 Type</w:t>
            </w:r>
          </w:p>
        </w:tc>
        <w:tc>
          <w:tcPr>
            <w:tcW w:type="dxa" w:w="656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Controls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Billing Plan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WHO gets the bill: Direct (insured), Agency (agency pays, collects from insured), Third Party (mortgage holder, fleet lessor). Also sets billing CYCLE.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Payment Plan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HOW premium is split: Annual (1 payment), Semi-Annual (2), Quarterly (4), Monthly (12), or custom. Each installment has amount + due date.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DELINQUENCY WORKFLOW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56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1. Missed Payment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Installment not received by due date.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2. Grace Period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delinquency.graceperioddays days pass. Delinquency triggered.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3. First Notice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Generated after delinquency.firstnoticedays. Informs of missed payment.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4. Second Notice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Generated after delinquency.secondnoticedays. States cancellation date.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5. Cancellation Referral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Sent to PolicyCenter after delinquency.cancellationreferraldays.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6. PolicyCenter Cancels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PolicyCenter processes cancellation. State notice period must be met.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7. Reinstatement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Insured pays within delinquency.reinstatementwindowdays → policy restored.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COMMISSION CHARGEBACK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56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Policy cancels mid-term → premium returned to insured.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Window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commission.chargebackwindowdays (default 365) — carrier recovers commission within this window.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Amount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Proportional to returned premium. Deducted from agent's next commission statement.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Waiver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Chargeback can be waived manually for carrier-initiated cancellations where agent was not at fault.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TOP CONFIGURATION PARAMETERS — BILLINGCENTER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36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delinquency.graceperioddays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Post-due-date grace before delinquency.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delinquency.firstnoticedays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5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Days after delinquency → first notice.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delinquency.secondnoticedays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15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Days after first notice → second notice.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delinquency.cancellationreferraldays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varies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Must satisfy state notice period requirements.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delinquency.reinstatementwindowdays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Window to reinstate after non-pay cancellation.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financials.installmentfee.amount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$5.00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Installment fee. Check state limits.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financials.latefee.amount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$25.00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Late payment fee. Check state limits.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financials.nsfee.amount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$30.00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NSF fee. Check state limits.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workqueue.maxthreads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8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WQE threads. Scale for volume.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workqueue.pollingintervalms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5000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WQE poll interval (ms). Lower = more throughput.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commission.paymentcycle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Monthly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Commission payment frequency.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commission.chargebackwindowdays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365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Commission chargeback window post-cancellation.</w:t>
            </w:r>
          </w:p>
        </w:tc>
      </w:tr>
    </w:tbl>
    <w:p>
      <w:pPr>
        <w:spacing w:after="60" w:before="60"/>
        <w:ind w:left="200"/>
      </w:pPr>
      <w:r>
        <w:rPr>
          <w:rFonts w:ascii="Calibri" w:cs="Calibri" w:eastAsia="Calibri" w:hAnsi="Calibri"/>
          <w:i/>
          <w:iCs/>
          <w:color w:val="E65100"/>
          <w:sz w:val="18"/>
          <w:szCs w:val="18"/>
        </w:rPr>
        <w:t xml:space="preserve">⚑ COMPLIANCE: State-mandated notice periods vary from 10 to 60+ days by state and LOB. Always configure delinquency.cancellationreferraldays to ensure total elapsed time (missed payment → cancellation effective date) meets the LONGEST required notice period in any state where the carrier writes business.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360"/>
      </w:tblGrid>
      <w:tr>
        <w:tc>
          <w:tcPr>
            <w:tcW w:type="dxa" w:w="9360"/>
            <w:shd w:fill="4A148C" w:val="clear"/>
            <w:tcMar>
              <w:top w:type="dxa" w:w="200"/>
              <w:left w:type="dxa" w:w="320"/>
              <w:bottom w:type="dxa" w:w="160"/>
              <w:right w:type="dxa" w:w="3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F5A623"/>
                <w:spacing w:val="80"/>
                <w:sz w:val="16"/>
                <w:szCs w:val="16"/>
              </w:rPr>
              <w:t xml:space="preserve">RAPIDAI TECH™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Integration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E0E0E0"/>
                <w:sz w:val="20"/>
                <w:szCs w:val="20"/>
              </w:rPr>
              <w:t xml:space="preserve">Architecture &amp; Patterns Quick Reference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INTEGRATION PATTERN SELECTION MATRIX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8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536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For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SOAP Web Services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Synchronous request-response; legacy middleware (ESB/MuleSoft/IBM); PC↔CC↔BC orchestration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Not for high-volume; not for modern REST consumers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Cloud API (REST)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Modern portals, mobile apps, insurtechs; event-driven via webhooks; OpenAPI 3.0 spec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Not for complex server-side business logic; not for SOAP-only systems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Plugin Framework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Rating engine, MVR/credit scoring, document generation, payment processing, geocoding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Not for loosely coupled integration; not for batch data exchange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Messaging (JMS/Kafka)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Event-driven: claim opened, policy bound, payment received. Async notifications to external systems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Not for synchronous request-response; not for transactional data retrieval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Data Platform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Bulk data export for analytics, DW, BI. High volume. Not transactional.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Not for real-time or transactional integration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AUTHENTICATION BY PATTERN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8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Mechanism</w:t>
            </w:r>
          </w:p>
        </w:tc>
        <w:tc>
          <w:tcPr>
            <w:tcW w:type="dxa" w:w="536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Cloud API (REST)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OAuth 2.0 Client Credentials (required)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Token: time-limited, must be refreshed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SOAP (preferred)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OAuth 2.0 Bearer Token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Preferred for all new SOAP integrations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SOAP (legacy)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WS-Security Username Token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Credentials in SOAP header. Not recommended for new work.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SOAP (high security)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WS-Security X.509 Certificate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Message signing + non-repudiation. Complex to manage.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Transport layer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Mutual TLS (mTLS)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Can be added to any message-level auth for defense in depth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Plugin (external calls)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Managed in carrier secrets mgmt platform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HashiCorp Vault / AWS Secrets Manager / Azure KV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CLOUD API CONFIGURATION FILES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shd w:fill="5B2D8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schema.json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Fields exposed per resource, data types, read/write status, filterability. Extend to expose custom fields.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mapping.json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Maps API field names → GW data model fields. Enables stable API contracts independent of internal naming.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updater.json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Defines writable fields and server-side Gosu logic that executes on PUT/PATCH.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apiconfig.yaml</w:t>
            </w:r>
          </w:p>
        </w:tc>
        <w:tc>
          <w:tcPr>
            <w:tcW w:type="dxa" w:w="6560"/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Top-level: API version, auth settings, rate limiting, enabled endpoint groups.</w:t>
            </w:r>
          </w:p>
        </w:tc>
      </w:tr>
      <w:tr>
        <w:tc>
          <w:tcPr>
            <w:tcW w:type="dxa" w:w="2800"/>
            <w:shd w:fill="EDE7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integrationGraph.json</w:t>
            </w:r>
          </w:p>
        </w:tc>
        <w:tc>
          <w:tcPr>
            <w:tcW w:type="dxa" w:w="6560"/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Resource relationships — enables returning related entities in one request (fewer round trips).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KEY PLUGIN INTERFACES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8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536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IRatingPlugin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PolicyCenter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External rating engine integration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IDocumentProduction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PC / CC / BC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Document generation (OpenText, Adobe, Docucorp)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IGeocodingPlugin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PolicyCenter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Address geocoding for territory rating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ICreditScorePlugin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PolicyCenter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Credit-based insurance score retrieval (FCRA)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IPaymentInstrumentPlugin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BillingCenter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Credit card / ACH processing; PCI tokenization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IFinancialsPlugin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BillingCenter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General ledger journal entry transmission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IAutoAssignPlugin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ClaimCenter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Custom claim/activity assignment logic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IBillingCenterPlugin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PolicyCenter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PC → BC billing instruction translation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IPolicyRetrievalPlugin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ClaimCenter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CC → PC policy lookup at FNOL</w:t>
            </w:r>
          </w:p>
        </w:tc>
      </w:tr>
    </w:tbl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PLUGIN DEVELOPMENT RULES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STATELESS: Never store state between invocations. Multiple instances may be created by OSGi container.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TRANSACTION-AWARE: Plugin runs in calling app's DB transaction. Uncaught exception = full rollback.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RESILIENT: Implement circuit breaker for all external calls. External unavailability ≠ application failure.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PERFORMANCE: Long-running calls (MVR, document gen) should be offloaded to background/work queue.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LOGGING: Use PLLoggerCategory — not direct log4j. Log at INFO; ERROR only for genuine failures.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CREDENTIALS: Never in plain text or version control. Use carrier secrets management platform.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TESTING: Mock external service in unit tests. Integration tests in CI pipeline only.</w:t>
      </w:r>
    </w:p>
    <w:p>
      <w:pPr>
        <w:shd w:fill="5B2D8E" w:val="clear"/>
        <w:spacing w:after="100" w:before="240"/>
        <w:ind w:left="160" w:right="160"/>
      </w:pPr>
      <w:r>
        <w:rPr>
          <w:rFonts w:ascii="Calibri" w:cs="Calibri" w:eastAsia="Calibri" w:hAnsi="Calibri"/>
          <w:b/>
          <w:bCs/>
          <w:caps/>
          <w:color w:val="FFFFFF"/>
          <w:spacing w:val="40"/>
          <w:sz w:val="22"/>
          <w:szCs w:val="22"/>
        </w:rPr>
        <w:t xml:space="preserve">PREBUILT INTEGRATION CATEGORIES (MARKETPLACE)</w:t>
      </w:r>
    </w:p>
    <w:tbl>
      <w:tblPr>
        <w:tblW w:type="pct" w:w="100%"/>
        <w:tblBorders>
          <w:top w:val="single" w:color="5B2D8E" w:sz="4"/>
          <w:left w:val="none"/>
          <w:bottom w:val="single" w:color="5B2D8E" w:sz="4"/>
          <w:right w:val="none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Vendors</w:t>
            </w:r>
          </w:p>
        </w:tc>
        <w:tc>
          <w:tcPr>
            <w:tcW w:type="dxa" w:w="5360"/>
            <w:shd w:fill="5B2D8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Majesco, Zywave, ISO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External rating engine connectors for PC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Geocoding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Google Maps, HERE, ESRI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Address → lat/long for territory rating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MVR / Loss History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LexisNexis, ISO, CLUE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Motor vehicle reports and loss history at quote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eSignature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DocuSign, Adobe Sign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Digital signature and consent collection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Print/Mail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Conduent, Broadridge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Policy documents, billing statements fulfillment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Auto Valuation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Mitchell, CCC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Vehicle valuation for total loss claims (CC)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IA Dispatch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Symbility, Xactimate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Independent adjuster assignment and status (CC)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Payment Processing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Stripe, Braintree, First Data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Credit card and ACH for BillingCenter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Premium Finance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AFCO, IPFS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Installment financing via third-party financier (BC)</w:t>
            </w:r>
          </w:p>
        </w:tc>
      </w:tr>
      <w:tr>
        <w:trPr>
          <w:tblHeader w:val="false"/>
        </w:trPr>
        <w:tc>
          <w:tcPr>
            <w:tcW w:type="dxa" w:w="220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General Ledger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SAP, Oracle, Workday</w:t>
            </w:r>
          </w:p>
        </w:tc>
        <w:tc>
          <w:tcPr>
            <w:tcW w:type="dxa" w:w="536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Journal entry integration from BillingCenter</w:t>
            </w:r>
          </w:p>
        </w:tc>
      </w:tr>
    </w:tbl>
    <w:p>
      <w:pPr>
        <w:spacing w:after="60" w:before="60"/>
        <w:ind w:left="200"/>
      </w:pPr>
      <w:r>
        <w:rPr>
          <w:rFonts w:ascii="Calibri" w:cs="Calibri" w:eastAsia="Calibri" w:hAnsi="Calibri"/>
          <w:i/>
          <w:iCs/>
          <w:color w:val="E65100"/>
          <w:sz w:val="18"/>
          <w:szCs w:val="18"/>
        </w:rPr>
        <w:t xml:space="preserve">⚑ RULE: Before building a custom integration, search Guidewire Marketplace for a prebuilt. Prebuilt integrations are updated by the vendor when the target API changes — the long-term maintenance cost of a custom integration is consistently underestimated.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3A3A3A"/>
          <w:sz w:val="14"/>
          <w:szCs w:val="14"/>
        </w:rPr>
        <w:t xml:space="preserve">© 2025 RapidAI Tech™  |  Guidewire InsuranceSuite Quick Reference  |  Release 2025.03  |  For training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2026-09-24T18:44:16.100Z</dcterms:created>
  <dcterms:modified xsi:type="dcterms:W3CDTF">2026-09-24T18:44:16.103Z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