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F5A623"/>
          <w:sz w:val="36"/>
          <w:szCs w:val="36"/>
        </w:rPr>
        <w:t xml:space="preserve">RapidAI Tech™</w:t>
      </w:r>
    </w:p>
    <w:p>
      <w:pPr>
        <w:spacing w:before="80"/>
        <w:jc w:val="center"/>
      </w:pPr>
      <w:r>
        <w:rPr>
          <w:rFonts w:ascii="Calibri" w:cs="Calibri" w:eastAsia="Calibri" w:hAnsi="Calibri"/>
          <w:b/>
          <w:bCs/>
          <w:color w:val="5B2D8E"/>
          <w:sz w:val="72"/>
          <w:szCs w:val="72"/>
        </w:rPr>
        <w:t xml:space="preserve">SAP Enterprise Systems</w:t>
      </w:r>
    </w:p>
    <w:p>
      <w:pPr>
        <w:spacing w:after="120" w:before="40"/>
        <w:jc w:val="center"/>
      </w:pPr>
      <w:r>
        <w:rPr>
          <w:rFonts w:ascii="Calibri" w:cs="Calibri" w:eastAsia="Calibri" w:hAnsi="Calibri"/>
          <w:color w:val="1A1A2E"/>
          <w:sz w:val="48"/>
          <w:szCs w:val="48"/>
        </w:rPr>
        <w:t xml:space="preserve">Training Handbook</w:t>
      </w:r>
    </w:p>
    <w:p>
      <w:pPr>
        <w:jc w:val="center"/>
      </w:pPr>
      <w:r>
        <w:rPr>
          <w:rFonts w:ascii="Calibri" w:cs="Calibri" w:eastAsia="Calibri" w:hAnsi="Calibri"/>
          <w:color w:val="666666"/>
          <w:sz w:val="22"/>
          <w:szCs w:val="22"/>
        </w:rPr>
        <w:t xml:space="preserve">S/4HANA  ·  FI/CO  ·  MM  ·  SD  ·  HR  ·  BASIS  ·  ABAP  ·  BTP  ·  Fiori</w:t>
      </w:r>
    </w:p>
    <w:p>
      <w:pPr>
        <w:spacing w:after="0" w:before="0"/>
      </w:pPr>
      <w:r>
        <w:rPr>
          <w:sz w:val="80"/>
          <w:szCs w:val="80"/>
        </w:rPr>
        <w:t xml:space="preserve"> </w:t>
      </w:r>
    </w:p>
    <w:p>
      <w:pPr>
        <w:jc w:val="center"/>
      </w:pPr>
      <w:r>
        <w:rPr>
          <w:rFonts w:ascii="Calibri" w:cs="Calibri" w:eastAsia="Calibri" w:hAnsi="Calibri"/>
          <w:i/>
          <w:iCs/>
          <w:color w:val="4A4A4A"/>
          <w:sz w:val="24"/>
          <w:szCs w:val="24"/>
        </w:rPr>
        <w:t xml:space="preserve">Comprehensive Professional Training Guide</w:t>
      </w:r>
    </w:p>
    <w:p>
      <w:pPr>
        <w:spacing w:after="400"/>
        <w:jc w:val="center"/>
      </w:pPr>
      <w:r>
        <w:rPr>
          <w:rFonts w:ascii="Calibri" w:cs="Calibri" w:eastAsia="Calibri" w:hAnsi="Calibri"/>
          <w:color w:val="888888"/>
          <w:sz w:val="20"/>
          <w:szCs w:val="20"/>
        </w:rPr>
        <w:t xml:space="preserve">2025 Edition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A1A2E" w:color="auto" w:val="clear"/>
          </w:tcPr>
          <w:p>
            <w:pPr>
              <w:spacing w:after="160" w:before="160"/>
            </w:pPr>
            <w:r>
              <w:rPr>
                <w:rFonts w:ascii="Calibri" w:cs="Calibri" w:eastAsia="Calibri" w:hAnsi="Calibri"/>
                <w:b/>
                <w:bCs/>
                <w:color w:val="FFFFFF"/>
                <w:sz w:val="52"/>
                <w:szCs w:val="52"/>
              </w:rPr>
              <w:t xml:space="preserve">Table of Contents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5B2D8E"/>
          <w:sz w:val="36"/>
          <w:szCs w:val="36"/>
        </w:rPr>
        <w:t xml:space="preserve">Part I — SAP Fundamentals</w:t>
      </w:r>
    </w:p>
    <w:p>
      <w:pPr>
        <w:spacing w:after="60" w:before="60"/>
        <w:jc w:val="both"/>
      </w:pPr>
      <w:r>
        <w:rPr>
          <w:rFonts w:ascii="Calibri" w:cs="Calibri" w:eastAsia="Calibri" w:hAnsi="Calibri"/>
          <w:color w:val="4A4A4A"/>
          <w:sz w:val="22"/>
          <w:szCs w:val="22"/>
        </w:rPr>
        <w:t xml:space="preserve">Chapter 1: Introduction to SAP &amp; ERP
Chapter 2: SAP Product Landscape &amp; S/4HANA
Chapter 3: SAP Architecture &amp; Navigation</w:t>
      </w:r>
    </w:p>
    <w:p>
      <w:pPr>
        <w:pStyle w:val="Heading2"/>
        <w:spacing w:after="120" w:before="300"/>
      </w:pPr>
      <w:r>
        <w:rPr>
          <w:rFonts w:ascii="Calibri" w:cs="Calibri" w:eastAsia="Calibri" w:hAnsi="Calibri"/>
          <w:b/>
          <w:bCs/>
          <w:color w:val="1565C0"/>
          <w:sz w:val="36"/>
          <w:szCs w:val="36"/>
        </w:rPr>
        <w:t xml:space="preserve">Part II — Financial Modules</w:t>
      </w:r>
    </w:p>
    <w:p>
      <w:pPr>
        <w:spacing w:after="60" w:before="60"/>
        <w:jc w:val="both"/>
      </w:pPr>
      <w:r>
        <w:rPr>
          <w:rFonts w:ascii="Calibri" w:cs="Calibri" w:eastAsia="Calibri" w:hAnsi="Calibri"/>
          <w:color w:val="4A4A4A"/>
          <w:sz w:val="22"/>
          <w:szCs w:val="22"/>
        </w:rPr>
        <w:t xml:space="preserve">Chapter 4: Financial Accounting (FI)
Chapter 5: Controlling (CO)
Chapter 6: Asset Accounting &amp; Treasury</w:t>
      </w:r>
    </w:p>
    <w:p>
      <w:pPr>
        <w:pStyle w:val="Heading2"/>
        <w:spacing w:after="120" w:before="300"/>
      </w:pPr>
      <w:r>
        <w:rPr>
          <w:rFonts w:ascii="Calibri" w:cs="Calibri" w:eastAsia="Calibri" w:hAnsi="Calibri"/>
          <w:b/>
          <w:bCs/>
          <w:color w:val="2E7D32"/>
          <w:sz w:val="36"/>
          <w:szCs w:val="36"/>
        </w:rPr>
        <w:t xml:space="preserve">Part III — Supply Chain Modules</w:t>
      </w:r>
    </w:p>
    <w:p>
      <w:pPr>
        <w:spacing w:after="60" w:before="60"/>
        <w:jc w:val="both"/>
      </w:pPr>
      <w:r>
        <w:rPr>
          <w:rFonts w:ascii="Calibri" w:cs="Calibri" w:eastAsia="Calibri" w:hAnsi="Calibri"/>
          <w:color w:val="4A4A4A"/>
          <w:sz w:val="22"/>
          <w:szCs w:val="22"/>
        </w:rPr>
        <w:t xml:space="preserve">Chapter 7: Materials Management (MM)
Chapter 8: Sales &amp; Distribution (SD)
Chapter 9: Production Planning (PP)</w:t>
      </w:r>
    </w:p>
    <w:p>
      <w:pPr>
        <w:pStyle w:val="Heading2"/>
        <w:spacing w:after="120" w:before="300"/>
      </w:pPr>
      <w:r>
        <w:rPr>
          <w:rFonts w:ascii="Calibri" w:cs="Calibri" w:eastAsia="Calibri" w:hAnsi="Calibri"/>
          <w:b/>
          <w:bCs/>
          <w:color w:val="E65100"/>
          <w:sz w:val="36"/>
          <w:szCs w:val="36"/>
        </w:rPr>
        <w:t xml:space="preserve">Part IV — HR &amp; Administrative Modules</w:t>
      </w:r>
    </w:p>
    <w:p>
      <w:pPr>
        <w:spacing w:after="60" w:before="60"/>
        <w:jc w:val="both"/>
      </w:pPr>
      <w:r>
        <w:rPr>
          <w:rFonts w:ascii="Calibri" w:cs="Calibri" w:eastAsia="Calibri" w:hAnsi="Calibri"/>
          <w:color w:val="4A4A4A"/>
          <w:sz w:val="22"/>
          <w:szCs w:val="22"/>
        </w:rPr>
        <w:t xml:space="preserve">Chapter 10: Human Capital Management (HCM)
Chapter 11: SAP BASIS Administration
Chapter 12: ABAP Programming Fundamentals</w:t>
      </w:r>
    </w:p>
    <w:p>
      <w:pPr>
        <w:pStyle w:val="Heading2"/>
        <w:spacing w:after="120" w:before="300"/>
      </w:pPr>
      <w:r>
        <w:rPr>
          <w:rFonts w:ascii="Calibri" w:cs="Calibri" w:eastAsia="Calibri" w:hAnsi="Calibri"/>
          <w:b/>
          <w:bCs/>
          <w:color w:val="5B2D8E"/>
          <w:sz w:val="36"/>
          <w:szCs w:val="36"/>
        </w:rPr>
        <w:t xml:space="preserve">Part V — Modern SAP Platforms</w:t>
      </w:r>
    </w:p>
    <w:p>
      <w:pPr>
        <w:spacing w:after="60" w:before="60"/>
        <w:jc w:val="both"/>
      </w:pPr>
      <w:r>
        <w:rPr>
          <w:rFonts w:ascii="Calibri" w:cs="Calibri" w:eastAsia="Calibri" w:hAnsi="Calibri"/>
          <w:color w:val="4A4A4A"/>
          <w:sz w:val="22"/>
          <w:szCs w:val="22"/>
        </w:rPr>
        <w:t xml:space="preserve">Chapter 13: SAP Business Technology Platform (BTP)
Chapter 14: SAP Fiori &amp; UX Design
Chapter 15: SAP Analytics Cloud</w:t>
      </w:r>
    </w:p>
    <w:p>
      <w:pPr>
        <w:pStyle w:val="Heading2"/>
        <w:spacing w:after="120" w:before="300"/>
      </w:pPr>
      <w:r>
        <w:rPr>
          <w:rFonts w:ascii="Calibri" w:cs="Calibri" w:eastAsia="Calibri" w:hAnsi="Calibri"/>
          <w:b/>
          <w:bCs/>
          <w:color w:val="1A1A2E"/>
          <w:sz w:val="36"/>
          <w:szCs w:val="36"/>
        </w:rPr>
        <w:t xml:space="preserve">Part VI — Implementation &amp; Integration</w:t>
      </w:r>
    </w:p>
    <w:p>
      <w:pPr>
        <w:spacing w:after="60" w:before="60"/>
        <w:jc w:val="both"/>
      </w:pPr>
      <w:r>
        <w:rPr>
          <w:rFonts w:ascii="Calibri" w:cs="Calibri" w:eastAsia="Calibri" w:hAnsi="Calibri"/>
          <w:color w:val="4A4A4A"/>
          <w:sz w:val="22"/>
          <w:szCs w:val="22"/>
        </w:rPr>
        <w:t xml:space="preserve">Chapter 16: SAP Activate Methodology
Chapter 17: SAP Integration Suite
Chapter 18: SAP Security &amp; Compliance</w:t>
      </w:r>
    </w:p>
    <w:p>
      <w:pPr>
        <w:pStyle w:val="Heading2"/>
        <w:spacing w:after="120" w:before="300"/>
      </w:pPr>
      <w:r>
        <w:rPr>
          <w:rFonts w:ascii="Calibri" w:cs="Calibri" w:eastAsia="Calibri" w:hAnsi="Calibri"/>
          <w:b/>
          <w:bCs/>
          <w:color w:val="5B2D8E"/>
          <w:sz w:val="36"/>
          <w:szCs w:val="36"/>
        </w:rPr>
        <w:t xml:space="preserve">Appendices</w:t>
      </w:r>
    </w:p>
    <w:p>
      <w:pPr>
        <w:spacing w:after="60" w:before="60"/>
        <w:jc w:val="both"/>
      </w:pPr>
      <w:r>
        <w:rPr>
          <w:rFonts w:ascii="Calibri" w:cs="Calibri" w:eastAsia="Calibri" w:hAnsi="Calibri"/>
          <w:color w:val="4A4A4A"/>
          <w:sz w:val="22"/>
          <w:szCs w:val="22"/>
        </w:rPr>
        <w:t xml:space="preserve">Appendix A: SAP Transaction Codes
Appendix B: SAP Glossary
Appendix C: Quick Reference Tables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A1A2E" w:color="auto" w:val="clear"/>
          </w:tcPr>
          <w:p>
            <w:pPr>
              <w:spacing w:after="40" w:before="160"/>
            </w:pPr>
            <w:r>
              <w:rPr>
                <w:rFonts w:ascii="Calibri" w:cs="Calibri" w:eastAsia="Calibri" w:hAnsi="Calibri"/>
                <w:b/>
                <w:bCs/>
                <w:color w:val="FFFFFF"/>
                <w:sz w:val="52"/>
                <w:szCs w:val="52"/>
              </w:rPr>
              <w:t xml:space="preserve">PART I — SAP FUNDAMENTALS</w:t>
            </w:r>
          </w:p>
          <w:p>
            <w:pPr>
              <w:spacing w:after="160" w:before="0"/>
            </w:pPr>
            <w:r>
              <w:rPr>
                <w:rFonts w:ascii="Calibri" w:cs="Calibri" w:eastAsia="Calibri" w:hAnsi="Calibri"/>
                <w:color w:val="DDDDDD"/>
                <w:sz w:val="22"/>
                <w:szCs w:val="22"/>
              </w:rPr>
              <w:t xml:space="preserve">Foundations of Enterprise Resource Planning with SAP</w:t>
            </w:r>
          </w:p>
        </w:tc>
      </w:tr>
    </w:tbl>
    <w:p>
      <w:pPr>
        <w:spacing w:after="0" w:before="0"/>
      </w:pPr>
      <w:r>
        <w:rPr>
          <w:sz w:val="100"/>
          <w:szCs w:val="100"/>
        </w:rPr>
        <w:t xml:space="preserve"> </w:t>
      </w:r>
    </w:p>
    <w:p>
      <w:pPr>
        <w:pStyle w:val="Heading1"/>
        <w:spacing w:after="120" w:before="400"/>
      </w:pPr>
      <w:r>
        <w:rPr>
          <w:rFonts w:ascii="Calibri" w:cs="Calibri" w:eastAsia="Calibri" w:hAnsi="Calibri"/>
          <w:b/>
          <w:bCs/>
          <w:color w:val="5B2D8E"/>
          <w:sz w:val="44"/>
          <w:szCs w:val="44"/>
        </w:rPr>
        <w:t xml:space="preserve">Chapter 1: Introduction to SAP &amp; ERP</w:t>
      </w:r>
    </w:p>
    <w:p>
      <w:pPr>
        <w:pStyle w:val="Heading2"/>
        <w:spacing w:after="120" w:before="300"/>
      </w:pPr>
      <w:r>
        <w:rPr>
          <w:rFonts w:ascii="Calibri" w:cs="Calibri" w:eastAsia="Calibri" w:hAnsi="Calibri"/>
          <w:b/>
          <w:bCs/>
          <w:color w:val="1565C0"/>
          <w:sz w:val="36"/>
          <w:szCs w:val="36"/>
        </w:rPr>
        <w:t xml:space="preserve">1.1 What is ERP?</w:t>
      </w:r>
    </w:p>
    <w:p>
      <w:pPr>
        <w:spacing w:after="60" w:before="60"/>
        <w:jc w:val="both"/>
      </w:pPr>
      <w:r>
        <w:rPr>
          <w:rFonts w:ascii="Calibri" w:cs="Calibri" w:eastAsia="Calibri" w:hAnsi="Calibri"/>
          <w:color w:val="4A4A4A"/>
          <w:sz w:val="22"/>
          <w:szCs w:val="22"/>
        </w:rPr>
        <w:t xml:space="preserve">Enterprise Resource Planning (ERP) is a category of business management software — typically a suite of integrated applications — that an organization uses to collect, store, manage, and interpret data from many business activities. ERP systems provide an integrated and continuously updated view of core business processes using common databases maintained by a database management system.</w:t>
      </w:r>
    </w:p>
    <w:p>
      <w:pPr>
        <w:spacing w:after="60" w:before="60"/>
        <w:jc w:val="both"/>
      </w:pPr>
      <w:r>
        <w:rPr>
          <w:rFonts w:ascii="Calibri" w:cs="Calibri" w:eastAsia="Calibri" w:hAnsi="Calibri"/>
          <w:color w:val="4A4A4A"/>
          <w:sz w:val="22"/>
          <w:szCs w:val="22"/>
        </w:rPr>
        <w:t xml:space="preserve">ERP systems track business resources — cash, raw materials, production capacity — and the status of business commitments: orders, purchase orders, and payroll. The applications that make up the system share data across various departments (manufacturing, purchasing, sales, accounting, etc.) that provide the data. ERP facilitates information flow between all business functions and manages connections to outside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thick" w:color="5B2D8E" w:sz="12"/>
              <w:bottom w:val="none"/>
              <w:right w:val="none"/>
            </w:tcBorders>
            <w:shd w:fill="EDE7F6" w:color="auto" w:val="clear"/>
          </w:tcPr>
          <w:p>
            <w:pPr>
              <w:spacing w:after="80" w:before="80"/>
            </w:pPr>
            <w:r>
              <w:rPr>
                <w:rFonts w:ascii="Calibri" w:cs="Calibri" w:eastAsia="Calibri" w:hAnsi="Calibri"/>
                <w:i/>
                <w:iCs/>
                <w:color w:val="1A1A2E"/>
                <w:sz w:val="21"/>
                <w:szCs w:val="21"/>
              </w:rPr>
              <w:t xml:space="preserve">Key Insight: ERP systems replace disparate "siloed" software with one integrated platform — eliminating data duplication, improving accuracy, and giving leadership real-time insight into the entire organization.</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1.2 SAP History &amp;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A1A2E" w:color="auto" w:val="clear"/>
          </w:tcPr>
          <w:p>
            <w:r>
              <w:rPr>
                <w:rFonts w:ascii="Calibri" w:cs="Calibri" w:eastAsia="Calibri" w:hAnsi="Calibri"/>
                <w:b/>
                <w:bCs/>
                <w:color w:val="FFFFFF"/>
                <w:sz w:val="20"/>
                <w:szCs w:val="20"/>
              </w:rPr>
              <w:t xml:space="preserve">Year</w:t>
            </w:r>
          </w:p>
        </w:tc>
        <w:tc>
          <w:tcPr>
            <w:tcW w:type="dxa" w:w="6660"/>
            <w:shd w:fill="1A1A2E" w:color="auto" w:val="clear"/>
          </w:tcPr>
          <w:p>
            <w:r>
              <w:rPr>
                <w:rFonts w:ascii="Calibri" w:cs="Calibri" w:eastAsia="Calibri" w:hAnsi="Calibri"/>
                <w:b/>
                <w:bCs/>
                <w:color w:val="FFFFFF"/>
                <w:sz w:val="20"/>
                <w:szCs w:val="20"/>
              </w:rPr>
              <w:t xml:space="preserve">Milestone</w:t>
            </w:r>
          </w:p>
        </w:tc>
      </w:tr>
      <w:tr>
        <w:tc>
          <w:tcPr>
            <w:tcW w:type="dxa" w:w="2700"/>
            <w:shd w:fill="F3EEF8" w:color="auto" w:val="clear"/>
          </w:tcPr>
          <w:p>
            <w:r>
              <w:rPr>
                <w:rFonts w:ascii="Calibri" w:cs="Calibri" w:eastAsia="Calibri" w:hAnsi="Calibri"/>
                <w:b/>
                <w:bCs/>
                <w:color w:val="5B2D8E"/>
                <w:sz w:val="20"/>
                <w:szCs w:val="20"/>
              </w:rPr>
              <w:t xml:space="preserve">1972</w:t>
            </w:r>
          </w:p>
        </w:tc>
        <w:tc>
          <w:tcPr>
            <w:tcW w:type="dxa" w:w="6660"/>
            <w:shd w:fill="F3EEF8" w:color="auto" w:val="clear"/>
          </w:tcPr>
          <w:p>
            <w:r>
              <w:rPr>
                <w:rFonts w:ascii="Calibri" w:cs="Calibri" w:eastAsia="Calibri" w:hAnsi="Calibri"/>
                <w:color w:val="4A4A4A"/>
                <w:sz w:val="20"/>
                <w:szCs w:val="20"/>
              </w:rPr>
              <w:t xml:space="preserve">SAP founded in Walldorf, Germany by five former IBM engineers. First product: RF (Realtime Finance).</w:t>
            </w:r>
          </w:p>
        </w:tc>
      </w:tr>
      <w:tr>
        <w:tc>
          <w:tcPr>
            <w:tcW w:type="dxa" w:w="2700"/>
            <w:shd w:fill="FFFFFF" w:color="auto" w:val="clear"/>
          </w:tcPr>
          <w:p>
            <w:r>
              <w:rPr>
                <w:rFonts w:ascii="Calibri" w:cs="Calibri" w:eastAsia="Calibri" w:hAnsi="Calibri"/>
                <w:b/>
                <w:bCs/>
                <w:color w:val="5B2D8E"/>
                <w:sz w:val="20"/>
                <w:szCs w:val="20"/>
              </w:rPr>
              <w:t xml:space="preserve">1979</w:t>
            </w:r>
          </w:p>
        </w:tc>
        <w:tc>
          <w:tcPr>
            <w:tcW w:type="dxa" w:w="6660"/>
            <w:shd w:fill="FFFFFF" w:color="auto" w:val="clear"/>
          </w:tcPr>
          <w:p>
            <w:r>
              <w:rPr>
                <w:rFonts w:ascii="Calibri" w:cs="Calibri" w:eastAsia="Calibri" w:hAnsi="Calibri"/>
                <w:color w:val="4A4A4A"/>
                <w:sz w:val="20"/>
                <w:szCs w:val="20"/>
              </w:rPr>
              <w:t xml:space="preserve">SAP R/2 released — mainframe-based ERP. Dominated European manufacturing.</w:t>
            </w:r>
          </w:p>
        </w:tc>
      </w:tr>
      <w:tr>
        <w:tc>
          <w:tcPr>
            <w:tcW w:type="dxa" w:w="2700"/>
            <w:shd w:fill="F3EEF8" w:color="auto" w:val="clear"/>
          </w:tcPr>
          <w:p>
            <w:r>
              <w:rPr>
                <w:rFonts w:ascii="Calibri" w:cs="Calibri" w:eastAsia="Calibri" w:hAnsi="Calibri"/>
                <w:b/>
                <w:bCs/>
                <w:color w:val="5B2D8E"/>
                <w:sz w:val="20"/>
                <w:szCs w:val="20"/>
              </w:rPr>
              <w:t xml:space="preserve">1992</w:t>
            </w:r>
          </w:p>
        </w:tc>
        <w:tc>
          <w:tcPr>
            <w:tcW w:type="dxa" w:w="6660"/>
            <w:shd w:fill="F3EEF8" w:color="auto" w:val="clear"/>
          </w:tcPr>
          <w:p>
            <w:r>
              <w:rPr>
                <w:rFonts w:ascii="Calibri" w:cs="Calibri" w:eastAsia="Calibri" w:hAnsi="Calibri"/>
                <w:color w:val="4A4A4A"/>
                <w:sz w:val="20"/>
                <w:szCs w:val="20"/>
              </w:rPr>
              <w:t xml:space="preserve">SAP R/3 launched — client/server architecture. Global adoption across Fortune 500 companies.</w:t>
            </w:r>
          </w:p>
        </w:tc>
      </w:tr>
      <w:tr>
        <w:tc>
          <w:tcPr>
            <w:tcW w:type="dxa" w:w="2700"/>
            <w:shd w:fill="FFFFFF" w:color="auto" w:val="clear"/>
          </w:tcPr>
          <w:p>
            <w:r>
              <w:rPr>
                <w:rFonts w:ascii="Calibri" w:cs="Calibri" w:eastAsia="Calibri" w:hAnsi="Calibri"/>
                <w:b/>
                <w:bCs/>
                <w:color w:val="5B2D8E"/>
                <w:sz w:val="20"/>
                <w:szCs w:val="20"/>
              </w:rPr>
              <w:t xml:space="preserve">2004</w:t>
            </w:r>
          </w:p>
        </w:tc>
        <w:tc>
          <w:tcPr>
            <w:tcW w:type="dxa" w:w="6660"/>
            <w:shd w:fill="FFFFFF" w:color="auto" w:val="clear"/>
          </w:tcPr>
          <w:p>
            <w:r>
              <w:rPr>
                <w:rFonts w:ascii="Calibri" w:cs="Calibri" w:eastAsia="Calibri" w:hAnsi="Calibri"/>
                <w:color w:val="4A4A4A"/>
                <w:sz w:val="20"/>
                <w:szCs w:val="20"/>
              </w:rPr>
              <w:t xml:space="preserve">SAP NetWeaver introduced — integration middleware and development platform.</w:t>
            </w:r>
          </w:p>
        </w:tc>
      </w:tr>
      <w:tr>
        <w:tc>
          <w:tcPr>
            <w:tcW w:type="dxa" w:w="2700"/>
            <w:shd w:fill="F3EEF8" w:color="auto" w:val="clear"/>
          </w:tcPr>
          <w:p>
            <w:r>
              <w:rPr>
                <w:rFonts w:ascii="Calibri" w:cs="Calibri" w:eastAsia="Calibri" w:hAnsi="Calibri"/>
                <w:b/>
                <w:bCs/>
                <w:color w:val="5B2D8E"/>
                <w:sz w:val="20"/>
                <w:szCs w:val="20"/>
              </w:rPr>
              <w:t xml:space="preserve">2011</w:t>
            </w:r>
          </w:p>
        </w:tc>
        <w:tc>
          <w:tcPr>
            <w:tcW w:type="dxa" w:w="6660"/>
            <w:shd w:fill="F3EEF8" w:color="auto" w:val="clear"/>
          </w:tcPr>
          <w:p>
            <w:r>
              <w:rPr>
                <w:rFonts w:ascii="Calibri" w:cs="Calibri" w:eastAsia="Calibri" w:hAnsi="Calibri"/>
                <w:color w:val="4A4A4A"/>
                <w:sz w:val="20"/>
                <w:szCs w:val="20"/>
              </w:rPr>
              <w:t xml:space="preserve">SAP HANA in-memory database launched. Game-changer for real-time analytics.</w:t>
            </w:r>
          </w:p>
        </w:tc>
      </w:tr>
      <w:tr>
        <w:tc>
          <w:tcPr>
            <w:tcW w:type="dxa" w:w="2700"/>
            <w:shd w:fill="FFFFFF" w:color="auto" w:val="clear"/>
          </w:tcPr>
          <w:p>
            <w:r>
              <w:rPr>
                <w:rFonts w:ascii="Calibri" w:cs="Calibri" w:eastAsia="Calibri" w:hAnsi="Calibri"/>
                <w:b/>
                <w:bCs/>
                <w:color w:val="5B2D8E"/>
                <w:sz w:val="20"/>
                <w:szCs w:val="20"/>
              </w:rPr>
              <w:t xml:space="preserve">2015</w:t>
            </w:r>
          </w:p>
        </w:tc>
        <w:tc>
          <w:tcPr>
            <w:tcW w:type="dxa" w:w="6660"/>
            <w:shd w:fill="FFFFFF" w:color="auto" w:val="clear"/>
          </w:tcPr>
          <w:p>
            <w:r>
              <w:rPr>
                <w:rFonts w:ascii="Calibri" w:cs="Calibri" w:eastAsia="Calibri" w:hAnsi="Calibri"/>
                <w:color w:val="4A4A4A"/>
                <w:sz w:val="20"/>
                <w:szCs w:val="20"/>
              </w:rPr>
              <w:t xml:space="preserve">SAP S/4HANA released — next-generation ERP built exclusively on HANA.</w:t>
            </w:r>
          </w:p>
        </w:tc>
      </w:tr>
      <w:tr>
        <w:tc>
          <w:tcPr>
            <w:tcW w:type="dxa" w:w="2700"/>
            <w:shd w:fill="F3EEF8" w:color="auto" w:val="clear"/>
          </w:tcPr>
          <w:p>
            <w:r>
              <w:rPr>
                <w:rFonts w:ascii="Calibri" w:cs="Calibri" w:eastAsia="Calibri" w:hAnsi="Calibri"/>
                <w:b/>
                <w:bCs/>
                <w:color w:val="5B2D8E"/>
                <w:sz w:val="20"/>
                <w:szCs w:val="20"/>
              </w:rPr>
              <w:t xml:space="preserve">2020</w:t>
            </w:r>
          </w:p>
        </w:tc>
        <w:tc>
          <w:tcPr>
            <w:tcW w:type="dxa" w:w="6660"/>
            <w:shd w:fill="F3EEF8" w:color="auto" w:val="clear"/>
          </w:tcPr>
          <w:p>
            <w:r>
              <w:rPr>
                <w:rFonts w:ascii="Calibri" w:cs="Calibri" w:eastAsia="Calibri" w:hAnsi="Calibri"/>
                <w:color w:val="4A4A4A"/>
                <w:sz w:val="20"/>
                <w:szCs w:val="20"/>
              </w:rPr>
              <w:t xml:space="preserve">SAP BTP (Business Technology Platform) announced — cloud-native extension platform.</w:t>
            </w:r>
          </w:p>
        </w:tc>
      </w:tr>
      <w:tr>
        <w:tc>
          <w:tcPr>
            <w:tcW w:type="dxa" w:w="2700"/>
            <w:shd w:fill="FFFFFF" w:color="auto" w:val="clear"/>
          </w:tcPr>
          <w:p>
            <w:r>
              <w:rPr>
                <w:rFonts w:ascii="Calibri" w:cs="Calibri" w:eastAsia="Calibri" w:hAnsi="Calibri"/>
                <w:b/>
                <w:bCs/>
                <w:color w:val="5B2D8E"/>
                <w:sz w:val="20"/>
                <w:szCs w:val="20"/>
              </w:rPr>
              <w:t xml:space="preserve">2023</w:t>
            </w:r>
          </w:p>
        </w:tc>
        <w:tc>
          <w:tcPr>
            <w:tcW w:type="dxa" w:w="6660"/>
            <w:shd w:fill="FFFFFF" w:color="auto" w:val="clear"/>
          </w:tcPr>
          <w:p>
            <w:r>
              <w:rPr>
                <w:rFonts w:ascii="Calibri" w:cs="Calibri" w:eastAsia="Calibri" w:hAnsi="Calibri"/>
                <w:color w:val="4A4A4A"/>
                <w:sz w:val="20"/>
                <w:szCs w:val="20"/>
              </w:rPr>
              <w:t xml:space="preserve">SAP Rise with SAP — cloud transformation package. AI integration across all modules.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1.3 Why SAP?</w:t>
      </w:r>
    </w:p>
    <w:p>
      <w:pPr>
        <w:spacing w:after="60" w:before="60"/>
        <w:jc w:val="both"/>
      </w:pPr>
      <w:r>
        <w:rPr>
          <w:rFonts w:ascii="Calibri" w:cs="Calibri" w:eastAsia="Calibri" w:hAnsi="Calibri"/>
          <w:color w:val="4A4A4A"/>
          <w:sz w:val="22"/>
          <w:szCs w:val="22"/>
        </w:rPr>
        <w:t xml:space="preserve">SAP is the world's leading enterprise application software provider with over 400,000 customers in 180+ countries. More than 77% of global business transactions touch an SAP system. Key advantages include:</w:t>
      </w:r>
    </w:p>
    <w:p>
      <w:pPr>
        <w:pStyle w:val="ListParagraph"/>
        <w:numPr>
          <w:ilvl w:val="0"/>
          <w:numId w:val="2"/>
        </w:numPr>
        <w:spacing w:after="40" w:before="40"/>
      </w:pPr>
      <w:r>
        <w:rPr>
          <w:rFonts w:ascii="Calibri" w:cs="Calibri" w:eastAsia="Calibri" w:hAnsi="Calibri"/>
          <w:color w:val="4A4A4A"/>
          <w:sz w:val="22"/>
          <w:szCs w:val="22"/>
        </w:rPr>
        <w:t xml:space="preserve">Best-practice business processes built in, refined over 50+ years of implementation experience</w:t>
      </w:r>
    </w:p>
    <w:p>
      <w:pPr>
        <w:pStyle w:val="ListParagraph"/>
        <w:numPr>
          <w:ilvl w:val="0"/>
          <w:numId w:val="2"/>
        </w:numPr>
        <w:spacing w:after="40" w:before="40"/>
      </w:pPr>
      <w:r>
        <w:rPr>
          <w:rFonts w:ascii="Calibri" w:cs="Calibri" w:eastAsia="Calibri" w:hAnsi="Calibri"/>
          <w:color w:val="4A4A4A"/>
          <w:sz w:val="22"/>
          <w:szCs w:val="22"/>
        </w:rPr>
        <w:t xml:space="preserve">Deep integration across all functional areas — eliminating manual data transfers and reconciliation</w:t>
      </w:r>
    </w:p>
    <w:p>
      <w:pPr>
        <w:pStyle w:val="ListParagraph"/>
        <w:numPr>
          <w:ilvl w:val="0"/>
          <w:numId w:val="2"/>
        </w:numPr>
        <w:spacing w:after="40" w:before="40"/>
      </w:pPr>
      <w:r>
        <w:rPr>
          <w:rFonts w:ascii="Calibri" w:cs="Calibri" w:eastAsia="Calibri" w:hAnsi="Calibri"/>
          <w:color w:val="4A4A4A"/>
          <w:sz w:val="22"/>
          <w:szCs w:val="22"/>
        </w:rPr>
        <w:t xml:space="preserve">Scalability from mid-market to Fortune 100 global enterprises</w:t>
      </w:r>
    </w:p>
    <w:p>
      <w:pPr>
        <w:pStyle w:val="ListParagraph"/>
        <w:numPr>
          <w:ilvl w:val="0"/>
          <w:numId w:val="2"/>
        </w:numPr>
        <w:spacing w:after="40" w:before="40"/>
      </w:pPr>
      <w:r>
        <w:rPr>
          <w:rFonts w:ascii="Calibri" w:cs="Calibri" w:eastAsia="Calibri" w:hAnsi="Calibri"/>
          <w:color w:val="4A4A4A"/>
          <w:sz w:val="22"/>
          <w:szCs w:val="22"/>
        </w:rPr>
        <w:t xml:space="preserve">Continuous innovation through cloud delivery and regular feature releases</w:t>
      </w:r>
    </w:p>
    <w:p>
      <w:pPr>
        <w:pStyle w:val="ListParagraph"/>
        <w:numPr>
          <w:ilvl w:val="0"/>
          <w:numId w:val="2"/>
        </w:numPr>
        <w:spacing w:after="40" w:before="40"/>
      </w:pPr>
      <w:r>
        <w:rPr>
          <w:rFonts w:ascii="Calibri" w:cs="Calibri" w:eastAsia="Calibri" w:hAnsi="Calibri"/>
          <w:color w:val="4A4A4A"/>
          <w:sz w:val="22"/>
          <w:szCs w:val="22"/>
        </w:rPr>
        <w:t xml:space="preserve">Massive ecosystem of certified partners, consultants, and third-party add-ons</w:t>
      </w:r>
    </w:p>
    <w:p>
      <w:pPr>
        <w:pStyle w:val="ListParagraph"/>
        <w:numPr>
          <w:ilvl w:val="0"/>
          <w:numId w:val="2"/>
        </w:numPr>
        <w:spacing w:after="40" w:before="40"/>
      </w:pPr>
      <w:r>
        <w:rPr>
          <w:rFonts w:ascii="Calibri" w:cs="Calibri" w:eastAsia="Calibri" w:hAnsi="Calibri"/>
          <w:color w:val="4A4A4A"/>
          <w:sz w:val="22"/>
          <w:szCs w:val="22"/>
        </w:rPr>
        <w:t xml:space="preserve">HANA in-memory technology enabling real-time processing of massive datasets</w:t>
      </w:r>
    </w:p>
    <w:p>
      <w:r>
        <w:br w:type="page"/>
      </w:r>
    </w:p>
    <w:p>
      <w:pPr>
        <w:pStyle w:val="Heading1"/>
        <w:spacing w:after="120" w:before="400"/>
      </w:pPr>
      <w:r>
        <w:rPr>
          <w:rFonts w:ascii="Calibri" w:cs="Calibri" w:eastAsia="Calibri" w:hAnsi="Calibri"/>
          <w:b/>
          <w:bCs/>
          <w:color w:val="5B2D8E"/>
          <w:sz w:val="44"/>
          <w:szCs w:val="44"/>
        </w:rPr>
        <w:t xml:space="preserve">Chapter 2: SAP Product Landscape &amp; S/4HANA</w:t>
      </w:r>
    </w:p>
    <w:p>
      <w:pPr>
        <w:pStyle w:val="Heading2"/>
        <w:spacing w:after="120" w:before="300"/>
      </w:pPr>
      <w:r>
        <w:rPr>
          <w:rFonts w:ascii="Calibri" w:cs="Calibri" w:eastAsia="Calibri" w:hAnsi="Calibri"/>
          <w:b/>
          <w:bCs/>
          <w:color w:val="1565C0"/>
          <w:sz w:val="36"/>
          <w:szCs w:val="36"/>
        </w:rPr>
        <w:t xml:space="preserve">2.1 SAP Product Portfolio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Product</w:t>
            </w:r>
          </w:p>
        </w:tc>
        <w:tc>
          <w:tcPr>
            <w:tcW w:type="dxa" w:w="6660"/>
            <w:shd w:fill="5B2D8E"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SAP S/4HANA</w:t>
            </w:r>
          </w:p>
        </w:tc>
        <w:tc>
          <w:tcPr>
            <w:tcW w:type="dxa" w:w="6660"/>
            <w:shd w:fill="F3EEF8" w:color="auto" w:val="clear"/>
          </w:tcPr>
          <w:p>
            <w:r>
              <w:rPr>
                <w:rFonts w:ascii="Calibri" w:cs="Calibri" w:eastAsia="Calibri" w:hAnsi="Calibri"/>
                <w:color w:val="4A4A4A"/>
                <w:sz w:val="20"/>
                <w:szCs w:val="20"/>
              </w:rPr>
              <w:t xml:space="preserve">Core ERP suite — Finance, Supply Chain, Manufacturing, HR. Available on-premise, cloud, or hybrid.</w:t>
            </w:r>
          </w:p>
        </w:tc>
      </w:tr>
      <w:tr>
        <w:tc>
          <w:tcPr>
            <w:tcW w:type="dxa" w:w="2700"/>
            <w:shd w:fill="FFFFFF" w:color="auto" w:val="clear"/>
          </w:tcPr>
          <w:p>
            <w:r>
              <w:rPr>
                <w:rFonts w:ascii="Calibri" w:cs="Calibri" w:eastAsia="Calibri" w:hAnsi="Calibri"/>
                <w:b/>
                <w:bCs/>
                <w:color w:val="5B2D8E"/>
                <w:sz w:val="20"/>
                <w:szCs w:val="20"/>
              </w:rPr>
              <w:t xml:space="preserve">SAP SuccessFactors</w:t>
            </w:r>
          </w:p>
        </w:tc>
        <w:tc>
          <w:tcPr>
            <w:tcW w:type="dxa" w:w="6660"/>
            <w:shd w:fill="FFFFFF" w:color="auto" w:val="clear"/>
          </w:tcPr>
          <w:p>
            <w:r>
              <w:rPr>
                <w:rFonts w:ascii="Calibri" w:cs="Calibri" w:eastAsia="Calibri" w:hAnsi="Calibri"/>
                <w:color w:val="4A4A4A"/>
                <w:sz w:val="20"/>
                <w:szCs w:val="20"/>
              </w:rPr>
              <w:t xml:space="preserve">Cloud HR suite — recruiting, onboarding, payroll, learning, performance management.</w:t>
            </w:r>
          </w:p>
        </w:tc>
      </w:tr>
      <w:tr>
        <w:tc>
          <w:tcPr>
            <w:tcW w:type="dxa" w:w="2700"/>
            <w:shd w:fill="F3EEF8" w:color="auto" w:val="clear"/>
          </w:tcPr>
          <w:p>
            <w:r>
              <w:rPr>
                <w:rFonts w:ascii="Calibri" w:cs="Calibri" w:eastAsia="Calibri" w:hAnsi="Calibri"/>
                <w:b/>
                <w:bCs/>
                <w:color w:val="5B2D8E"/>
                <w:sz w:val="20"/>
                <w:szCs w:val="20"/>
              </w:rPr>
              <w:t xml:space="preserve">SAP Ariba</w:t>
            </w:r>
          </w:p>
        </w:tc>
        <w:tc>
          <w:tcPr>
            <w:tcW w:type="dxa" w:w="6660"/>
            <w:shd w:fill="F3EEF8" w:color="auto" w:val="clear"/>
          </w:tcPr>
          <w:p>
            <w:r>
              <w:rPr>
                <w:rFonts w:ascii="Calibri" w:cs="Calibri" w:eastAsia="Calibri" w:hAnsi="Calibri"/>
                <w:color w:val="4A4A4A"/>
                <w:sz w:val="20"/>
                <w:szCs w:val="20"/>
              </w:rPr>
              <w:t xml:space="preserve">Procurement &amp; supply chain network. World's largest B2B commerce platform.</w:t>
            </w:r>
          </w:p>
        </w:tc>
      </w:tr>
      <w:tr>
        <w:tc>
          <w:tcPr>
            <w:tcW w:type="dxa" w:w="2700"/>
            <w:shd w:fill="FFFFFF" w:color="auto" w:val="clear"/>
          </w:tcPr>
          <w:p>
            <w:r>
              <w:rPr>
                <w:rFonts w:ascii="Calibri" w:cs="Calibri" w:eastAsia="Calibri" w:hAnsi="Calibri"/>
                <w:b/>
                <w:bCs/>
                <w:color w:val="5B2D8E"/>
                <w:sz w:val="20"/>
                <w:szCs w:val="20"/>
              </w:rPr>
              <w:t xml:space="preserve">SAP Concur</w:t>
            </w:r>
          </w:p>
        </w:tc>
        <w:tc>
          <w:tcPr>
            <w:tcW w:type="dxa" w:w="6660"/>
            <w:shd w:fill="FFFFFF" w:color="auto" w:val="clear"/>
          </w:tcPr>
          <w:p>
            <w:r>
              <w:rPr>
                <w:rFonts w:ascii="Calibri" w:cs="Calibri" w:eastAsia="Calibri" w:hAnsi="Calibri"/>
                <w:color w:val="4A4A4A"/>
                <w:sz w:val="20"/>
                <w:szCs w:val="20"/>
              </w:rPr>
              <w:t xml:space="preserve">Travel &amp; expense management. Automates T&amp;E reporting and compliance.</w:t>
            </w:r>
          </w:p>
        </w:tc>
      </w:tr>
      <w:tr>
        <w:tc>
          <w:tcPr>
            <w:tcW w:type="dxa" w:w="2700"/>
            <w:shd w:fill="F3EEF8" w:color="auto" w:val="clear"/>
          </w:tcPr>
          <w:p>
            <w:r>
              <w:rPr>
                <w:rFonts w:ascii="Calibri" w:cs="Calibri" w:eastAsia="Calibri" w:hAnsi="Calibri"/>
                <w:b/>
                <w:bCs/>
                <w:color w:val="5B2D8E"/>
                <w:sz w:val="20"/>
                <w:szCs w:val="20"/>
              </w:rPr>
              <w:t xml:space="preserve">SAP Customer Experience</w:t>
            </w:r>
          </w:p>
        </w:tc>
        <w:tc>
          <w:tcPr>
            <w:tcW w:type="dxa" w:w="6660"/>
            <w:shd w:fill="F3EEF8" w:color="auto" w:val="clear"/>
          </w:tcPr>
          <w:p>
            <w:r>
              <w:rPr>
                <w:rFonts w:ascii="Calibri" w:cs="Calibri" w:eastAsia="Calibri" w:hAnsi="Calibri"/>
                <w:color w:val="4A4A4A"/>
                <w:sz w:val="20"/>
                <w:szCs w:val="20"/>
              </w:rPr>
              <w:t xml:space="preserve">CRM suite: Sales Cloud, Service Cloud, Commerce Cloud, Marketing Cloud.</w:t>
            </w:r>
          </w:p>
        </w:tc>
      </w:tr>
      <w:tr>
        <w:tc>
          <w:tcPr>
            <w:tcW w:type="dxa" w:w="2700"/>
            <w:shd w:fill="FFFFFF" w:color="auto" w:val="clear"/>
          </w:tcPr>
          <w:p>
            <w:r>
              <w:rPr>
                <w:rFonts w:ascii="Calibri" w:cs="Calibri" w:eastAsia="Calibri" w:hAnsi="Calibri"/>
                <w:b/>
                <w:bCs/>
                <w:color w:val="5B2D8E"/>
                <w:sz w:val="20"/>
                <w:szCs w:val="20"/>
              </w:rPr>
              <w:t xml:space="preserve">SAP Analytics Cloud</w:t>
            </w:r>
          </w:p>
        </w:tc>
        <w:tc>
          <w:tcPr>
            <w:tcW w:type="dxa" w:w="6660"/>
            <w:shd w:fill="FFFFFF" w:color="auto" w:val="clear"/>
          </w:tcPr>
          <w:p>
            <w:r>
              <w:rPr>
                <w:rFonts w:ascii="Calibri" w:cs="Calibri" w:eastAsia="Calibri" w:hAnsi="Calibri"/>
                <w:color w:val="4A4A4A"/>
                <w:sz w:val="20"/>
                <w:szCs w:val="20"/>
              </w:rPr>
              <w:t xml:space="preserve">Unified BI, planning, and predictive analytics on one cloud platform.</w:t>
            </w:r>
          </w:p>
        </w:tc>
      </w:tr>
      <w:tr>
        <w:tc>
          <w:tcPr>
            <w:tcW w:type="dxa" w:w="2700"/>
            <w:shd w:fill="F3EEF8" w:color="auto" w:val="clear"/>
          </w:tcPr>
          <w:p>
            <w:r>
              <w:rPr>
                <w:rFonts w:ascii="Calibri" w:cs="Calibri" w:eastAsia="Calibri" w:hAnsi="Calibri"/>
                <w:b/>
                <w:bCs/>
                <w:color w:val="5B2D8E"/>
                <w:sz w:val="20"/>
                <w:szCs w:val="20"/>
              </w:rPr>
              <w:t xml:space="preserve">SAP BTP</w:t>
            </w:r>
          </w:p>
        </w:tc>
        <w:tc>
          <w:tcPr>
            <w:tcW w:type="dxa" w:w="6660"/>
            <w:shd w:fill="F3EEF8" w:color="auto" w:val="clear"/>
          </w:tcPr>
          <w:p>
            <w:r>
              <w:rPr>
                <w:rFonts w:ascii="Calibri" w:cs="Calibri" w:eastAsia="Calibri" w:hAnsi="Calibri"/>
                <w:color w:val="4A4A4A"/>
                <w:sz w:val="20"/>
                <w:szCs w:val="20"/>
              </w:rPr>
              <w:t xml:space="preserve">Business Technology Platform — integration, extension, data management, AI/ML.</w:t>
            </w:r>
          </w:p>
        </w:tc>
      </w:tr>
      <w:tr>
        <w:tc>
          <w:tcPr>
            <w:tcW w:type="dxa" w:w="2700"/>
            <w:shd w:fill="FFFFFF" w:color="auto" w:val="clear"/>
          </w:tcPr>
          <w:p>
            <w:r>
              <w:rPr>
                <w:rFonts w:ascii="Calibri" w:cs="Calibri" w:eastAsia="Calibri" w:hAnsi="Calibri"/>
                <w:b/>
                <w:bCs/>
                <w:color w:val="5B2D8E"/>
                <w:sz w:val="20"/>
                <w:szCs w:val="20"/>
              </w:rPr>
              <w:t xml:space="preserve">SAP Integrated Business Planning</w:t>
            </w:r>
          </w:p>
        </w:tc>
        <w:tc>
          <w:tcPr>
            <w:tcW w:type="dxa" w:w="6660"/>
            <w:shd w:fill="FFFFFF" w:color="auto" w:val="clear"/>
          </w:tcPr>
          <w:p>
            <w:r>
              <w:rPr>
                <w:rFonts w:ascii="Calibri" w:cs="Calibri" w:eastAsia="Calibri" w:hAnsi="Calibri"/>
                <w:color w:val="4A4A4A"/>
                <w:sz w:val="20"/>
                <w:szCs w:val="20"/>
              </w:rPr>
              <w:t xml:space="preserve">Supply chain planning — demand, inventory, S&amp;OP on HANA.</w:t>
            </w:r>
          </w:p>
        </w:tc>
      </w:tr>
      <w:tr>
        <w:tc>
          <w:tcPr>
            <w:tcW w:type="dxa" w:w="2700"/>
            <w:shd w:fill="F3EEF8" w:color="auto" w:val="clear"/>
          </w:tcPr>
          <w:p>
            <w:r>
              <w:rPr>
                <w:rFonts w:ascii="Calibri" w:cs="Calibri" w:eastAsia="Calibri" w:hAnsi="Calibri"/>
                <w:b/>
                <w:bCs/>
                <w:color w:val="5B2D8E"/>
                <w:sz w:val="20"/>
                <w:szCs w:val="20"/>
              </w:rPr>
              <w:t xml:space="preserve">SAP Fieldglass</w:t>
            </w:r>
          </w:p>
        </w:tc>
        <w:tc>
          <w:tcPr>
            <w:tcW w:type="dxa" w:w="6660"/>
            <w:shd w:fill="F3EEF8" w:color="auto" w:val="clear"/>
          </w:tcPr>
          <w:p>
            <w:r>
              <w:rPr>
                <w:rFonts w:ascii="Calibri" w:cs="Calibri" w:eastAsia="Calibri" w:hAnsi="Calibri"/>
                <w:color w:val="4A4A4A"/>
                <w:sz w:val="20"/>
                <w:szCs w:val="20"/>
              </w:rPr>
              <w:t xml:space="preserve">External workforce management — contractors, services procurement.</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2.2 SAP S/4HANA Architecture</w:t>
      </w:r>
    </w:p>
    <w:p>
      <w:pPr>
        <w:spacing w:after="60" w:before="60"/>
        <w:jc w:val="both"/>
      </w:pPr>
      <w:r>
        <w:rPr>
          <w:rFonts w:ascii="Calibri" w:cs="Calibri" w:eastAsia="Calibri" w:hAnsi="Calibri"/>
          <w:color w:val="4A4A4A"/>
          <w:sz w:val="22"/>
          <w:szCs w:val="22"/>
        </w:rPr>
        <w:t xml:space="preserve">SAP S/4HANA is a fundamentally re-architected ERP system built on the SAP HANA in-memory database. Unlike legacy SAP ERP (ECC), which ran on third-party databases like Oracle, SQL Server, or DB2, S/4HANA runs exclusively on HANA, enabling dramatically faster processing through columnar in-memory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thick" w:color="5B2D8E" w:sz="12"/>
              <w:bottom w:val="none"/>
              <w:right w:val="none"/>
            </w:tcBorders>
            <w:shd w:fill="EDE7F6" w:color="auto" w:val="clear"/>
          </w:tcPr>
          <w:p>
            <w:pPr>
              <w:spacing w:after="80" w:before="80"/>
            </w:pPr>
            <w:r>
              <w:rPr>
                <w:rFonts w:ascii="Calibri" w:cs="Calibri" w:eastAsia="Calibri" w:hAnsi="Calibri"/>
                <w:i/>
                <w:iCs/>
                <w:color w:val="1A1A2E"/>
                <w:sz w:val="21"/>
                <w:szCs w:val="21"/>
              </w:rPr>
              <w:t xml:space="preserve">S/4HANA Simplification: The S/4HANA data model is significantly simplified compared to ECC. For example, in Finance, all accounting tables are merged into the Universal Journal (ACDOCA) — one source of truth replacing dozens of separate FI/CO tables.</w:t>
            </w:r>
          </w:p>
        </w:tc>
      </w:tr>
    </w:tbl>
    <w:p>
      <w:pPr>
        <w:spacing w:after="0" w:before="0"/>
      </w:pPr>
      <w:r>
        <w:rPr>
          <w:sz w:val="100"/>
          <w:szCs w:val="10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S/4HANA Feature</w:t>
            </w:r>
          </w:p>
        </w:tc>
        <w:tc>
          <w:tcPr>
            <w:tcW w:type="dxa" w:w="6660"/>
            <w:shd w:fill="1565C0" w:color="auto" w:val="clear"/>
          </w:tcPr>
          <w:p>
            <w:r>
              <w:rPr>
                <w:rFonts w:ascii="Calibri" w:cs="Calibri" w:eastAsia="Calibri" w:hAnsi="Calibri"/>
                <w:b/>
                <w:bCs/>
                <w:color w:val="FFFFFF"/>
                <w:sz w:val="20"/>
                <w:szCs w:val="20"/>
              </w:rPr>
              <w:t xml:space="preserve">What Changed from ECC</w:t>
            </w:r>
          </w:p>
        </w:tc>
      </w:tr>
      <w:tr>
        <w:tc>
          <w:tcPr>
            <w:tcW w:type="dxa" w:w="2700"/>
            <w:shd w:fill="F3EEF8" w:color="auto" w:val="clear"/>
          </w:tcPr>
          <w:p>
            <w:r>
              <w:rPr>
                <w:rFonts w:ascii="Calibri" w:cs="Calibri" w:eastAsia="Calibri" w:hAnsi="Calibri"/>
                <w:b/>
                <w:bCs/>
                <w:color w:val="5B2D8E"/>
                <w:sz w:val="20"/>
                <w:szCs w:val="20"/>
              </w:rPr>
              <w:t xml:space="preserve">Universal Journal</w:t>
            </w:r>
          </w:p>
        </w:tc>
        <w:tc>
          <w:tcPr>
            <w:tcW w:type="dxa" w:w="6660"/>
            <w:shd w:fill="F3EEF8" w:color="auto" w:val="clear"/>
          </w:tcPr>
          <w:p>
            <w:r>
              <w:rPr>
                <w:rFonts w:ascii="Calibri" w:cs="Calibri" w:eastAsia="Calibri" w:hAnsi="Calibri"/>
                <w:color w:val="4A4A4A"/>
                <w:sz w:val="20"/>
                <w:szCs w:val="20"/>
              </w:rPr>
              <w:t xml:space="preserve">ACDOCA table — single ledger merging all financial postings. Replaces FI/CO split.</w:t>
            </w:r>
          </w:p>
        </w:tc>
      </w:tr>
      <w:tr>
        <w:tc>
          <w:tcPr>
            <w:tcW w:type="dxa" w:w="2700"/>
            <w:shd w:fill="FFFFFF" w:color="auto" w:val="clear"/>
          </w:tcPr>
          <w:p>
            <w:r>
              <w:rPr>
                <w:rFonts w:ascii="Calibri" w:cs="Calibri" w:eastAsia="Calibri" w:hAnsi="Calibri"/>
                <w:b/>
                <w:bCs/>
                <w:color w:val="5B2D8E"/>
                <w:sz w:val="20"/>
                <w:szCs w:val="20"/>
              </w:rPr>
              <w:t xml:space="preserve">Material Ledger</w:t>
            </w:r>
          </w:p>
        </w:tc>
        <w:tc>
          <w:tcPr>
            <w:tcW w:type="dxa" w:w="6660"/>
            <w:shd w:fill="FFFFFF" w:color="auto" w:val="clear"/>
          </w:tcPr>
          <w:p>
            <w:r>
              <w:rPr>
                <w:rFonts w:ascii="Calibri" w:cs="Calibri" w:eastAsia="Calibri" w:hAnsi="Calibri"/>
                <w:color w:val="4A4A4A"/>
                <w:sz w:val="20"/>
                <w:szCs w:val="20"/>
              </w:rPr>
              <w:t xml:space="preserve">Mandatory in S/4HANA. Actual costing and multi-currency valuation standard.</w:t>
            </w:r>
          </w:p>
        </w:tc>
      </w:tr>
      <w:tr>
        <w:tc>
          <w:tcPr>
            <w:tcW w:type="dxa" w:w="2700"/>
            <w:shd w:fill="F3EEF8" w:color="auto" w:val="clear"/>
          </w:tcPr>
          <w:p>
            <w:r>
              <w:rPr>
                <w:rFonts w:ascii="Calibri" w:cs="Calibri" w:eastAsia="Calibri" w:hAnsi="Calibri"/>
                <w:b/>
                <w:bCs/>
                <w:color w:val="5B2D8E"/>
                <w:sz w:val="20"/>
                <w:szCs w:val="20"/>
              </w:rPr>
              <w:t xml:space="preserve">Business Partner</w:t>
            </w:r>
          </w:p>
        </w:tc>
        <w:tc>
          <w:tcPr>
            <w:tcW w:type="dxa" w:w="6660"/>
            <w:shd w:fill="F3EEF8" w:color="auto" w:val="clear"/>
          </w:tcPr>
          <w:p>
            <w:r>
              <w:rPr>
                <w:rFonts w:ascii="Calibri" w:cs="Calibri" w:eastAsia="Calibri" w:hAnsi="Calibri"/>
                <w:color w:val="4A4A4A"/>
                <w:sz w:val="20"/>
                <w:szCs w:val="20"/>
              </w:rPr>
              <w:t xml:space="preserve">Replaces Customer/Vendor master. One BP can be Customer, Vendor, or both.</w:t>
            </w:r>
          </w:p>
        </w:tc>
      </w:tr>
      <w:tr>
        <w:tc>
          <w:tcPr>
            <w:tcW w:type="dxa" w:w="2700"/>
            <w:shd w:fill="FFFFFF" w:color="auto" w:val="clear"/>
          </w:tcPr>
          <w:p>
            <w:r>
              <w:rPr>
                <w:rFonts w:ascii="Calibri" w:cs="Calibri" w:eastAsia="Calibri" w:hAnsi="Calibri"/>
                <w:b/>
                <w:bCs/>
                <w:color w:val="5B2D8E"/>
                <w:sz w:val="20"/>
                <w:szCs w:val="20"/>
              </w:rPr>
              <w:t xml:space="preserve">Extended Warehouse Mgmt</w:t>
            </w:r>
          </w:p>
        </w:tc>
        <w:tc>
          <w:tcPr>
            <w:tcW w:type="dxa" w:w="6660"/>
            <w:shd w:fill="FFFFFF" w:color="auto" w:val="clear"/>
          </w:tcPr>
          <w:p>
            <w:r>
              <w:rPr>
                <w:rFonts w:ascii="Calibri" w:cs="Calibri" w:eastAsia="Calibri" w:hAnsi="Calibri"/>
                <w:color w:val="4A4A4A"/>
                <w:sz w:val="20"/>
                <w:szCs w:val="20"/>
              </w:rPr>
              <w:t xml:space="preserve">EWM now the standard warehouse solution — replaces WM module.</w:t>
            </w:r>
          </w:p>
        </w:tc>
      </w:tr>
      <w:tr>
        <w:tc>
          <w:tcPr>
            <w:tcW w:type="dxa" w:w="2700"/>
            <w:shd w:fill="F3EEF8" w:color="auto" w:val="clear"/>
          </w:tcPr>
          <w:p>
            <w:r>
              <w:rPr>
                <w:rFonts w:ascii="Calibri" w:cs="Calibri" w:eastAsia="Calibri" w:hAnsi="Calibri"/>
                <w:b/>
                <w:bCs/>
                <w:color w:val="5B2D8E"/>
                <w:sz w:val="20"/>
                <w:szCs w:val="20"/>
              </w:rPr>
              <w:t xml:space="preserve">Fiori UX</w:t>
            </w:r>
          </w:p>
        </w:tc>
        <w:tc>
          <w:tcPr>
            <w:tcW w:type="dxa" w:w="6660"/>
            <w:shd w:fill="F3EEF8" w:color="auto" w:val="clear"/>
          </w:tcPr>
          <w:p>
            <w:r>
              <w:rPr>
                <w:rFonts w:ascii="Calibri" w:cs="Calibri" w:eastAsia="Calibri" w:hAnsi="Calibri"/>
                <w:color w:val="4A4A4A"/>
                <w:sz w:val="20"/>
                <w:szCs w:val="20"/>
              </w:rPr>
              <w:t xml:space="preserve">SAP Fiori as the default UI layer across all S/4HANA functions.</w:t>
            </w:r>
          </w:p>
        </w:tc>
      </w:tr>
      <w:tr>
        <w:tc>
          <w:tcPr>
            <w:tcW w:type="dxa" w:w="2700"/>
            <w:shd w:fill="FFFFFF" w:color="auto" w:val="clear"/>
          </w:tcPr>
          <w:p>
            <w:r>
              <w:rPr>
                <w:rFonts w:ascii="Calibri" w:cs="Calibri" w:eastAsia="Calibri" w:hAnsi="Calibri"/>
                <w:b/>
                <w:bCs/>
                <w:color w:val="5B2D8E"/>
                <w:sz w:val="20"/>
                <w:szCs w:val="20"/>
              </w:rPr>
              <w:t xml:space="preserve">Embedded Analytics</w:t>
            </w:r>
          </w:p>
        </w:tc>
        <w:tc>
          <w:tcPr>
            <w:tcW w:type="dxa" w:w="6660"/>
            <w:shd w:fill="FFFFFF" w:color="auto" w:val="clear"/>
          </w:tcPr>
          <w:p>
            <w:r>
              <w:rPr>
                <w:rFonts w:ascii="Calibri" w:cs="Calibri" w:eastAsia="Calibri" w:hAnsi="Calibri"/>
                <w:color w:val="4A4A4A"/>
                <w:sz w:val="20"/>
                <w:szCs w:val="20"/>
              </w:rPr>
              <w:t xml:space="preserve">Real-time reporting through CDS Views — no data replication to BW needed.</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2.3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2E7D32" w:color="auto" w:val="clear"/>
          </w:tcPr>
          <w:p>
            <w:r>
              <w:rPr>
                <w:rFonts w:ascii="Calibri" w:cs="Calibri" w:eastAsia="Calibri" w:hAnsi="Calibri"/>
                <w:b/>
                <w:bCs/>
                <w:color w:val="FFFFFF"/>
                <w:sz w:val="18"/>
                <w:szCs w:val="18"/>
              </w:rPr>
              <w:t xml:space="preserve">Edition</w:t>
            </w:r>
          </w:p>
        </w:tc>
        <w:tc>
          <w:tcPr>
            <w:tcW w:type="dxa" w:w="3780"/>
            <w:shd w:fill="2E7D32" w:color="auto" w:val="clear"/>
          </w:tcPr>
          <w:p>
            <w:r>
              <w:rPr>
                <w:rFonts w:ascii="Calibri" w:cs="Calibri" w:eastAsia="Calibri" w:hAnsi="Calibri"/>
                <w:b/>
                <w:bCs/>
                <w:color w:val="FFFFFF"/>
                <w:sz w:val="18"/>
                <w:szCs w:val="18"/>
              </w:rPr>
              <w:t xml:space="preserve">Description</w:t>
            </w:r>
          </w:p>
        </w:tc>
        <w:tc>
          <w:tcPr>
            <w:tcW w:type="dxa" w:w="3780"/>
            <w:shd w:fill="2E7D32" w:color="auto" w:val="clear"/>
          </w:tcPr>
          <w:p>
            <w:r>
              <w:rPr>
                <w:rFonts w:ascii="Calibri" w:cs="Calibri" w:eastAsia="Calibri" w:hAnsi="Calibri"/>
                <w:b/>
                <w:bCs/>
                <w:color w:val="FFFFFF"/>
                <w:sz w:val="18"/>
                <w:szCs w:val="18"/>
              </w:rPr>
              <w:t xml:space="preserve">Characteristics</w:t>
            </w:r>
          </w:p>
        </w:tc>
      </w:tr>
      <w:tr>
        <w:tc>
          <w:tcPr>
            <w:tcW w:type="dxa" w:w="1800"/>
            <w:shd w:fill="F3EEF8" w:color="auto" w:val="clear"/>
          </w:tcPr>
          <w:p>
            <w:r>
              <w:rPr>
                <w:rFonts w:ascii="Calibri" w:cs="Calibri" w:eastAsia="Calibri" w:hAnsi="Calibri"/>
                <w:b/>
                <w:bCs/>
                <w:color w:val="5B2D8E"/>
                <w:sz w:val="18"/>
                <w:szCs w:val="18"/>
              </w:rPr>
              <w:t xml:space="preserve">S/4HANA On-Premise</w:t>
            </w:r>
          </w:p>
        </w:tc>
        <w:tc>
          <w:tcPr>
            <w:tcW w:type="dxa" w:w="3780"/>
            <w:shd w:fill="F3EEF8" w:color="auto" w:val="clear"/>
          </w:tcPr>
          <w:p>
            <w:r>
              <w:rPr>
                <w:rFonts w:ascii="Calibri" w:cs="Calibri" w:eastAsia="Calibri" w:hAnsi="Calibri"/>
                <w:color w:val="4A4A4A"/>
                <w:sz w:val="18"/>
                <w:szCs w:val="18"/>
              </w:rPr>
              <w:t xml:space="preserve">Customer hosts on own servers</w:t>
            </w:r>
          </w:p>
        </w:tc>
        <w:tc>
          <w:tcPr>
            <w:tcW w:type="dxa" w:w="3780"/>
            <w:shd w:fill="F3EEF8" w:color="auto" w:val="clear"/>
          </w:tcPr>
          <w:p>
            <w:r>
              <w:rPr>
                <w:rFonts w:ascii="Calibri" w:cs="Calibri" w:eastAsia="Calibri" w:hAnsi="Calibri"/>
                <w:color w:val="4A4A4A"/>
                <w:sz w:val="18"/>
                <w:szCs w:val="18"/>
              </w:rPr>
              <w:t xml:space="preserve">Full control; highest customization; requires internal IT</w:t>
            </w:r>
          </w:p>
        </w:tc>
      </w:tr>
      <w:tr>
        <w:tc>
          <w:tcPr>
            <w:tcW w:type="dxa" w:w="1800"/>
            <w:shd w:fill="FFFFFF" w:color="auto" w:val="clear"/>
          </w:tcPr>
          <w:p>
            <w:r>
              <w:rPr>
                <w:rFonts w:ascii="Calibri" w:cs="Calibri" w:eastAsia="Calibri" w:hAnsi="Calibri"/>
                <w:b/>
                <w:bCs/>
                <w:color w:val="5B2D8E"/>
                <w:sz w:val="18"/>
                <w:szCs w:val="18"/>
              </w:rPr>
              <w:t xml:space="preserve">S/4HANA Cloud, Private Edition</w:t>
            </w:r>
          </w:p>
        </w:tc>
        <w:tc>
          <w:tcPr>
            <w:tcW w:type="dxa" w:w="3780"/>
            <w:shd w:fill="FFFFFF" w:color="auto" w:val="clear"/>
          </w:tcPr>
          <w:p>
            <w:r>
              <w:rPr>
                <w:rFonts w:ascii="Calibri" w:cs="Calibri" w:eastAsia="Calibri" w:hAnsi="Calibri"/>
                <w:color w:val="4A4A4A"/>
                <w:sz w:val="18"/>
                <w:szCs w:val="18"/>
              </w:rPr>
              <w:t xml:space="preserve">SAP-managed cloud; customer tenant</w:t>
            </w:r>
          </w:p>
        </w:tc>
        <w:tc>
          <w:tcPr>
            <w:tcW w:type="dxa" w:w="3780"/>
            <w:shd w:fill="FFFFFF" w:color="auto" w:val="clear"/>
          </w:tcPr>
          <w:p>
            <w:r>
              <w:rPr>
                <w:rFonts w:ascii="Calibri" w:cs="Calibri" w:eastAsia="Calibri" w:hAnsi="Calibri"/>
                <w:color w:val="4A4A4A"/>
                <w:sz w:val="18"/>
                <w:szCs w:val="18"/>
              </w:rPr>
              <w:t xml:space="preserve">Managed operations; customer extensions allowed</w:t>
            </w:r>
          </w:p>
        </w:tc>
      </w:tr>
      <w:tr>
        <w:tc>
          <w:tcPr>
            <w:tcW w:type="dxa" w:w="1800"/>
            <w:shd w:fill="F3EEF8" w:color="auto" w:val="clear"/>
          </w:tcPr>
          <w:p>
            <w:r>
              <w:rPr>
                <w:rFonts w:ascii="Calibri" w:cs="Calibri" w:eastAsia="Calibri" w:hAnsi="Calibri"/>
                <w:b/>
                <w:bCs/>
                <w:color w:val="5B2D8E"/>
                <w:sz w:val="18"/>
                <w:szCs w:val="18"/>
              </w:rPr>
              <w:t xml:space="preserve">S/4HANA Cloud, Public Edition</w:t>
            </w:r>
          </w:p>
        </w:tc>
        <w:tc>
          <w:tcPr>
            <w:tcW w:type="dxa" w:w="3780"/>
            <w:shd w:fill="F3EEF8" w:color="auto" w:val="clear"/>
          </w:tcPr>
          <w:p>
            <w:r>
              <w:rPr>
                <w:rFonts w:ascii="Calibri" w:cs="Calibri" w:eastAsia="Calibri" w:hAnsi="Calibri"/>
                <w:color w:val="4A4A4A"/>
                <w:sz w:val="18"/>
                <w:szCs w:val="18"/>
              </w:rPr>
              <w:t xml:space="preserve">Multi-tenant SaaS SAP ERP</w:t>
            </w:r>
          </w:p>
        </w:tc>
        <w:tc>
          <w:tcPr>
            <w:tcW w:type="dxa" w:w="3780"/>
            <w:shd w:fill="F3EEF8" w:color="auto" w:val="clear"/>
          </w:tcPr>
          <w:p>
            <w:r>
              <w:rPr>
                <w:rFonts w:ascii="Calibri" w:cs="Calibri" w:eastAsia="Calibri" w:hAnsi="Calibri"/>
                <w:color w:val="4A4A4A"/>
                <w:sz w:val="18"/>
                <w:szCs w:val="18"/>
              </w:rPr>
              <w:t xml:space="preserve">Fastest innovation; quarterly releases; scope limitations</w:t>
            </w:r>
          </w:p>
        </w:tc>
      </w:tr>
      <w:tr>
        <w:tc>
          <w:tcPr>
            <w:tcW w:type="dxa" w:w="1800"/>
            <w:shd w:fill="FFFFFF" w:color="auto" w:val="clear"/>
          </w:tcPr>
          <w:p>
            <w:r>
              <w:rPr>
                <w:rFonts w:ascii="Calibri" w:cs="Calibri" w:eastAsia="Calibri" w:hAnsi="Calibri"/>
                <w:b/>
                <w:bCs/>
                <w:color w:val="5B2D8E"/>
                <w:sz w:val="18"/>
                <w:szCs w:val="18"/>
              </w:rPr>
              <w:t xml:space="preserve">RISE with SAP</w:t>
            </w:r>
          </w:p>
        </w:tc>
        <w:tc>
          <w:tcPr>
            <w:tcW w:type="dxa" w:w="3780"/>
            <w:shd w:fill="FFFFFF" w:color="auto" w:val="clear"/>
          </w:tcPr>
          <w:p>
            <w:r>
              <w:rPr>
                <w:rFonts w:ascii="Calibri" w:cs="Calibri" w:eastAsia="Calibri" w:hAnsi="Calibri"/>
                <w:color w:val="4A4A4A"/>
                <w:sz w:val="18"/>
                <w:szCs w:val="18"/>
              </w:rPr>
              <w:t xml:space="preserve">Bundled cloud transformation package</w:t>
            </w:r>
          </w:p>
        </w:tc>
        <w:tc>
          <w:tcPr>
            <w:tcW w:type="dxa" w:w="3780"/>
            <w:shd w:fill="FFFFFF" w:color="auto" w:val="clear"/>
          </w:tcPr>
          <w:p>
            <w:r>
              <w:rPr>
                <w:rFonts w:ascii="Calibri" w:cs="Calibri" w:eastAsia="Calibri" w:hAnsi="Calibri"/>
                <w:color w:val="4A4A4A"/>
                <w:sz w:val="18"/>
                <w:szCs w:val="18"/>
              </w:rPr>
              <w:t xml:space="preserve">ERP + BTP + services; simplified commercial model</w:t>
            </w:r>
          </w:p>
        </w:tc>
      </w:tr>
    </w:tbl>
    <w:p>
      <w:r>
        <w:br w:type="page"/>
      </w:r>
    </w:p>
    <w:p>
      <w:pPr>
        <w:pStyle w:val="Heading1"/>
        <w:spacing w:after="120" w:before="400"/>
      </w:pPr>
      <w:r>
        <w:rPr>
          <w:rFonts w:ascii="Calibri" w:cs="Calibri" w:eastAsia="Calibri" w:hAnsi="Calibri"/>
          <w:b/>
          <w:bCs/>
          <w:color w:val="5B2D8E"/>
          <w:sz w:val="44"/>
          <w:szCs w:val="44"/>
        </w:rPr>
        <w:t xml:space="preserve">Chapter 3: SAP Architecture &amp; Navigation</w:t>
      </w:r>
    </w:p>
    <w:p>
      <w:pPr>
        <w:pStyle w:val="Heading2"/>
        <w:spacing w:after="120" w:before="300"/>
      </w:pPr>
      <w:r>
        <w:rPr>
          <w:rFonts w:ascii="Calibri" w:cs="Calibri" w:eastAsia="Calibri" w:hAnsi="Calibri"/>
          <w:b/>
          <w:bCs/>
          <w:color w:val="1565C0"/>
          <w:sz w:val="36"/>
          <w:szCs w:val="36"/>
        </w:rPr>
        <w:t xml:space="preserve">3.1 SAP System Architecture</w:t>
      </w:r>
    </w:p>
    <w:p>
      <w:pPr>
        <w:spacing w:after="60" w:before="60"/>
        <w:jc w:val="both"/>
      </w:pPr>
      <w:r>
        <w:rPr>
          <w:rFonts w:ascii="Calibri" w:cs="Calibri" w:eastAsia="Calibri" w:hAnsi="Calibri"/>
          <w:color w:val="4A4A4A"/>
          <w:sz w:val="22"/>
          <w:szCs w:val="22"/>
        </w:rPr>
        <w:t xml:space="preserve">SAP uses a three-tier client/server architecture consisting of the Presentation Layer (SAP GUI, Fiori Browser), the Application Layer (ABAP Application Server), and the Database Layer (SAP HANA). The application layer handles all business logic, while HANA handles persistence and advanced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Component</w:t>
            </w:r>
          </w:p>
        </w:tc>
        <w:tc>
          <w:tcPr>
            <w:tcW w:type="dxa" w:w="6660"/>
            <w:shd w:fill="5B2D8E"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SAP Client</w:t>
            </w:r>
          </w:p>
        </w:tc>
        <w:tc>
          <w:tcPr>
            <w:tcW w:type="dxa" w:w="6660"/>
            <w:shd w:fill="F3EEF8" w:color="auto" w:val="clear"/>
          </w:tcPr>
          <w:p>
            <w:r>
              <w:rPr>
                <w:rFonts w:ascii="Calibri" w:cs="Calibri" w:eastAsia="Calibri" w:hAnsi="Calibri"/>
                <w:color w:val="4A4A4A"/>
                <w:sz w:val="20"/>
                <w:szCs w:val="20"/>
              </w:rPr>
              <w:t xml:space="preserve">Organizational unit in SAP; each client = separate data environment (e.g., DEV, QAS, PRD)</w:t>
            </w:r>
          </w:p>
        </w:tc>
      </w:tr>
      <w:tr>
        <w:tc>
          <w:tcPr>
            <w:tcW w:type="dxa" w:w="2700"/>
            <w:shd w:fill="FFFFFF" w:color="auto" w:val="clear"/>
          </w:tcPr>
          <w:p>
            <w:r>
              <w:rPr>
                <w:rFonts w:ascii="Calibri" w:cs="Calibri" w:eastAsia="Calibri" w:hAnsi="Calibri"/>
                <w:b/>
                <w:bCs/>
                <w:color w:val="5B2D8E"/>
                <w:sz w:val="20"/>
                <w:szCs w:val="20"/>
              </w:rPr>
              <w:t xml:space="preserve">Application Server</w:t>
            </w:r>
          </w:p>
        </w:tc>
        <w:tc>
          <w:tcPr>
            <w:tcW w:type="dxa" w:w="6660"/>
            <w:shd w:fill="FFFFFF" w:color="auto" w:val="clear"/>
          </w:tcPr>
          <w:p>
            <w:r>
              <w:rPr>
                <w:rFonts w:ascii="Calibri" w:cs="Calibri" w:eastAsia="Calibri" w:hAnsi="Calibri"/>
                <w:color w:val="4A4A4A"/>
                <w:sz w:val="20"/>
                <w:szCs w:val="20"/>
              </w:rPr>
              <w:t xml:space="preserve">ABAP runtime environment; handles work processes — dialog, background, update, enqueue, spool</w:t>
            </w:r>
          </w:p>
        </w:tc>
      </w:tr>
      <w:tr>
        <w:tc>
          <w:tcPr>
            <w:tcW w:type="dxa" w:w="2700"/>
            <w:shd w:fill="F3EEF8" w:color="auto" w:val="clear"/>
          </w:tcPr>
          <w:p>
            <w:r>
              <w:rPr>
                <w:rFonts w:ascii="Calibri" w:cs="Calibri" w:eastAsia="Calibri" w:hAnsi="Calibri"/>
                <w:b/>
                <w:bCs/>
                <w:color w:val="5B2D8E"/>
                <w:sz w:val="20"/>
                <w:szCs w:val="20"/>
              </w:rPr>
              <w:t xml:space="preserve">SAP HANA DB</w:t>
            </w:r>
          </w:p>
        </w:tc>
        <w:tc>
          <w:tcPr>
            <w:tcW w:type="dxa" w:w="6660"/>
            <w:shd w:fill="F3EEF8" w:color="auto" w:val="clear"/>
          </w:tcPr>
          <w:p>
            <w:r>
              <w:rPr>
                <w:rFonts w:ascii="Calibri" w:cs="Calibri" w:eastAsia="Calibri" w:hAnsi="Calibri"/>
                <w:color w:val="4A4A4A"/>
                <w:sz w:val="20"/>
                <w:szCs w:val="20"/>
              </w:rPr>
              <w:t xml:space="preserve">In-memory column store database; row and column storage; real-time analytical processing</w:t>
            </w:r>
          </w:p>
        </w:tc>
      </w:tr>
      <w:tr>
        <w:tc>
          <w:tcPr>
            <w:tcW w:type="dxa" w:w="2700"/>
            <w:shd w:fill="FFFFFF" w:color="auto" w:val="clear"/>
          </w:tcPr>
          <w:p>
            <w:r>
              <w:rPr>
                <w:rFonts w:ascii="Calibri" w:cs="Calibri" w:eastAsia="Calibri" w:hAnsi="Calibri"/>
                <w:b/>
                <w:bCs/>
                <w:color w:val="5B2D8E"/>
                <w:sz w:val="20"/>
                <w:szCs w:val="20"/>
              </w:rPr>
              <w:t xml:space="preserve">Message Server</w:t>
            </w:r>
          </w:p>
        </w:tc>
        <w:tc>
          <w:tcPr>
            <w:tcW w:type="dxa" w:w="6660"/>
            <w:shd w:fill="FFFFFF" w:color="auto" w:val="clear"/>
          </w:tcPr>
          <w:p>
            <w:r>
              <w:rPr>
                <w:rFonts w:ascii="Calibri" w:cs="Calibri" w:eastAsia="Calibri" w:hAnsi="Calibri"/>
                <w:color w:val="4A4A4A"/>
                <w:sz w:val="20"/>
                <w:szCs w:val="20"/>
              </w:rPr>
              <w:t xml:space="preserve">Routes logon requests to available application servers; load balancing</w:t>
            </w:r>
          </w:p>
        </w:tc>
      </w:tr>
      <w:tr>
        <w:tc>
          <w:tcPr>
            <w:tcW w:type="dxa" w:w="2700"/>
            <w:shd w:fill="F3EEF8" w:color="auto" w:val="clear"/>
          </w:tcPr>
          <w:p>
            <w:r>
              <w:rPr>
                <w:rFonts w:ascii="Calibri" w:cs="Calibri" w:eastAsia="Calibri" w:hAnsi="Calibri"/>
                <w:b/>
                <w:bCs/>
                <w:color w:val="5B2D8E"/>
                <w:sz w:val="20"/>
                <w:szCs w:val="20"/>
              </w:rPr>
              <w:t xml:space="preserve">Enqueue Server</w:t>
            </w:r>
          </w:p>
        </w:tc>
        <w:tc>
          <w:tcPr>
            <w:tcW w:type="dxa" w:w="6660"/>
            <w:shd w:fill="F3EEF8" w:color="auto" w:val="clear"/>
          </w:tcPr>
          <w:p>
            <w:r>
              <w:rPr>
                <w:rFonts w:ascii="Calibri" w:cs="Calibri" w:eastAsia="Calibri" w:hAnsi="Calibri"/>
                <w:color w:val="4A4A4A"/>
                <w:sz w:val="20"/>
                <w:szCs w:val="20"/>
              </w:rPr>
              <w:t xml:space="preserve">Manages SAP lock objects; prevents concurrent update conflicts</w:t>
            </w:r>
          </w:p>
        </w:tc>
      </w:tr>
      <w:tr>
        <w:tc>
          <w:tcPr>
            <w:tcW w:type="dxa" w:w="2700"/>
            <w:shd w:fill="FFFFFF" w:color="auto" w:val="clear"/>
          </w:tcPr>
          <w:p>
            <w:r>
              <w:rPr>
                <w:rFonts w:ascii="Calibri" w:cs="Calibri" w:eastAsia="Calibri" w:hAnsi="Calibri"/>
                <w:b/>
                <w:bCs/>
                <w:color w:val="5B2D8E"/>
                <w:sz w:val="20"/>
                <w:szCs w:val="20"/>
              </w:rPr>
              <w:t xml:space="preserve">Transport System</w:t>
            </w:r>
          </w:p>
        </w:tc>
        <w:tc>
          <w:tcPr>
            <w:tcW w:type="dxa" w:w="6660"/>
            <w:shd w:fill="FFFFFF" w:color="auto" w:val="clear"/>
          </w:tcPr>
          <w:p>
            <w:r>
              <w:rPr>
                <w:rFonts w:ascii="Calibri" w:cs="Calibri" w:eastAsia="Calibri" w:hAnsi="Calibri"/>
                <w:color w:val="4A4A4A"/>
                <w:sz w:val="20"/>
                <w:szCs w:val="20"/>
              </w:rPr>
              <w:t xml:space="preserve">CTS — moves configuration/development changes between DEV → QAS → PRD landscapes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3.2 SAP GUI Navigation</w:t>
      </w:r>
    </w:p>
    <w:p>
      <w:pPr>
        <w:spacing w:after="60" w:before="60"/>
        <w:jc w:val="both"/>
      </w:pPr>
      <w:r>
        <w:rPr>
          <w:rFonts w:ascii="Calibri" w:cs="Calibri" w:eastAsia="Calibri" w:hAnsi="Calibri"/>
          <w:color w:val="4A4A4A"/>
          <w:sz w:val="22"/>
          <w:szCs w:val="22"/>
        </w:rPr>
        <w:t xml:space="preserve">The SAP GUI (Graphical User Interface) provides the traditional interface for SAP ERP. While Fiori is the modern standard, SAP GUI remains widely used, especially for BASIS and ABAP activities. Key navigation elements include:</w:t>
      </w:r>
    </w:p>
    <w:p>
      <w:pPr>
        <w:pStyle w:val="ListParagraph"/>
        <w:numPr>
          <w:ilvl w:val="0"/>
          <w:numId w:val="2"/>
        </w:numPr>
        <w:spacing w:after="40" w:before="40"/>
      </w:pPr>
      <w:r>
        <w:rPr>
          <w:rFonts w:ascii="Calibri" w:cs="Calibri" w:eastAsia="Calibri" w:hAnsi="Calibri"/>
          <w:color w:val="4A4A4A"/>
          <w:sz w:val="22"/>
          <w:szCs w:val="22"/>
        </w:rPr>
        <w:t xml:space="preserve">Transaction Codes (T-Codes): 4-6 character codes entered in the command field to navigate directly to any function (e.g., VA01 = Create Sales Order, FB01 = Post Document)</w:t>
      </w:r>
    </w:p>
    <w:p>
      <w:pPr>
        <w:pStyle w:val="ListParagraph"/>
        <w:numPr>
          <w:ilvl w:val="0"/>
          <w:numId w:val="2"/>
        </w:numPr>
        <w:spacing w:after="40" w:before="40"/>
      </w:pPr>
      <w:r>
        <w:rPr>
          <w:rFonts w:ascii="Calibri" w:cs="Calibri" w:eastAsia="Calibri" w:hAnsi="Calibri"/>
          <w:color w:val="4A4A4A"/>
          <w:sz w:val="22"/>
          <w:szCs w:val="22"/>
        </w:rPr>
        <w:t xml:space="preserve">Menu Path: Hierarchical menu navigation — SAP Easy Access menu tree</w:t>
      </w:r>
    </w:p>
    <w:p>
      <w:pPr>
        <w:pStyle w:val="ListParagraph"/>
        <w:numPr>
          <w:ilvl w:val="0"/>
          <w:numId w:val="2"/>
        </w:numPr>
        <w:spacing w:after="40" w:before="40"/>
      </w:pPr>
      <w:r>
        <w:rPr>
          <w:rFonts w:ascii="Calibri" w:cs="Calibri" w:eastAsia="Calibri" w:hAnsi="Calibri"/>
          <w:color w:val="4A4A4A"/>
          <w:sz w:val="22"/>
          <w:szCs w:val="22"/>
        </w:rPr>
        <w:t xml:space="preserve">Favorites: User-saved list of frequently used transactions</w:t>
      </w:r>
    </w:p>
    <w:p>
      <w:pPr>
        <w:pStyle w:val="ListParagraph"/>
        <w:numPr>
          <w:ilvl w:val="0"/>
          <w:numId w:val="2"/>
        </w:numPr>
        <w:spacing w:after="40" w:before="40"/>
      </w:pPr>
      <w:r>
        <w:rPr>
          <w:rFonts w:ascii="Calibri" w:cs="Calibri" w:eastAsia="Calibri" w:hAnsi="Calibri"/>
          <w:color w:val="4A4A4A"/>
          <w:sz w:val="22"/>
          <w:szCs w:val="22"/>
        </w:rPr>
        <w:t xml:space="preserve">SAP Logon Pad: Client application used to connect to SAP systems; holds system connection profiles</w:t>
      </w:r>
    </w:p>
    <w:p>
      <w:pPr>
        <w:pStyle w:val="ListParagraph"/>
        <w:numPr>
          <w:ilvl w:val="0"/>
          <w:numId w:val="2"/>
        </w:numPr>
        <w:spacing w:after="40" w:before="40"/>
      </w:pPr>
      <w:r>
        <w:rPr>
          <w:rFonts w:ascii="Calibri" w:cs="Calibri" w:eastAsia="Calibri" w:hAnsi="Calibri"/>
          <w:color w:val="4A4A4A"/>
          <w:sz w:val="22"/>
          <w:szCs w:val="22"/>
        </w:rPr>
        <w:t xml:space="preserve">Sessions: Up to 6 concurrent sessions per user in classic SAP GUI</w:t>
      </w:r>
    </w:p>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3.3 Key Transaction Codes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1A1A2E" w:color="auto" w:val="clear"/>
          </w:tcPr>
          <w:p>
            <w:r>
              <w:rPr>
                <w:rFonts w:ascii="Calibri" w:cs="Calibri" w:eastAsia="Calibri" w:hAnsi="Calibri"/>
                <w:b/>
                <w:bCs/>
                <w:color w:val="FFFFFF"/>
                <w:sz w:val="18"/>
                <w:szCs w:val="18"/>
              </w:rPr>
              <w:t xml:space="preserve">T-Code</w:t>
            </w:r>
          </w:p>
        </w:tc>
        <w:tc>
          <w:tcPr>
            <w:tcW w:type="dxa" w:w="3780"/>
            <w:shd w:fill="1A1A2E" w:color="auto" w:val="clear"/>
          </w:tcPr>
          <w:p>
            <w:r>
              <w:rPr>
                <w:rFonts w:ascii="Calibri" w:cs="Calibri" w:eastAsia="Calibri" w:hAnsi="Calibri"/>
                <w:b/>
                <w:bCs/>
                <w:color w:val="FFFFFF"/>
                <w:sz w:val="18"/>
                <w:szCs w:val="18"/>
              </w:rPr>
              <w:t xml:space="preserve">Function</w:t>
            </w:r>
          </w:p>
        </w:tc>
        <w:tc>
          <w:tcPr>
            <w:tcW w:type="dxa" w:w="3780"/>
            <w:shd w:fill="1A1A2E" w:color="auto" w:val="clear"/>
          </w:tcPr>
          <w:p>
            <w:r>
              <w:rPr>
                <w:rFonts w:ascii="Calibri" w:cs="Calibri" w:eastAsia="Calibri" w:hAnsi="Calibri"/>
                <w:b/>
                <w:bCs/>
                <w:color w:val="FFFFFF"/>
                <w:sz w:val="18"/>
                <w:szCs w:val="18"/>
              </w:rPr>
              <w:t xml:space="preserve">Area</w:t>
            </w:r>
          </w:p>
        </w:tc>
      </w:tr>
      <w:tr>
        <w:tc>
          <w:tcPr>
            <w:tcW w:type="dxa" w:w="1800"/>
            <w:shd w:fill="F3EEF8" w:color="auto" w:val="clear"/>
          </w:tcPr>
          <w:p>
            <w:r>
              <w:rPr>
                <w:rFonts w:ascii="Calibri" w:cs="Calibri" w:eastAsia="Calibri" w:hAnsi="Calibri"/>
                <w:b/>
                <w:bCs/>
                <w:color w:val="5B2D8E"/>
                <w:sz w:val="18"/>
                <w:szCs w:val="18"/>
              </w:rPr>
              <w:t xml:space="preserve">SE38</w:t>
            </w:r>
          </w:p>
        </w:tc>
        <w:tc>
          <w:tcPr>
            <w:tcW w:type="dxa" w:w="3780"/>
            <w:shd w:fill="F3EEF8" w:color="auto" w:val="clear"/>
          </w:tcPr>
          <w:p>
            <w:r>
              <w:rPr>
                <w:rFonts w:ascii="Calibri" w:cs="Calibri" w:eastAsia="Calibri" w:hAnsi="Calibri"/>
                <w:color w:val="4A4A4A"/>
                <w:sz w:val="18"/>
                <w:szCs w:val="18"/>
              </w:rPr>
              <w:t xml:space="preserve">ABAP Editor</w:t>
            </w:r>
          </w:p>
        </w:tc>
        <w:tc>
          <w:tcPr>
            <w:tcW w:type="dxa" w:w="3780"/>
            <w:shd w:fill="F3EEF8" w:color="auto" w:val="clear"/>
          </w:tcPr>
          <w:p>
            <w:r>
              <w:rPr>
                <w:rFonts w:ascii="Calibri" w:cs="Calibri" w:eastAsia="Calibri" w:hAnsi="Calibri"/>
                <w:color w:val="4A4A4A"/>
                <w:sz w:val="18"/>
                <w:szCs w:val="18"/>
              </w:rPr>
              <w:t xml:space="preserve">Development</w:t>
            </w:r>
          </w:p>
        </w:tc>
      </w:tr>
      <w:tr>
        <w:tc>
          <w:tcPr>
            <w:tcW w:type="dxa" w:w="1800"/>
            <w:shd w:fill="FFFFFF" w:color="auto" w:val="clear"/>
          </w:tcPr>
          <w:p>
            <w:r>
              <w:rPr>
                <w:rFonts w:ascii="Calibri" w:cs="Calibri" w:eastAsia="Calibri" w:hAnsi="Calibri"/>
                <w:b/>
                <w:bCs/>
                <w:color w:val="5B2D8E"/>
                <w:sz w:val="18"/>
                <w:szCs w:val="18"/>
              </w:rPr>
              <w:t xml:space="preserve">SE11</w:t>
            </w:r>
          </w:p>
        </w:tc>
        <w:tc>
          <w:tcPr>
            <w:tcW w:type="dxa" w:w="3780"/>
            <w:shd w:fill="FFFFFF" w:color="auto" w:val="clear"/>
          </w:tcPr>
          <w:p>
            <w:r>
              <w:rPr>
                <w:rFonts w:ascii="Calibri" w:cs="Calibri" w:eastAsia="Calibri" w:hAnsi="Calibri"/>
                <w:color w:val="4A4A4A"/>
                <w:sz w:val="18"/>
                <w:szCs w:val="18"/>
              </w:rPr>
              <w:t xml:space="preserve">ABAP Dictionary</w:t>
            </w:r>
          </w:p>
        </w:tc>
        <w:tc>
          <w:tcPr>
            <w:tcW w:type="dxa" w:w="3780"/>
            <w:shd w:fill="FFFFFF" w:color="auto" w:val="clear"/>
          </w:tcPr>
          <w:p>
            <w:r>
              <w:rPr>
                <w:rFonts w:ascii="Calibri" w:cs="Calibri" w:eastAsia="Calibri" w:hAnsi="Calibri"/>
                <w:color w:val="4A4A4A"/>
                <w:sz w:val="18"/>
                <w:szCs w:val="18"/>
              </w:rPr>
              <w:t xml:space="preserve">Development</w:t>
            </w:r>
          </w:p>
        </w:tc>
      </w:tr>
      <w:tr>
        <w:tc>
          <w:tcPr>
            <w:tcW w:type="dxa" w:w="1800"/>
            <w:shd w:fill="F3EEF8" w:color="auto" w:val="clear"/>
          </w:tcPr>
          <w:p>
            <w:r>
              <w:rPr>
                <w:rFonts w:ascii="Calibri" w:cs="Calibri" w:eastAsia="Calibri" w:hAnsi="Calibri"/>
                <w:b/>
                <w:bCs/>
                <w:color w:val="5B2D8E"/>
                <w:sz w:val="18"/>
                <w:szCs w:val="18"/>
              </w:rPr>
              <w:t xml:space="preserve">SM30</w:t>
            </w:r>
          </w:p>
        </w:tc>
        <w:tc>
          <w:tcPr>
            <w:tcW w:type="dxa" w:w="3780"/>
            <w:shd w:fill="F3EEF8" w:color="auto" w:val="clear"/>
          </w:tcPr>
          <w:p>
            <w:r>
              <w:rPr>
                <w:rFonts w:ascii="Calibri" w:cs="Calibri" w:eastAsia="Calibri" w:hAnsi="Calibri"/>
                <w:color w:val="4A4A4A"/>
                <w:sz w:val="18"/>
                <w:szCs w:val="18"/>
              </w:rPr>
              <w:t xml:space="preserve">Table Maintenance</w:t>
            </w:r>
          </w:p>
        </w:tc>
        <w:tc>
          <w:tcPr>
            <w:tcW w:type="dxa" w:w="3780"/>
            <w:shd w:fill="F3EEF8" w:color="auto" w:val="clear"/>
          </w:tcPr>
          <w:p>
            <w:r>
              <w:rPr>
                <w:rFonts w:ascii="Calibri" w:cs="Calibri" w:eastAsia="Calibri" w:hAnsi="Calibri"/>
                <w:color w:val="4A4A4A"/>
                <w:sz w:val="18"/>
                <w:szCs w:val="18"/>
              </w:rPr>
              <w:t xml:space="preserve">Administration</w:t>
            </w:r>
          </w:p>
        </w:tc>
      </w:tr>
      <w:tr>
        <w:tc>
          <w:tcPr>
            <w:tcW w:type="dxa" w:w="1800"/>
            <w:shd w:fill="FFFFFF" w:color="auto" w:val="clear"/>
          </w:tcPr>
          <w:p>
            <w:r>
              <w:rPr>
                <w:rFonts w:ascii="Calibri" w:cs="Calibri" w:eastAsia="Calibri" w:hAnsi="Calibri"/>
                <w:b/>
                <w:bCs/>
                <w:color w:val="5B2D8E"/>
                <w:sz w:val="18"/>
                <w:szCs w:val="18"/>
              </w:rPr>
              <w:t xml:space="preserve">SM21</w:t>
            </w:r>
          </w:p>
        </w:tc>
        <w:tc>
          <w:tcPr>
            <w:tcW w:type="dxa" w:w="3780"/>
            <w:shd w:fill="FFFFFF" w:color="auto" w:val="clear"/>
          </w:tcPr>
          <w:p>
            <w:r>
              <w:rPr>
                <w:rFonts w:ascii="Calibri" w:cs="Calibri" w:eastAsia="Calibri" w:hAnsi="Calibri"/>
                <w:color w:val="4A4A4A"/>
                <w:sz w:val="18"/>
                <w:szCs w:val="18"/>
              </w:rPr>
              <w:t xml:space="preserve">System Log</w:t>
            </w:r>
          </w:p>
        </w:tc>
        <w:tc>
          <w:tcPr>
            <w:tcW w:type="dxa" w:w="3780"/>
            <w:shd w:fill="FFFFFF" w:color="auto" w:val="clear"/>
          </w:tcPr>
          <w:p>
            <w:r>
              <w:rPr>
                <w:rFonts w:ascii="Calibri" w:cs="Calibri" w:eastAsia="Calibri" w:hAnsi="Calibri"/>
                <w:color w:val="4A4A4A"/>
                <w:sz w:val="18"/>
                <w:szCs w:val="18"/>
              </w:rPr>
              <w:t xml:space="preserve">Administration</w:t>
            </w:r>
          </w:p>
        </w:tc>
      </w:tr>
      <w:tr>
        <w:tc>
          <w:tcPr>
            <w:tcW w:type="dxa" w:w="1800"/>
            <w:shd w:fill="F3EEF8" w:color="auto" w:val="clear"/>
          </w:tcPr>
          <w:p>
            <w:r>
              <w:rPr>
                <w:rFonts w:ascii="Calibri" w:cs="Calibri" w:eastAsia="Calibri" w:hAnsi="Calibri"/>
                <w:b/>
                <w:bCs/>
                <w:color w:val="5B2D8E"/>
                <w:sz w:val="18"/>
                <w:szCs w:val="18"/>
              </w:rPr>
              <w:t xml:space="preserve">SM50</w:t>
            </w:r>
          </w:p>
        </w:tc>
        <w:tc>
          <w:tcPr>
            <w:tcW w:type="dxa" w:w="3780"/>
            <w:shd w:fill="F3EEF8" w:color="auto" w:val="clear"/>
          </w:tcPr>
          <w:p>
            <w:r>
              <w:rPr>
                <w:rFonts w:ascii="Calibri" w:cs="Calibri" w:eastAsia="Calibri" w:hAnsi="Calibri"/>
                <w:color w:val="4A4A4A"/>
                <w:sz w:val="18"/>
                <w:szCs w:val="18"/>
              </w:rPr>
              <w:t xml:space="preserve">Work Process Overview</w:t>
            </w:r>
          </w:p>
        </w:tc>
        <w:tc>
          <w:tcPr>
            <w:tcW w:type="dxa" w:w="3780"/>
            <w:shd w:fill="F3EEF8" w:color="auto" w:val="clear"/>
          </w:tcPr>
          <w:p>
            <w:r>
              <w:rPr>
                <w:rFonts w:ascii="Calibri" w:cs="Calibri" w:eastAsia="Calibri" w:hAnsi="Calibri"/>
                <w:color w:val="4A4A4A"/>
                <w:sz w:val="18"/>
                <w:szCs w:val="18"/>
              </w:rPr>
              <w:t xml:space="preserve">Monitoring</w:t>
            </w:r>
          </w:p>
        </w:tc>
      </w:tr>
      <w:tr>
        <w:tc>
          <w:tcPr>
            <w:tcW w:type="dxa" w:w="1800"/>
            <w:shd w:fill="FFFFFF" w:color="auto" w:val="clear"/>
          </w:tcPr>
          <w:p>
            <w:r>
              <w:rPr>
                <w:rFonts w:ascii="Calibri" w:cs="Calibri" w:eastAsia="Calibri" w:hAnsi="Calibri"/>
                <w:b/>
                <w:bCs/>
                <w:color w:val="5B2D8E"/>
                <w:sz w:val="18"/>
                <w:szCs w:val="18"/>
              </w:rPr>
              <w:t xml:space="preserve">SM66</w:t>
            </w:r>
          </w:p>
        </w:tc>
        <w:tc>
          <w:tcPr>
            <w:tcW w:type="dxa" w:w="3780"/>
            <w:shd w:fill="FFFFFF" w:color="auto" w:val="clear"/>
          </w:tcPr>
          <w:p>
            <w:r>
              <w:rPr>
                <w:rFonts w:ascii="Calibri" w:cs="Calibri" w:eastAsia="Calibri" w:hAnsi="Calibri"/>
                <w:color w:val="4A4A4A"/>
                <w:sz w:val="18"/>
                <w:szCs w:val="18"/>
              </w:rPr>
              <w:t xml:space="preserve">Global Work Process Monitor</w:t>
            </w:r>
          </w:p>
        </w:tc>
        <w:tc>
          <w:tcPr>
            <w:tcW w:type="dxa" w:w="3780"/>
            <w:shd w:fill="FFFFFF" w:color="auto" w:val="clear"/>
          </w:tcPr>
          <w:p>
            <w:r>
              <w:rPr>
                <w:rFonts w:ascii="Calibri" w:cs="Calibri" w:eastAsia="Calibri" w:hAnsi="Calibri"/>
                <w:color w:val="4A4A4A"/>
                <w:sz w:val="18"/>
                <w:szCs w:val="18"/>
              </w:rPr>
              <w:t xml:space="preserve">Monitoring</w:t>
            </w:r>
          </w:p>
        </w:tc>
      </w:tr>
      <w:tr>
        <w:tc>
          <w:tcPr>
            <w:tcW w:type="dxa" w:w="1800"/>
            <w:shd w:fill="F3EEF8" w:color="auto" w:val="clear"/>
          </w:tcPr>
          <w:p>
            <w:r>
              <w:rPr>
                <w:rFonts w:ascii="Calibri" w:cs="Calibri" w:eastAsia="Calibri" w:hAnsi="Calibri"/>
                <w:b/>
                <w:bCs/>
                <w:color w:val="5B2D8E"/>
                <w:sz w:val="18"/>
                <w:szCs w:val="18"/>
              </w:rPr>
              <w:t xml:space="preserve">SU01</w:t>
            </w:r>
          </w:p>
        </w:tc>
        <w:tc>
          <w:tcPr>
            <w:tcW w:type="dxa" w:w="3780"/>
            <w:shd w:fill="F3EEF8" w:color="auto" w:val="clear"/>
          </w:tcPr>
          <w:p>
            <w:r>
              <w:rPr>
                <w:rFonts w:ascii="Calibri" w:cs="Calibri" w:eastAsia="Calibri" w:hAnsi="Calibri"/>
                <w:color w:val="4A4A4A"/>
                <w:sz w:val="18"/>
                <w:szCs w:val="18"/>
              </w:rPr>
              <w:t xml:space="preserve">User Maintenance</w:t>
            </w:r>
          </w:p>
        </w:tc>
        <w:tc>
          <w:tcPr>
            <w:tcW w:type="dxa" w:w="3780"/>
            <w:shd w:fill="F3EEF8" w:color="auto" w:val="clear"/>
          </w:tcPr>
          <w:p>
            <w:r>
              <w:rPr>
                <w:rFonts w:ascii="Calibri" w:cs="Calibri" w:eastAsia="Calibri" w:hAnsi="Calibri"/>
                <w:color w:val="4A4A4A"/>
                <w:sz w:val="18"/>
                <w:szCs w:val="18"/>
              </w:rPr>
              <w:t xml:space="preserve">Security</w:t>
            </w:r>
          </w:p>
        </w:tc>
      </w:tr>
      <w:tr>
        <w:tc>
          <w:tcPr>
            <w:tcW w:type="dxa" w:w="1800"/>
            <w:shd w:fill="FFFFFF" w:color="auto" w:val="clear"/>
          </w:tcPr>
          <w:p>
            <w:r>
              <w:rPr>
                <w:rFonts w:ascii="Calibri" w:cs="Calibri" w:eastAsia="Calibri" w:hAnsi="Calibri"/>
                <w:b/>
                <w:bCs/>
                <w:color w:val="5B2D8E"/>
                <w:sz w:val="18"/>
                <w:szCs w:val="18"/>
              </w:rPr>
              <w:t xml:space="preserve">SUIM</w:t>
            </w:r>
          </w:p>
        </w:tc>
        <w:tc>
          <w:tcPr>
            <w:tcW w:type="dxa" w:w="3780"/>
            <w:shd w:fill="FFFFFF" w:color="auto" w:val="clear"/>
          </w:tcPr>
          <w:p>
            <w:r>
              <w:rPr>
                <w:rFonts w:ascii="Calibri" w:cs="Calibri" w:eastAsia="Calibri" w:hAnsi="Calibri"/>
                <w:color w:val="4A4A4A"/>
                <w:sz w:val="18"/>
                <w:szCs w:val="18"/>
              </w:rPr>
              <w:t xml:space="preserve">User Information System</w:t>
            </w:r>
          </w:p>
        </w:tc>
        <w:tc>
          <w:tcPr>
            <w:tcW w:type="dxa" w:w="3780"/>
            <w:shd w:fill="FFFFFF" w:color="auto" w:val="clear"/>
          </w:tcPr>
          <w:p>
            <w:r>
              <w:rPr>
                <w:rFonts w:ascii="Calibri" w:cs="Calibri" w:eastAsia="Calibri" w:hAnsi="Calibri"/>
                <w:color w:val="4A4A4A"/>
                <w:sz w:val="18"/>
                <w:szCs w:val="18"/>
              </w:rPr>
              <w:t xml:space="preserve">Security</w:t>
            </w:r>
          </w:p>
        </w:tc>
      </w:tr>
      <w:tr>
        <w:tc>
          <w:tcPr>
            <w:tcW w:type="dxa" w:w="1800"/>
            <w:shd w:fill="F3EEF8" w:color="auto" w:val="clear"/>
          </w:tcPr>
          <w:p>
            <w:r>
              <w:rPr>
                <w:rFonts w:ascii="Calibri" w:cs="Calibri" w:eastAsia="Calibri" w:hAnsi="Calibri"/>
                <w:b/>
                <w:bCs/>
                <w:color w:val="5B2D8E"/>
                <w:sz w:val="18"/>
                <w:szCs w:val="18"/>
              </w:rPr>
              <w:t xml:space="preserve">SPRO</w:t>
            </w:r>
          </w:p>
        </w:tc>
        <w:tc>
          <w:tcPr>
            <w:tcW w:type="dxa" w:w="3780"/>
            <w:shd w:fill="F3EEF8" w:color="auto" w:val="clear"/>
          </w:tcPr>
          <w:p>
            <w:r>
              <w:rPr>
                <w:rFonts w:ascii="Calibri" w:cs="Calibri" w:eastAsia="Calibri" w:hAnsi="Calibri"/>
                <w:color w:val="4A4A4A"/>
                <w:sz w:val="18"/>
                <w:szCs w:val="18"/>
              </w:rPr>
              <w:t xml:space="preserve">Customizing (IMG)</w:t>
            </w:r>
          </w:p>
        </w:tc>
        <w:tc>
          <w:tcPr>
            <w:tcW w:type="dxa" w:w="3780"/>
            <w:shd w:fill="F3EEF8" w:color="auto" w:val="clear"/>
          </w:tcPr>
          <w:p>
            <w:r>
              <w:rPr>
                <w:rFonts w:ascii="Calibri" w:cs="Calibri" w:eastAsia="Calibri" w:hAnsi="Calibri"/>
                <w:color w:val="4A4A4A"/>
                <w:sz w:val="18"/>
                <w:szCs w:val="18"/>
              </w:rPr>
              <w:t xml:space="preserve">Configuration</w:t>
            </w:r>
          </w:p>
        </w:tc>
      </w:tr>
      <w:tr>
        <w:tc>
          <w:tcPr>
            <w:tcW w:type="dxa" w:w="1800"/>
            <w:shd w:fill="FFFFFF" w:color="auto" w:val="clear"/>
          </w:tcPr>
          <w:p>
            <w:r>
              <w:rPr>
                <w:rFonts w:ascii="Calibri" w:cs="Calibri" w:eastAsia="Calibri" w:hAnsi="Calibri"/>
                <w:b/>
                <w:bCs/>
                <w:color w:val="5B2D8E"/>
                <w:sz w:val="18"/>
                <w:szCs w:val="18"/>
              </w:rPr>
              <w:t xml:space="preserve">SCC4</w:t>
            </w:r>
          </w:p>
        </w:tc>
        <w:tc>
          <w:tcPr>
            <w:tcW w:type="dxa" w:w="3780"/>
            <w:shd w:fill="FFFFFF" w:color="auto" w:val="clear"/>
          </w:tcPr>
          <w:p>
            <w:r>
              <w:rPr>
                <w:rFonts w:ascii="Calibri" w:cs="Calibri" w:eastAsia="Calibri" w:hAnsi="Calibri"/>
                <w:color w:val="4A4A4A"/>
                <w:sz w:val="18"/>
                <w:szCs w:val="18"/>
              </w:rPr>
              <w:t xml:space="preserve">Client Administration</w:t>
            </w:r>
          </w:p>
        </w:tc>
        <w:tc>
          <w:tcPr>
            <w:tcW w:type="dxa" w:w="3780"/>
            <w:shd w:fill="FFFFFF" w:color="auto" w:val="clear"/>
          </w:tcPr>
          <w:p>
            <w:r>
              <w:rPr>
                <w:rFonts w:ascii="Calibri" w:cs="Calibri" w:eastAsia="Calibri" w:hAnsi="Calibri"/>
                <w:color w:val="4A4A4A"/>
                <w:sz w:val="18"/>
                <w:szCs w:val="18"/>
              </w:rPr>
              <w:t xml:space="preserve">Administration</w:t>
            </w:r>
          </w:p>
        </w:tc>
      </w:tr>
      <w:tr>
        <w:tc>
          <w:tcPr>
            <w:tcW w:type="dxa" w:w="1800"/>
            <w:shd w:fill="F3EEF8" w:color="auto" w:val="clear"/>
          </w:tcPr>
          <w:p>
            <w:r>
              <w:rPr>
                <w:rFonts w:ascii="Calibri" w:cs="Calibri" w:eastAsia="Calibri" w:hAnsi="Calibri"/>
                <w:b/>
                <w:bCs/>
                <w:color w:val="5B2D8E"/>
                <w:sz w:val="18"/>
                <w:szCs w:val="18"/>
              </w:rPr>
              <w:t xml:space="preserve">BD54</w:t>
            </w:r>
          </w:p>
        </w:tc>
        <w:tc>
          <w:tcPr>
            <w:tcW w:type="dxa" w:w="3780"/>
            <w:shd w:fill="F3EEF8" w:color="auto" w:val="clear"/>
          </w:tcPr>
          <w:p>
            <w:r>
              <w:rPr>
                <w:rFonts w:ascii="Calibri" w:cs="Calibri" w:eastAsia="Calibri" w:hAnsi="Calibri"/>
                <w:color w:val="4A4A4A"/>
                <w:sz w:val="18"/>
                <w:szCs w:val="18"/>
              </w:rPr>
              <w:t xml:space="preserve">Logical Systems</w:t>
            </w:r>
          </w:p>
        </w:tc>
        <w:tc>
          <w:tcPr>
            <w:tcW w:type="dxa" w:w="3780"/>
            <w:shd w:fill="F3EEF8" w:color="auto" w:val="clear"/>
          </w:tcPr>
          <w:p>
            <w:r>
              <w:rPr>
                <w:rFonts w:ascii="Calibri" w:cs="Calibri" w:eastAsia="Calibri" w:hAnsi="Calibri"/>
                <w:color w:val="4A4A4A"/>
                <w:sz w:val="18"/>
                <w:szCs w:val="18"/>
              </w:rPr>
              <w:t xml:space="preserve">Integration</w:t>
            </w:r>
          </w:p>
        </w:tc>
      </w:tr>
      <w:tr>
        <w:tc>
          <w:tcPr>
            <w:tcW w:type="dxa" w:w="1800"/>
            <w:shd w:fill="FFFFFF" w:color="auto" w:val="clear"/>
          </w:tcPr>
          <w:p>
            <w:r>
              <w:rPr>
                <w:rFonts w:ascii="Calibri" w:cs="Calibri" w:eastAsia="Calibri" w:hAnsi="Calibri"/>
                <w:b/>
                <w:bCs/>
                <w:color w:val="5B2D8E"/>
                <w:sz w:val="18"/>
                <w:szCs w:val="18"/>
              </w:rPr>
              <w:t xml:space="preserve">WE20</w:t>
            </w:r>
          </w:p>
        </w:tc>
        <w:tc>
          <w:tcPr>
            <w:tcW w:type="dxa" w:w="3780"/>
            <w:shd w:fill="FFFFFF" w:color="auto" w:val="clear"/>
          </w:tcPr>
          <w:p>
            <w:r>
              <w:rPr>
                <w:rFonts w:ascii="Calibri" w:cs="Calibri" w:eastAsia="Calibri" w:hAnsi="Calibri"/>
                <w:color w:val="4A4A4A"/>
                <w:sz w:val="18"/>
                <w:szCs w:val="18"/>
              </w:rPr>
              <w:t xml:space="preserve">Partner Profiles (EDI)</w:t>
            </w:r>
          </w:p>
        </w:tc>
        <w:tc>
          <w:tcPr>
            <w:tcW w:type="dxa" w:w="3780"/>
            <w:shd w:fill="FFFFFF" w:color="auto" w:val="clear"/>
          </w:tcPr>
          <w:p>
            <w:r>
              <w:rPr>
                <w:rFonts w:ascii="Calibri" w:cs="Calibri" w:eastAsia="Calibri" w:hAnsi="Calibri"/>
                <w:color w:val="4A4A4A"/>
                <w:sz w:val="18"/>
                <w:szCs w:val="18"/>
              </w:rPr>
              <w:t xml:space="preserve">Integration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565C0" w:color="auto" w:val="clear"/>
          </w:tcPr>
          <w:p>
            <w:pPr>
              <w:spacing w:after="40" w:before="160"/>
            </w:pPr>
            <w:r>
              <w:rPr>
                <w:rFonts w:ascii="Calibri" w:cs="Calibri" w:eastAsia="Calibri" w:hAnsi="Calibri"/>
                <w:b/>
                <w:bCs/>
                <w:color w:val="FFFFFF"/>
                <w:sz w:val="52"/>
                <w:szCs w:val="52"/>
              </w:rPr>
              <w:t xml:space="preserve">PART II — FINANCIAL MODULES</w:t>
            </w:r>
          </w:p>
          <w:p>
            <w:pPr>
              <w:spacing w:after="160" w:before="0"/>
            </w:pPr>
            <w:r>
              <w:rPr>
                <w:rFonts w:ascii="Calibri" w:cs="Calibri" w:eastAsia="Calibri" w:hAnsi="Calibri"/>
                <w:color w:val="DDDDDD"/>
                <w:sz w:val="22"/>
                <w:szCs w:val="22"/>
              </w:rPr>
              <w:t xml:space="preserve">SAP FI, CO, and Financial Management</w:t>
            </w:r>
          </w:p>
        </w:tc>
      </w:tr>
    </w:tbl>
    <w:p>
      <w:pPr>
        <w:spacing w:after="0" w:before="0"/>
      </w:pPr>
      <w:r>
        <w:rPr>
          <w:sz w:val="100"/>
          <w:szCs w:val="100"/>
        </w:rPr>
        <w:t xml:space="preserve"> </w:t>
      </w:r>
    </w:p>
    <w:p>
      <w:pPr>
        <w:pStyle w:val="Heading1"/>
        <w:spacing w:after="120" w:before="400"/>
      </w:pPr>
      <w:r>
        <w:rPr>
          <w:rFonts w:ascii="Calibri" w:cs="Calibri" w:eastAsia="Calibri" w:hAnsi="Calibri"/>
          <w:b/>
          <w:bCs/>
          <w:color w:val="5B2D8E"/>
          <w:sz w:val="44"/>
          <w:szCs w:val="44"/>
        </w:rPr>
        <w:t xml:space="preserve">Chapter 4: Financial Accounting (FI)</w:t>
      </w:r>
    </w:p>
    <w:p>
      <w:pPr>
        <w:pStyle w:val="Heading2"/>
        <w:spacing w:after="120" w:before="300"/>
      </w:pPr>
      <w:r>
        <w:rPr>
          <w:rFonts w:ascii="Calibri" w:cs="Calibri" w:eastAsia="Calibri" w:hAnsi="Calibri"/>
          <w:b/>
          <w:bCs/>
          <w:color w:val="1565C0"/>
          <w:sz w:val="36"/>
          <w:szCs w:val="36"/>
        </w:rPr>
        <w:t xml:space="preserve">4.1 FI Module Overview</w:t>
      </w:r>
    </w:p>
    <w:p>
      <w:pPr>
        <w:spacing w:after="60" w:before="60"/>
        <w:jc w:val="both"/>
      </w:pPr>
      <w:r>
        <w:rPr>
          <w:rFonts w:ascii="Calibri" w:cs="Calibri" w:eastAsia="Calibri" w:hAnsi="Calibri"/>
          <w:color w:val="4A4A4A"/>
          <w:sz w:val="22"/>
          <w:szCs w:val="22"/>
        </w:rPr>
        <w:t xml:space="preserve">SAP Financial Accounting (FI) is the core financial module of SAP ERP. It handles external reporting requirements — balance sheet, profit &amp; loss statement, and statutory reporting. FI is fully integrated with all other SAP modules, ensuring that every financial-relevant business event posts automatically to the correct GL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Sub-Module</w:t>
            </w:r>
          </w:p>
        </w:tc>
        <w:tc>
          <w:tcPr>
            <w:tcW w:type="dxa" w:w="6660"/>
            <w:shd w:fill="1565C0" w:color="auto" w:val="clear"/>
          </w:tcPr>
          <w:p>
            <w:r>
              <w:rPr>
                <w:rFonts w:ascii="Calibri" w:cs="Calibri" w:eastAsia="Calibri" w:hAnsi="Calibri"/>
                <w:b/>
                <w:bCs/>
                <w:color w:val="FFFFFF"/>
                <w:sz w:val="20"/>
                <w:szCs w:val="20"/>
              </w:rPr>
              <w:t xml:space="preserve">Function</w:t>
            </w:r>
          </w:p>
        </w:tc>
      </w:tr>
      <w:tr>
        <w:tc>
          <w:tcPr>
            <w:tcW w:type="dxa" w:w="2700"/>
            <w:shd w:fill="F3EEF8" w:color="auto" w:val="clear"/>
          </w:tcPr>
          <w:p>
            <w:r>
              <w:rPr>
                <w:rFonts w:ascii="Calibri" w:cs="Calibri" w:eastAsia="Calibri" w:hAnsi="Calibri"/>
                <w:b/>
                <w:bCs/>
                <w:color w:val="5B2D8E"/>
                <w:sz w:val="20"/>
                <w:szCs w:val="20"/>
              </w:rPr>
              <w:t xml:space="preserve">FI-GL</w:t>
            </w:r>
          </w:p>
        </w:tc>
        <w:tc>
          <w:tcPr>
            <w:tcW w:type="dxa" w:w="6660"/>
            <w:shd w:fill="F3EEF8" w:color="auto" w:val="clear"/>
          </w:tcPr>
          <w:p>
            <w:r>
              <w:rPr>
                <w:rFonts w:ascii="Calibri" w:cs="Calibri" w:eastAsia="Calibri" w:hAnsi="Calibri"/>
                <w:color w:val="4A4A4A"/>
                <w:sz w:val="20"/>
                <w:szCs w:val="20"/>
              </w:rPr>
              <w:t xml:space="preserve">General Ledger — master accounting records; chart of accounts; universal journal (S/4HANA)</w:t>
            </w:r>
          </w:p>
        </w:tc>
      </w:tr>
      <w:tr>
        <w:tc>
          <w:tcPr>
            <w:tcW w:type="dxa" w:w="2700"/>
            <w:shd w:fill="FFFFFF" w:color="auto" w:val="clear"/>
          </w:tcPr>
          <w:p>
            <w:r>
              <w:rPr>
                <w:rFonts w:ascii="Calibri" w:cs="Calibri" w:eastAsia="Calibri" w:hAnsi="Calibri"/>
                <w:b/>
                <w:bCs/>
                <w:color w:val="5B2D8E"/>
                <w:sz w:val="20"/>
                <w:szCs w:val="20"/>
              </w:rPr>
              <w:t xml:space="preserve">FI-AR</w:t>
            </w:r>
          </w:p>
        </w:tc>
        <w:tc>
          <w:tcPr>
            <w:tcW w:type="dxa" w:w="6660"/>
            <w:shd w:fill="FFFFFF" w:color="auto" w:val="clear"/>
          </w:tcPr>
          <w:p>
            <w:r>
              <w:rPr>
                <w:rFonts w:ascii="Calibri" w:cs="Calibri" w:eastAsia="Calibri" w:hAnsi="Calibri"/>
                <w:color w:val="4A4A4A"/>
                <w:sz w:val="20"/>
                <w:szCs w:val="20"/>
              </w:rPr>
              <w:t xml:space="preserve">Accounts Receivable — customer invoices, payments, collections, dunning, credit management</w:t>
            </w:r>
          </w:p>
        </w:tc>
      </w:tr>
      <w:tr>
        <w:tc>
          <w:tcPr>
            <w:tcW w:type="dxa" w:w="2700"/>
            <w:shd w:fill="F3EEF8" w:color="auto" w:val="clear"/>
          </w:tcPr>
          <w:p>
            <w:r>
              <w:rPr>
                <w:rFonts w:ascii="Calibri" w:cs="Calibri" w:eastAsia="Calibri" w:hAnsi="Calibri"/>
                <w:b/>
                <w:bCs/>
                <w:color w:val="5B2D8E"/>
                <w:sz w:val="20"/>
                <w:szCs w:val="20"/>
              </w:rPr>
              <w:t xml:space="preserve">FI-AP</w:t>
            </w:r>
          </w:p>
        </w:tc>
        <w:tc>
          <w:tcPr>
            <w:tcW w:type="dxa" w:w="6660"/>
            <w:shd w:fill="F3EEF8" w:color="auto" w:val="clear"/>
          </w:tcPr>
          <w:p>
            <w:r>
              <w:rPr>
                <w:rFonts w:ascii="Calibri" w:cs="Calibri" w:eastAsia="Calibri" w:hAnsi="Calibri"/>
                <w:color w:val="4A4A4A"/>
                <w:sz w:val="20"/>
                <w:szCs w:val="20"/>
              </w:rPr>
              <w:t xml:space="preserve">Accounts Payable — vendor invoices, payment runs, automatic payment programs, down payments</w:t>
            </w:r>
          </w:p>
        </w:tc>
      </w:tr>
      <w:tr>
        <w:tc>
          <w:tcPr>
            <w:tcW w:type="dxa" w:w="2700"/>
            <w:shd w:fill="FFFFFF" w:color="auto" w:val="clear"/>
          </w:tcPr>
          <w:p>
            <w:r>
              <w:rPr>
                <w:rFonts w:ascii="Calibri" w:cs="Calibri" w:eastAsia="Calibri" w:hAnsi="Calibri"/>
                <w:b/>
                <w:bCs/>
                <w:color w:val="5B2D8E"/>
                <w:sz w:val="20"/>
                <w:szCs w:val="20"/>
              </w:rPr>
              <w:t xml:space="preserve">FI-AA</w:t>
            </w:r>
          </w:p>
        </w:tc>
        <w:tc>
          <w:tcPr>
            <w:tcW w:type="dxa" w:w="6660"/>
            <w:shd w:fill="FFFFFF" w:color="auto" w:val="clear"/>
          </w:tcPr>
          <w:p>
            <w:r>
              <w:rPr>
                <w:rFonts w:ascii="Calibri" w:cs="Calibri" w:eastAsia="Calibri" w:hAnsi="Calibri"/>
                <w:color w:val="4A4A4A"/>
                <w:sz w:val="20"/>
                <w:szCs w:val="20"/>
              </w:rPr>
              <w:t xml:space="preserve">Asset Accounting — fixed assets lifecycle; depreciation; APC (acquisition and production costs)</w:t>
            </w:r>
          </w:p>
        </w:tc>
      </w:tr>
      <w:tr>
        <w:tc>
          <w:tcPr>
            <w:tcW w:type="dxa" w:w="2700"/>
            <w:shd w:fill="F3EEF8" w:color="auto" w:val="clear"/>
          </w:tcPr>
          <w:p>
            <w:r>
              <w:rPr>
                <w:rFonts w:ascii="Calibri" w:cs="Calibri" w:eastAsia="Calibri" w:hAnsi="Calibri"/>
                <w:b/>
                <w:bCs/>
                <w:color w:val="5B2D8E"/>
                <w:sz w:val="20"/>
                <w:szCs w:val="20"/>
              </w:rPr>
              <w:t xml:space="preserve">FI-BL</w:t>
            </w:r>
          </w:p>
        </w:tc>
        <w:tc>
          <w:tcPr>
            <w:tcW w:type="dxa" w:w="6660"/>
            <w:shd w:fill="F3EEF8" w:color="auto" w:val="clear"/>
          </w:tcPr>
          <w:p>
            <w:r>
              <w:rPr>
                <w:rFonts w:ascii="Calibri" w:cs="Calibri" w:eastAsia="Calibri" w:hAnsi="Calibri"/>
                <w:color w:val="4A4A4A"/>
                <w:sz w:val="20"/>
                <w:szCs w:val="20"/>
              </w:rPr>
              <w:t xml:space="preserve">Bank Accounting — house banks, bank statements, electronic bank statement (EBS), cash management</w:t>
            </w:r>
          </w:p>
        </w:tc>
      </w:tr>
      <w:tr>
        <w:tc>
          <w:tcPr>
            <w:tcW w:type="dxa" w:w="2700"/>
            <w:shd w:fill="FFFFFF" w:color="auto" w:val="clear"/>
          </w:tcPr>
          <w:p>
            <w:r>
              <w:rPr>
                <w:rFonts w:ascii="Calibri" w:cs="Calibri" w:eastAsia="Calibri" w:hAnsi="Calibri"/>
                <w:b/>
                <w:bCs/>
                <w:color w:val="5B2D8E"/>
                <w:sz w:val="20"/>
                <w:szCs w:val="20"/>
              </w:rPr>
              <w:t xml:space="preserve">FI-TV</w:t>
            </w:r>
          </w:p>
        </w:tc>
        <w:tc>
          <w:tcPr>
            <w:tcW w:type="dxa" w:w="6660"/>
            <w:shd w:fill="FFFFFF" w:color="auto" w:val="clear"/>
          </w:tcPr>
          <w:p>
            <w:r>
              <w:rPr>
                <w:rFonts w:ascii="Calibri" w:cs="Calibri" w:eastAsia="Calibri" w:hAnsi="Calibri"/>
                <w:color w:val="4A4A4A"/>
                <w:sz w:val="20"/>
                <w:szCs w:val="20"/>
              </w:rPr>
              <w:t xml:space="preserve">Travel Management — employee travel expenses; trip types; settlement; integration with HR payroll</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4.2 Organizational Structure in FI</w:t>
      </w:r>
    </w:p>
    <w:p>
      <w:pPr>
        <w:spacing w:after="60" w:before="60"/>
        <w:jc w:val="both"/>
      </w:pPr>
      <w:r>
        <w:rPr>
          <w:rFonts w:ascii="Calibri" w:cs="Calibri" w:eastAsia="Calibri" w:hAnsi="Calibri"/>
          <w:color w:val="4A4A4A"/>
          <w:sz w:val="22"/>
          <w:szCs w:val="22"/>
        </w:rPr>
        <w:t xml:space="preserve">SAP FI uses a hierarchical organizational structure. Understanding this hierarchy is critical for configuration and data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Element</w:t>
            </w:r>
          </w:p>
        </w:tc>
        <w:tc>
          <w:tcPr>
            <w:tcW w:type="dxa" w:w="6660"/>
            <w:shd w:fill="1565C0"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Client</w:t>
            </w:r>
          </w:p>
        </w:tc>
        <w:tc>
          <w:tcPr>
            <w:tcW w:type="dxa" w:w="6660"/>
            <w:shd w:fill="F3EEF8" w:color="auto" w:val="clear"/>
          </w:tcPr>
          <w:p>
            <w:r>
              <w:rPr>
                <w:rFonts w:ascii="Calibri" w:cs="Calibri" w:eastAsia="Calibri" w:hAnsi="Calibri"/>
                <w:color w:val="4A4A4A"/>
                <w:sz w:val="20"/>
                <w:szCs w:val="20"/>
              </w:rPr>
              <w:t xml:space="preserve">Highest level — entire SAP system; one client = one company group</w:t>
            </w:r>
          </w:p>
        </w:tc>
      </w:tr>
      <w:tr>
        <w:tc>
          <w:tcPr>
            <w:tcW w:type="dxa" w:w="2700"/>
            <w:shd w:fill="FFFFFF" w:color="auto" w:val="clear"/>
          </w:tcPr>
          <w:p>
            <w:r>
              <w:rPr>
                <w:rFonts w:ascii="Calibri" w:cs="Calibri" w:eastAsia="Calibri" w:hAnsi="Calibri"/>
                <w:b/>
                <w:bCs/>
                <w:color w:val="5B2D8E"/>
                <w:sz w:val="20"/>
                <w:szCs w:val="20"/>
              </w:rPr>
              <w:t xml:space="preserve">Company Code</w:t>
            </w:r>
          </w:p>
        </w:tc>
        <w:tc>
          <w:tcPr>
            <w:tcW w:type="dxa" w:w="6660"/>
            <w:shd w:fill="FFFFFF" w:color="auto" w:val="clear"/>
          </w:tcPr>
          <w:p>
            <w:r>
              <w:rPr>
                <w:rFonts w:ascii="Calibri" w:cs="Calibri" w:eastAsia="Calibri" w:hAnsi="Calibri"/>
                <w:color w:val="4A4A4A"/>
                <w:sz w:val="20"/>
                <w:szCs w:val="20"/>
              </w:rPr>
              <w:t xml:space="preserve">Legal entity; produces its own balance sheet and P&amp;L; minimum FI unit (e.g., US01, DE01)</w:t>
            </w:r>
          </w:p>
        </w:tc>
      </w:tr>
      <w:tr>
        <w:tc>
          <w:tcPr>
            <w:tcW w:type="dxa" w:w="2700"/>
            <w:shd w:fill="F3EEF8" w:color="auto" w:val="clear"/>
          </w:tcPr>
          <w:p>
            <w:r>
              <w:rPr>
                <w:rFonts w:ascii="Calibri" w:cs="Calibri" w:eastAsia="Calibri" w:hAnsi="Calibri"/>
                <w:b/>
                <w:bCs/>
                <w:color w:val="5B2D8E"/>
                <w:sz w:val="20"/>
                <w:szCs w:val="20"/>
              </w:rPr>
              <w:t xml:space="preserve">Business Area</w:t>
            </w:r>
          </w:p>
        </w:tc>
        <w:tc>
          <w:tcPr>
            <w:tcW w:type="dxa" w:w="6660"/>
            <w:shd w:fill="F3EEF8" w:color="auto" w:val="clear"/>
          </w:tcPr>
          <w:p>
            <w:r>
              <w:rPr>
                <w:rFonts w:ascii="Calibri" w:cs="Calibri" w:eastAsia="Calibri" w:hAnsi="Calibri"/>
                <w:color w:val="4A4A4A"/>
                <w:sz w:val="20"/>
                <w:szCs w:val="20"/>
              </w:rPr>
              <w:t xml:space="preserve">Optional cross-company code unit for segment reporting</w:t>
            </w:r>
          </w:p>
        </w:tc>
      </w:tr>
      <w:tr>
        <w:tc>
          <w:tcPr>
            <w:tcW w:type="dxa" w:w="2700"/>
            <w:shd w:fill="FFFFFF" w:color="auto" w:val="clear"/>
          </w:tcPr>
          <w:p>
            <w:r>
              <w:rPr>
                <w:rFonts w:ascii="Calibri" w:cs="Calibri" w:eastAsia="Calibri" w:hAnsi="Calibri"/>
                <w:b/>
                <w:bCs/>
                <w:color w:val="5B2D8E"/>
                <w:sz w:val="20"/>
                <w:szCs w:val="20"/>
              </w:rPr>
              <w:t xml:space="preserve">Fiscal Year Variant</w:t>
            </w:r>
          </w:p>
        </w:tc>
        <w:tc>
          <w:tcPr>
            <w:tcW w:type="dxa" w:w="6660"/>
            <w:shd w:fill="FFFFFF" w:color="auto" w:val="clear"/>
          </w:tcPr>
          <w:p>
            <w:r>
              <w:rPr>
                <w:rFonts w:ascii="Calibri" w:cs="Calibri" w:eastAsia="Calibri" w:hAnsi="Calibri"/>
                <w:color w:val="4A4A4A"/>
                <w:sz w:val="20"/>
                <w:szCs w:val="20"/>
              </w:rPr>
              <w:t xml:space="preserve">Defines accounting periods — calendar year, April-March, 4-4-5, etc.</w:t>
            </w:r>
          </w:p>
        </w:tc>
      </w:tr>
      <w:tr>
        <w:tc>
          <w:tcPr>
            <w:tcW w:type="dxa" w:w="2700"/>
            <w:shd w:fill="F3EEF8" w:color="auto" w:val="clear"/>
          </w:tcPr>
          <w:p>
            <w:r>
              <w:rPr>
                <w:rFonts w:ascii="Calibri" w:cs="Calibri" w:eastAsia="Calibri" w:hAnsi="Calibri"/>
                <w:b/>
                <w:bCs/>
                <w:color w:val="5B2D8E"/>
                <w:sz w:val="20"/>
                <w:szCs w:val="20"/>
              </w:rPr>
              <w:t xml:space="preserve">Chart of Accounts</w:t>
            </w:r>
          </w:p>
        </w:tc>
        <w:tc>
          <w:tcPr>
            <w:tcW w:type="dxa" w:w="6660"/>
            <w:shd w:fill="F3EEF8" w:color="auto" w:val="clear"/>
          </w:tcPr>
          <w:p>
            <w:r>
              <w:rPr>
                <w:rFonts w:ascii="Calibri" w:cs="Calibri" w:eastAsia="Calibri" w:hAnsi="Calibri"/>
                <w:color w:val="4A4A4A"/>
                <w:sz w:val="20"/>
                <w:szCs w:val="20"/>
              </w:rPr>
              <w:t xml:space="preserve">List of GL accounts; one chart can serve multiple company codes</w:t>
            </w:r>
          </w:p>
        </w:tc>
      </w:tr>
      <w:tr>
        <w:tc>
          <w:tcPr>
            <w:tcW w:type="dxa" w:w="2700"/>
            <w:shd w:fill="FFFFFF" w:color="auto" w:val="clear"/>
          </w:tcPr>
          <w:p>
            <w:r>
              <w:rPr>
                <w:rFonts w:ascii="Calibri" w:cs="Calibri" w:eastAsia="Calibri" w:hAnsi="Calibri"/>
                <w:b/>
                <w:bCs/>
                <w:color w:val="5B2D8E"/>
                <w:sz w:val="20"/>
                <w:szCs w:val="20"/>
              </w:rPr>
              <w:t xml:space="preserve">Posting Period Variant</w:t>
            </w:r>
          </w:p>
        </w:tc>
        <w:tc>
          <w:tcPr>
            <w:tcW w:type="dxa" w:w="6660"/>
            <w:shd w:fill="FFFFFF" w:color="auto" w:val="clear"/>
          </w:tcPr>
          <w:p>
            <w:r>
              <w:rPr>
                <w:rFonts w:ascii="Calibri" w:cs="Calibri" w:eastAsia="Calibri" w:hAnsi="Calibri"/>
                <w:color w:val="4A4A4A"/>
                <w:sz w:val="20"/>
                <w:szCs w:val="20"/>
              </w:rPr>
              <w:t xml:space="preserve">Controls which periods are open/closed for posting</w:t>
            </w:r>
          </w:p>
        </w:tc>
      </w:tr>
      <w:tr>
        <w:tc>
          <w:tcPr>
            <w:tcW w:type="dxa" w:w="2700"/>
            <w:shd w:fill="F3EEF8" w:color="auto" w:val="clear"/>
          </w:tcPr>
          <w:p>
            <w:r>
              <w:rPr>
                <w:rFonts w:ascii="Calibri" w:cs="Calibri" w:eastAsia="Calibri" w:hAnsi="Calibri"/>
                <w:b/>
                <w:bCs/>
                <w:color w:val="5B2D8E"/>
                <w:sz w:val="20"/>
                <w:szCs w:val="20"/>
              </w:rPr>
              <w:t xml:space="preserve">Controlling Area</w:t>
            </w:r>
          </w:p>
        </w:tc>
        <w:tc>
          <w:tcPr>
            <w:tcW w:type="dxa" w:w="6660"/>
            <w:shd w:fill="F3EEF8" w:color="auto" w:val="clear"/>
          </w:tcPr>
          <w:p>
            <w:r>
              <w:rPr>
                <w:rFonts w:ascii="Calibri" w:cs="Calibri" w:eastAsia="Calibri" w:hAnsi="Calibri"/>
                <w:color w:val="4A4A4A"/>
                <w:sz w:val="20"/>
                <w:szCs w:val="20"/>
              </w:rPr>
              <w:t xml:space="preserve">Links to CO; one controlling area can span multiple company codes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4.3 Key FI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Process</w:t>
            </w:r>
          </w:p>
        </w:tc>
        <w:tc>
          <w:tcPr>
            <w:tcW w:type="dxa" w:w="6660"/>
            <w:shd w:fill="1565C0"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Month-End Close</w:t>
            </w:r>
          </w:p>
        </w:tc>
        <w:tc>
          <w:tcPr>
            <w:tcW w:type="dxa" w:w="6660"/>
            <w:shd w:fill="F3EEF8" w:color="auto" w:val="clear"/>
          </w:tcPr>
          <w:p>
            <w:r>
              <w:rPr>
                <w:rFonts w:ascii="Calibri" w:cs="Calibri" w:eastAsia="Calibri" w:hAnsi="Calibri"/>
                <w:color w:val="4A4A4A"/>
                <w:sz w:val="20"/>
                <w:szCs w:val="20"/>
              </w:rPr>
              <w:t xml:space="preserve">Period-end activities: GR/IR clearing, depreciation run (AFAB), foreign currency revaluation (FAGL_FC_VAL), balance carryforward</w:t>
            </w:r>
          </w:p>
        </w:tc>
      </w:tr>
      <w:tr>
        <w:tc>
          <w:tcPr>
            <w:tcW w:type="dxa" w:w="2700"/>
            <w:shd w:fill="FFFFFF" w:color="auto" w:val="clear"/>
          </w:tcPr>
          <w:p>
            <w:r>
              <w:rPr>
                <w:rFonts w:ascii="Calibri" w:cs="Calibri" w:eastAsia="Calibri" w:hAnsi="Calibri"/>
                <w:b/>
                <w:bCs/>
                <w:color w:val="5B2D8E"/>
                <w:sz w:val="20"/>
                <w:szCs w:val="20"/>
              </w:rPr>
              <w:t xml:space="preserve">Payment Run (F110)</w:t>
            </w:r>
          </w:p>
        </w:tc>
        <w:tc>
          <w:tcPr>
            <w:tcW w:type="dxa" w:w="6660"/>
            <w:shd w:fill="FFFFFF" w:color="auto" w:val="clear"/>
          </w:tcPr>
          <w:p>
            <w:r>
              <w:rPr>
                <w:rFonts w:ascii="Calibri" w:cs="Calibri" w:eastAsia="Calibri" w:hAnsi="Calibri"/>
                <w:color w:val="4A4A4A"/>
                <w:sz w:val="20"/>
                <w:szCs w:val="20"/>
              </w:rPr>
              <w:t xml:space="preserve">Automatic payment program; selects open items due; creates payment files; posts clearing documents</w:t>
            </w:r>
          </w:p>
        </w:tc>
      </w:tr>
      <w:tr>
        <w:tc>
          <w:tcPr>
            <w:tcW w:type="dxa" w:w="2700"/>
            <w:shd w:fill="F3EEF8" w:color="auto" w:val="clear"/>
          </w:tcPr>
          <w:p>
            <w:r>
              <w:rPr>
                <w:rFonts w:ascii="Calibri" w:cs="Calibri" w:eastAsia="Calibri" w:hAnsi="Calibri"/>
                <w:b/>
                <w:bCs/>
                <w:color w:val="5B2D8E"/>
                <w:sz w:val="20"/>
                <w:szCs w:val="20"/>
              </w:rPr>
              <w:t xml:space="preserve">Dunning (F150)</w:t>
            </w:r>
          </w:p>
        </w:tc>
        <w:tc>
          <w:tcPr>
            <w:tcW w:type="dxa" w:w="6660"/>
            <w:shd w:fill="F3EEF8" w:color="auto" w:val="clear"/>
          </w:tcPr>
          <w:p>
            <w:r>
              <w:rPr>
                <w:rFonts w:ascii="Calibri" w:cs="Calibri" w:eastAsia="Calibri" w:hAnsi="Calibri"/>
                <w:color w:val="4A4A4A"/>
                <w:sz w:val="20"/>
                <w:szCs w:val="20"/>
              </w:rPr>
              <w:t xml:space="preserve">Reminder letters for overdue customer invoices; multiple dunning levels with escalating severity</w:t>
            </w:r>
          </w:p>
        </w:tc>
      </w:tr>
      <w:tr>
        <w:tc>
          <w:tcPr>
            <w:tcW w:type="dxa" w:w="2700"/>
            <w:shd w:fill="FFFFFF" w:color="auto" w:val="clear"/>
          </w:tcPr>
          <w:p>
            <w:r>
              <w:rPr>
                <w:rFonts w:ascii="Calibri" w:cs="Calibri" w:eastAsia="Calibri" w:hAnsi="Calibri"/>
                <w:b/>
                <w:bCs/>
                <w:color w:val="5B2D8E"/>
                <w:sz w:val="20"/>
                <w:szCs w:val="20"/>
              </w:rPr>
              <w:t xml:space="preserve">Bank Reconciliation</w:t>
            </w:r>
          </w:p>
        </w:tc>
        <w:tc>
          <w:tcPr>
            <w:tcW w:type="dxa" w:w="6660"/>
            <w:shd w:fill="FFFFFF" w:color="auto" w:val="clear"/>
          </w:tcPr>
          <w:p>
            <w:r>
              <w:rPr>
                <w:rFonts w:ascii="Calibri" w:cs="Calibri" w:eastAsia="Calibri" w:hAnsi="Calibri"/>
                <w:color w:val="4A4A4A"/>
                <w:sz w:val="20"/>
                <w:szCs w:val="20"/>
              </w:rPr>
              <w:t xml:space="preserve">Electronic bank statement (EBS) matching: FF.5 import; FEBAN manual processing; automatic clearing</w:t>
            </w:r>
          </w:p>
        </w:tc>
      </w:tr>
      <w:tr>
        <w:tc>
          <w:tcPr>
            <w:tcW w:type="dxa" w:w="2700"/>
            <w:shd w:fill="F3EEF8" w:color="auto" w:val="clear"/>
          </w:tcPr>
          <w:p>
            <w:r>
              <w:rPr>
                <w:rFonts w:ascii="Calibri" w:cs="Calibri" w:eastAsia="Calibri" w:hAnsi="Calibri"/>
                <w:b/>
                <w:bCs/>
                <w:color w:val="5B2D8E"/>
                <w:sz w:val="20"/>
                <w:szCs w:val="20"/>
              </w:rPr>
              <w:t xml:space="preserve">Document Splitting</w:t>
            </w:r>
          </w:p>
        </w:tc>
        <w:tc>
          <w:tcPr>
            <w:tcW w:type="dxa" w:w="6660"/>
            <w:shd w:fill="F3EEF8" w:color="auto" w:val="clear"/>
          </w:tcPr>
          <w:p>
            <w:r>
              <w:rPr>
                <w:rFonts w:ascii="Calibri" w:cs="Calibri" w:eastAsia="Calibri" w:hAnsi="Calibri"/>
                <w:color w:val="4A4A4A"/>
                <w:sz w:val="20"/>
                <w:szCs w:val="20"/>
              </w:rPr>
              <w:t xml:space="preserve">S/4HANA feature: splits accounting documents by profit center/segment for balance sheet per segment</w:t>
            </w:r>
          </w:p>
        </w:tc>
      </w:tr>
      <w:tr>
        <w:tc>
          <w:tcPr>
            <w:tcW w:type="dxa" w:w="2700"/>
            <w:shd w:fill="FFFFFF" w:color="auto" w:val="clear"/>
          </w:tcPr>
          <w:p>
            <w:r>
              <w:rPr>
                <w:rFonts w:ascii="Calibri" w:cs="Calibri" w:eastAsia="Calibri" w:hAnsi="Calibri"/>
                <w:b/>
                <w:bCs/>
                <w:color w:val="5B2D8E"/>
                <w:sz w:val="20"/>
                <w:szCs w:val="20"/>
              </w:rPr>
              <w:t xml:space="preserve">Intercompany Posting</w:t>
            </w:r>
          </w:p>
        </w:tc>
        <w:tc>
          <w:tcPr>
            <w:tcW w:type="dxa" w:w="6660"/>
            <w:shd w:fill="FFFFFF" w:color="auto" w:val="clear"/>
          </w:tcPr>
          <w:p>
            <w:r>
              <w:rPr>
                <w:rFonts w:ascii="Calibri" w:cs="Calibri" w:eastAsia="Calibri" w:hAnsi="Calibri"/>
                <w:color w:val="4A4A4A"/>
                <w:sz w:val="20"/>
                <w:szCs w:val="20"/>
              </w:rPr>
              <w:t xml:space="preserve">FI documents between company codes; automatic intercompany payable/receivable creation</w:t>
            </w:r>
          </w:p>
        </w:tc>
      </w:tr>
    </w:tbl>
    <w:p>
      <w:pPr>
        <w:spacing w:after="0" w:before="0"/>
      </w:pPr>
      <w:r>
        <w:rPr>
          <w:sz w:val="100"/>
          <w:szCs w:val="10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thick" w:color="5B2D8E" w:sz="12"/>
              <w:bottom w:val="none"/>
              <w:right w:val="none"/>
            </w:tcBorders>
            <w:shd w:fill="EDE7F6" w:color="auto" w:val="clear"/>
          </w:tcPr>
          <w:p>
            <w:pPr>
              <w:spacing w:after="80" w:before="80"/>
            </w:pPr>
            <w:r>
              <w:rPr>
                <w:rFonts w:ascii="Calibri" w:cs="Calibri" w:eastAsia="Calibri" w:hAnsi="Calibri"/>
                <w:i/>
                <w:iCs/>
                <w:color w:val="1A1A2E"/>
                <w:sz w:val="21"/>
                <w:szCs w:val="21"/>
              </w:rPr>
              <w:t xml:space="preserve">Universal Journal (ACDOCA): In S/4HANA, all financial postings — FI, CO, ML, AA — write to the single ACDOCA table. This eliminates reconciliation between FI and CO and enables real-time financial reporting without data replication.</w:t>
            </w:r>
          </w:p>
        </w:tc>
      </w:tr>
    </w:tbl>
    <w:p>
      <w:r>
        <w:br w:type="page"/>
      </w:r>
    </w:p>
    <w:p>
      <w:pPr>
        <w:pStyle w:val="Heading1"/>
        <w:spacing w:after="120" w:before="400"/>
      </w:pPr>
      <w:r>
        <w:rPr>
          <w:rFonts w:ascii="Calibri" w:cs="Calibri" w:eastAsia="Calibri" w:hAnsi="Calibri"/>
          <w:b/>
          <w:bCs/>
          <w:color w:val="5B2D8E"/>
          <w:sz w:val="44"/>
          <w:szCs w:val="44"/>
        </w:rPr>
        <w:t xml:space="preserve">Chapter 5: Controlling (CO)</w:t>
      </w:r>
    </w:p>
    <w:p>
      <w:pPr>
        <w:pStyle w:val="Heading2"/>
        <w:spacing w:after="120" w:before="300"/>
      </w:pPr>
      <w:r>
        <w:rPr>
          <w:rFonts w:ascii="Calibri" w:cs="Calibri" w:eastAsia="Calibri" w:hAnsi="Calibri"/>
          <w:b/>
          <w:bCs/>
          <w:color w:val="1565C0"/>
          <w:sz w:val="36"/>
          <w:szCs w:val="36"/>
        </w:rPr>
        <w:t xml:space="preserve">5.1 CO Module Overview</w:t>
      </w:r>
    </w:p>
    <w:p>
      <w:pPr>
        <w:spacing w:after="60" w:before="60"/>
        <w:jc w:val="both"/>
      </w:pPr>
      <w:r>
        <w:rPr>
          <w:rFonts w:ascii="Calibri" w:cs="Calibri" w:eastAsia="Calibri" w:hAnsi="Calibri"/>
          <w:color w:val="4A4A4A"/>
          <w:sz w:val="22"/>
          <w:szCs w:val="22"/>
        </w:rPr>
        <w:t xml:space="preserve">SAP Controlling (CO) handles internal cost management and profitability analysis. While FI addresses external reporting, CO focuses on providing management with internal cost information to support business decisions. CO is tightly integrated with FI, MM, PP, SD, and 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2E7D32" w:color="auto" w:val="clear"/>
          </w:tcPr>
          <w:p>
            <w:r>
              <w:rPr>
                <w:rFonts w:ascii="Calibri" w:cs="Calibri" w:eastAsia="Calibri" w:hAnsi="Calibri"/>
                <w:b/>
                <w:bCs/>
                <w:color w:val="FFFFFF"/>
                <w:sz w:val="20"/>
                <w:szCs w:val="20"/>
              </w:rPr>
              <w:t xml:space="preserve">Sub-Module</w:t>
            </w:r>
          </w:p>
        </w:tc>
        <w:tc>
          <w:tcPr>
            <w:tcW w:type="dxa" w:w="6660"/>
            <w:shd w:fill="2E7D32" w:color="auto" w:val="clear"/>
          </w:tcPr>
          <w:p>
            <w:r>
              <w:rPr>
                <w:rFonts w:ascii="Calibri" w:cs="Calibri" w:eastAsia="Calibri" w:hAnsi="Calibri"/>
                <w:b/>
                <w:bCs/>
                <w:color w:val="FFFFFF"/>
                <w:sz w:val="20"/>
                <w:szCs w:val="20"/>
              </w:rPr>
              <w:t xml:space="preserve">Function</w:t>
            </w:r>
          </w:p>
        </w:tc>
      </w:tr>
      <w:tr>
        <w:tc>
          <w:tcPr>
            <w:tcW w:type="dxa" w:w="2700"/>
            <w:shd w:fill="F3EEF8" w:color="auto" w:val="clear"/>
          </w:tcPr>
          <w:p>
            <w:r>
              <w:rPr>
                <w:rFonts w:ascii="Calibri" w:cs="Calibri" w:eastAsia="Calibri" w:hAnsi="Calibri"/>
                <w:b/>
                <w:bCs/>
                <w:color w:val="5B2D8E"/>
                <w:sz w:val="20"/>
                <w:szCs w:val="20"/>
              </w:rPr>
              <w:t xml:space="preserve">CO-CCA</w:t>
            </w:r>
          </w:p>
        </w:tc>
        <w:tc>
          <w:tcPr>
            <w:tcW w:type="dxa" w:w="6660"/>
            <w:shd w:fill="F3EEF8" w:color="auto" w:val="clear"/>
          </w:tcPr>
          <w:p>
            <w:r>
              <w:rPr>
                <w:rFonts w:ascii="Calibri" w:cs="Calibri" w:eastAsia="Calibri" w:hAnsi="Calibri"/>
                <w:color w:val="4A4A4A"/>
                <w:sz w:val="20"/>
                <w:szCs w:val="20"/>
              </w:rPr>
              <w:t xml:space="preserve">Cost Center Accounting — track costs by organizational unit (department, plant)</w:t>
            </w:r>
          </w:p>
        </w:tc>
      </w:tr>
      <w:tr>
        <w:tc>
          <w:tcPr>
            <w:tcW w:type="dxa" w:w="2700"/>
            <w:shd w:fill="FFFFFF" w:color="auto" w:val="clear"/>
          </w:tcPr>
          <w:p>
            <w:r>
              <w:rPr>
                <w:rFonts w:ascii="Calibri" w:cs="Calibri" w:eastAsia="Calibri" w:hAnsi="Calibri"/>
                <w:b/>
                <w:bCs/>
                <w:color w:val="5B2D8E"/>
                <w:sz w:val="20"/>
                <w:szCs w:val="20"/>
              </w:rPr>
              <w:t xml:space="preserve">CO-IO</w:t>
            </w:r>
          </w:p>
        </w:tc>
        <w:tc>
          <w:tcPr>
            <w:tcW w:type="dxa" w:w="6660"/>
            <w:shd w:fill="FFFFFF" w:color="auto" w:val="clear"/>
          </w:tcPr>
          <w:p>
            <w:r>
              <w:rPr>
                <w:rFonts w:ascii="Calibri" w:cs="Calibri" w:eastAsia="Calibri" w:hAnsi="Calibri"/>
                <w:color w:val="4A4A4A"/>
                <w:sz w:val="20"/>
                <w:szCs w:val="20"/>
              </w:rPr>
              <w:t xml:space="preserve">Internal Orders — collect costs for specific jobs, projects, or assets under construction</w:t>
            </w:r>
          </w:p>
        </w:tc>
      </w:tr>
      <w:tr>
        <w:tc>
          <w:tcPr>
            <w:tcW w:type="dxa" w:w="2700"/>
            <w:shd w:fill="F3EEF8" w:color="auto" w:val="clear"/>
          </w:tcPr>
          <w:p>
            <w:r>
              <w:rPr>
                <w:rFonts w:ascii="Calibri" w:cs="Calibri" w:eastAsia="Calibri" w:hAnsi="Calibri"/>
                <w:b/>
                <w:bCs/>
                <w:color w:val="5B2D8E"/>
                <w:sz w:val="20"/>
                <w:szCs w:val="20"/>
              </w:rPr>
              <w:t xml:space="preserve">CO-PC</w:t>
            </w:r>
          </w:p>
        </w:tc>
        <w:tc>
          <w:tcPr>
            <w:tcW w:type="dxa" w:w="6660"/>
            <w:shd w:fill="F3EEF8" w:color="auto" w:val="clear"/>
          </w:tcPr>
          <w:p>
            <w:r>
              <w:rPr>
                <w:rFonts w:ascii="Calibri" w:cs="Calibri" w:eastAsia="Calibri" w:hAnsi="Calibri"/>
                <w:color w:val="4A4A4A"/>
                <w:sz w:val="20"/>
                <w:szCs w:val="20"/>
              </w:rPr>
              <w:t xml:space="preserve">Product Cost Controlling — cost of goods manufactured; standard vs. actual cost analysis</w:t>
            </w:r>
          </w:p>
        </w:tc>
      </w:tr>
      <w:tr>
        <w:tc>
          <w:tcPr>
            <w:tcW w:type="dxa" w:w="2700"/>
            <w:shd w:fill="FFFFFF" w:color="auto" w:val="clear"/>
          </w:tcPr>
          <w:p>
            <w:r>
              <w:rPr>
                <w:rFonts w:ascii="Calibri" w:cs="Calibri" w:eastAsia="Calibri" w:hAnsi="Calibri"/>
                <w:b/>
                <w:bCs/>
                <w:color w:val="5B2D8E"/>
                <w:sz w:val="20"/>
                <w:szCs w:val="20"/>
              </w:rPr>
              <w:t xml:space="preserve">CO-PA</w:t>
            </w:r>
          </w:p>
        </w:tc>
        <w:tc>
          <w:tcPr>
            <w:tcW w:type="dxa" w:w="6660"/>
            <w:shd w:fill="FFFFFF" w:color="auto" w:val="clear"/>
          </w:tcPr>
          <w:p>
            <w:r>
              <w:rPr>
                <w:rFonts w:ascii="Calibri" w:cs="Calibri" w:eastAsia="Calibri" w:hAnsi="Calibri"/>
                <w:color w:val="4A4A4A"/>
                <w:sz w:val="20"/>
                <w:szCs w:val="20"/>
              </w:rPr>
              <w:t xml:space="preserve">Profitability Analysis — analyze profit by customer, product, region, sales channel</w:t>
            </w:r>
          </w:p>
        </w:tc>
      </w:tr>
      <w:tr>
        <w:tc>
          <w:tcPr>
            <w:tcW w:type="dxa" w:w="2700"/>
            <w:shd w:fill="F3EEF8" w:color="auto" w:val="clear"/>
          </w:tcPr>
          <w:p>
            <w:r>
              <w:rPr>
                <w:rFonts w:ascii="Calibri" w:cs="Calibri" w:eastAsia="Calibri" w:hAnsi="Calibri"/>
                <w:b/>
                <w:bCs/>
                <w:color w:val="5B2D8E"/>
                <w:sz w:val="20"/>
                <w:szCs w:val="20"/>
              </w:rPr>
              <w:t xml:space="preserve">CO-PCA</w:t>
            </w:r>
          </w:p>
        </w:tc>
        <w:tc>
          <w:tcPr>
            <w:tcW w:type="dxa" w:w="6660"/>
            <w:shd w:fill="F3EEF8" w:color="auto" w:val="clear"/>
          </w:tcPr>
          <w:p>
            <w:r>
              <w:rPr>
                <w:rFonts w:ascii="Calibri" w:cs="Calibri" w:eastAsia="Calibri" w:hAnsi="Calibri"/>
                <w:color w:val="4A4A4A"/>
                <w:sz w:val="20"/>
                <w:szCs w:val="20"/>
              </w:rPr>
              <w:t xml:space="preserve">Profit Center Accounting — decentralized profit/loss reporting by business segment</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5.2 Cost Center Accounting</w:t>
      </w:r>
    </w:p>
    <w:p>
      <w:pPr>
        <w:spacing w:after="60" w:before="60"/>
        <w:jc w:val="both"/>
      </w:pPr>
      <w:r>
        <w:rPr>
          <w:rFonts w:ascii="Calibri" w:cs="Calibri" w:eastAsia="Calibri" w:hAnsi="Calibri"/>
          <w:color w:val="4A4A4A"/>
          <w:sz w:val="22"/>
          <w:szCs w:val="22"/>
        </w:rPr>
        <w:t xml:space="preserve">Cost Centers represent organizational units where costs are incurred. They are the primary cost collection object in CO-CCA. Each cost center belongs to a cost center hierarchy, and costs are periodically allocated or distributed to other cost centers or profitability segments.</w:t>
      </w:r>
    </w:p>
    <w:p>
      <w:pPr>
        <w:pStyle w:val="ListParagraph"/>
        <w:numPr>
          <w:ilvl w:val="0"/>
          <w:numId w:val="2"/>
        </w:numPr>
        <w:spacing w:after="40" w:before="40"/>
      </w:pPr>
      <w:r>
        <w:rPr>
          <w:rFonts w:ascii="Calibri" w:cs="Calibri" w:eastAsia="Calibri" w:hAnsi="Calibri"/>
          <w:color w:val="4A4A4A"/>
          <w:sz w:val="22"/>
          <w:szCs w:val="22"/>
        </w:rPr>
        <w:t xml:space="preserve">Standard Hierarchy: Required tree structure; every cost center must be assigned to it</w:t>
      </w:r>
    </w:p>
    <w:p>
      <w:pPr>
        <w:pStyle w:val="ListParagraph"/>
        <w:numPr>
          <w:ilvl w:val="0"/>
          <w:numId w:val="2"/>
        </w:numPr>
        <w:spacing w:after="40" w:before="40"/>
      </w:pPr>
      <w:r>
        <w:rPr>
          <w:rFonts w:ascii="Calibri" w:cs="Calibri" w:eastAsia="Calibri" w:hAnsi="Calibri"/>
          <w:color w:val="4A4A4A"/>
          <w:sz w:val="22"/>
          <w:szCs w:val="22"/>
        </w:rPr>
        <w:t xml:space="preserve">Cost Element: GL account used in CO for cost classification (primary vs. secondary cost elements)</w:t>
      </w:r>
    </w:p>
    <w:p>
      <w:pPr>
        <w:pStyle w:val="ListParagraph"/>
        <w:numPr>
          <w:ilvl w:val="0"/>
          <w:numId w:val="2"/>
        </w:numPr>
        <w:spacing w:after="40" w:before="40"/>
      </w:pPr>
      <w:r>
        <w:rPr>
          <w:rFonts w:ascii="Calibri" w:cs="Calibri" w:eastAsia="Calibri" w:hAnsi="Calibri"/>
          <w:color w:val="4A4A4A"/>
          <w:sz w:val="22"/>
          <w:szCs w:val="22"/>
        </w:rPr>
        <w:t xml:space="preserve">Statistical Key Figures (SKF): Non-monetary data (headcount, sq. ft.) used as allocation bases</w:t>
      </w:r>
    </w:p>
    <w:p>
      <w:pPr>
        <w:pStyle w:val="ListParagraph"/>
        <w:numPr>
          <w:ilvl w:val="0"/>
          <w:numId w:val="2"/>
        </w:numPr>
        <w:spacing w:after="40" w:before="40"/>
      </w:pPr>
      <w:r>
        <w:rPr>
          <w:rFonts w:ascii="Calibri" w:cs="Calibri" w:eastAsia="Calibri" w:hAnsi="Calibri"/>
          <w:color w:val="4A4A4A"/>
          <w:sz w:val="22"/>
          <w:szCs w:val="22"/>
        </w:rPr>
        <w:t xml:space="preserve">Assessment Cycle: Allocates costs using secondary cost elements — internal charging</w:t>
      </w:r>
    </w:p>
    <w:p>
      <w:pPr>
        <w:pStyle w:val="ListParagraph"/>
        <w:numPr>
          <w:ilvl w:val="0"/>
          <w:numId w:val="2"/>
        </w:numPr>
        <w:spacing w:after="40" w:before="40"/>
      </w:pPr>
      <w:r>
        <w:rPr>
          <w:rFonts w:ascii="Calibri" w:cs="Calibri" w:eastAsia="Calibri" w:hAnsi="Calibri"/>
          <w:color w:val="4A4A4A"/>
          <w:sz w:val="22"/>
          <w:szCs w:val="22"/>
        </w:rPr>
        <w:t xml:space="preserve">Distribution Cycle: Allocates costs using original primary cost elements — line-item transparency</w:t>
      </w:r>
    </w:p>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5.3 Product Cost Controlling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2E7D32" w:color="auto" w:val="clear"/>
          </w:tcPr>
          <w:p>
            <w:r>
              <w:rPr>
                <w:rFonts w:ascii="Calibri" w:cs="Calibri" w:eastAsia="Calibri" w:hAnsi="Calibri"/>
                <w:b/>
                <w:bCs/>
                <w:color w:val="FFFFFF"/>
                <w:sz w:val="20"/>
                <w:szCs w:val="20"/>
              </w:rPr>
              <w:t xml:space="preserve">Component</w:t>
            </w:r>
          </w:p>
        </w:tc>
        <w:tc>
          <w:tcPr>
            <w:tcW w:type="dxa" w:w="6660"/>
            <w:shd w:fill="2E7D32" w:color="auto" w:val="clear"/>
          </w:tcPr>
          <w:p>
            <w:r>
              <w:rPr>
                <w:rFonts w:ascii="Calibri" w:cs="Calibri" w:eastAsia="Calibri" w:hAnsi="Calibri"/>
                <w:b/>
                <w:bCs/>
                <w:color w:val="FFFFFF"/>
                <w:sz w:val="20"/>
                <w:szCs w:val="20"/>
              </w:rPr>
              <w:t xml:space="preserve">Function</w:t>
            </w:r>
          </w:p>
        </w:tc>
      </w:tr>
      <w:tr>
        <w:tc>
          <w:tcPr>
            <w:tcW w:type="dxa" w:w="2700"/>
            <w:shd w:fill="F3EEF8" w:color="auto" w:val="clear"/>
          </w:tcPr>
          <w:p>
            <w:r>
              <w:rPr>
                <w:rFonts w:ascii="Calibri" w:cs="Calibri" w:eastAsia="Calibri" w:hAnsi="Calibri"/>
                <w:b/>
                <w:bCs/>
                <w:color w:val="5B2D8E"/>
                <w:sz w:val="20"/>
                <w:szCs w:val="20"/>
              </w:rPr>
              <w:t xml:space="preserve">Standard Cost Estimate</w:t>
            </w:r>
          </w:p>
        </w:tc>
        <w:tc>
          <w:tcPr>
            <w:tcW w:type="dxa" w:w="6660"/>
            <w:shd w:fill="F3EEF8" w:color="auto" w:val="clear"/>
          </w:tcPr>
          <w:p>
            <w:r>
              <w:rPr>
                <w:rFonts w:ascii="Calibri" w:cs="Calibri" w:eastAsia="Calibri" w:hAnsi="Calibri"/>
                <w:color w:val="4A4A4A"/>
                <w:sz w:val="20"/>
                <w:szCs w:val="20"/>
              </w:rPr>
              <w:t xml:space="preserve">Calculates planned cost of manufacturing a product; basis for inventory valuation</w:t>
            </w:r>
          </w:p>
        </w:tc>
      </w:tr>
      <w:tr>
        <w:tc>
          <w:tcPr>
            <w:tcW w:type="dxa" w:w="2700"/>
            <w:shd w:fill="FFFFFF" w:color="auto" w:val="clear"/>
          </w:tcPr>
          <w:p>
            <w:r>
              <w:rPr>
                <w:rFonts w:ascii="Calibri" w:cs="Calibri" w:eastAsia="Calibri" w:hAnsi="Calibri"/>
                <w:b/>
                <w:bCs/>
                <w:color w:val="5B2D8E"/>
                <w:sz w:val="20"/>
                <w:szCs w:val="20"/>
              </w:rPr>
              <w:t xml:space="preserve">Product Cost Collector</w:t>
            </w:r>
          </w:p>
        </w:tc>
        <w:tc>
          <w:tcPr>
            <w:tcW w:type="dxa" w:w="6660"/>
            <w:shd w:fill="FFFFFF" w:color="auto" w:val="clear"/>
          </w:tcPr>
          <w:p>
            <w:r>
              <w:rPr>
                <w:rFonts w:ascii="Calibri" w:cs="Calibri" w:eastAsia="Calibri" w:hAnsi="Calibri"/>
                <w:color w:val="4A4A4A"/>
                <w:sz w:val="20"/>
                <w:szCs w:val="20"/>
              </w:rPr>
              <w:t xml:space="preserve">Collects actual production costs for repetitive manufacturing</w:t>
            </w:r>
          </w:p>
        </w:tc>
      </w:tr>
      <w:tr>
        <w:tc>
          <w:tcPr>
            <w:tcW w:type="dxa" w:w="2700"/>
            <w:shd w:fill="F3EEF8" w:color="auto" w:val="clear"/>
          </w:tcPr>
          <w:p>
            <w:r>
              <w:rPr>
                <w:rFonts w:ascii="Calibri" w:cs="Calibri" w:eastAsia="Calibri" w:hAnsi="Calibri"/>
                <w:b/>
                <w:bCs/>
                <w:color w:val="5B2D8E"/>
                <w:sz w:val="20"/>
                <w:szCs w:val="20"/>
              </w:rPr>
              <w:t xml:space="preserve">Production Order Settlement</w:t>
            </w:r>
          </w:p>
        </w:tc>
        <w:tc>
          <w:tcPr>
            <w:tcW w:type="dxa" w:w="6660"/>
            <w:shd w:fill="F3EEF8" w:color="auto" w:val="clear"/>
          </w:tcPr>
          <w:p>
            <w:r>
              <w:rPr>
                <w:rFonts w:ascii="Calibri" w:cs="Calibri" w:eastAsia="Calibri" w:hAnsi="Calibri"/>
                <w:color w:val="4A4A4A"/>
                <w:sz w:val="20"/>
                <w:szCs w:val="20"/>
              </w:rPr>
              <w:t xml:space="preserve">Settles actual costs to stock or profitability segment at period end</w:t>
            </w:r>
          </w:p>
        </w:tc>
      </w:tr>
      <w:tr>
        <w:tc>
          <w:tcPr>
            <w:tcW w:type="dxa" w:w="2700"/>
            <w:shd w:fill="FFFFFF" w:color="auto" w:val="clear"/>
          </w:tcPr>
          <w:p>
            <w:r>
              <w:rPr>
                <w:rFonts w:ascii="Calibri" w:cs="Calibri" w:eastAsia="Calibri" w:hAnsi="Calibri"/>
                <w:b/>
                <w:bCs/>
                <w:color w:val="5B2D8E"/>
                <w:sz w:val="20"/>
                <w:szCs w:val="20"/>
              </w:rPr>
              <w:t xml:space="preserve">Variance Analysis</w:t>
            </w:r>
          </w:p>
        </w:tc>
        <w:tc>
          <w:tcPr>
            <w:tcW w:type="dxa" w:w="6660"/>
            <w:shd w:fill="FFFFFF" w:color="auto" w:val="clear"/>
          </w:tcPr>
          <w:p>
            <w:r>
              <w:rPr>
                <w:rFonts w:ascii="Calibri" w:cs="Calibri" w:eastAsia="Calibri" w:hAnsi="Calibri"/>
                <w:color w:val="4A4A4A"/>
                <w:sz w:val="20"/>
                <w:szCs w:val="20"/>
              </w:rPr>
              <w:t xml:space="preserve">Compares standard vs. actual cost; categorizes variances (price, quantity, efficiency)</w:t>
            </w:r>
          </w:p>
        </w:tc>
      </w:tr>
      <w:tr>
        <w:tc>
          <w:tcPr>
            <w:tcW w:type="dxa" w:w="2700"/>
            <w:shd w:fill="F3EEF8" w:color="auto" w:val="clear"/>
          </w:tcPr>
          <w:p>
            <w:r>
              <w:rPr>
                <w:rFonts w:ascii="Calibri" w:cs="Calibri" w:eastAsia="Calibri" w:hAnsi="Calibri"/>
                <w:b/>
                <w:bCs/>
                <w:color w:val="5B2D8E"/>
                <w:sz w:val="20"/>
                <w:szCs w:val="20"/>
              </w:rPr>
              <w:t xml:space="preserve">Material Ledger</w:t>
            </w:r>
          </w:p>
        </w:tc>
        <w:tc>
          <w:tcPr>
            <w:tcW w:type="dxa" w:w="6660"/>
            <w:shd w:fill="F3EEF8" w:color="auto" w:val="clear"/>
          </w:tcPr>
          <w:p>
            <w:r>
              <w:rPr>
                <w:rFonts w:ascii="Calibri" w:cs="Calibri" w:eastAsia="Calibri" w:hAnsi="Calibri"/>
                <w:color w:val="4A4A4A"/>
                <w:sz w:val="20"/>
                <w:szCs w:val="20"/>
              </w:rPr>
              <w:t xml:space="preserve">Multi-currency/multi-valuation; actual costing; periodic price revaluation of stock</w:t>
            </w:r>
          </w:p>
        </w:tc>
      </w:tr>
    </w:tbl>
    <w:p>
      <w:r>
        <w:br w:type="page"/>
      </w:r>
    </w:p>
    <w:p>
      <w:pPr>
        <w:pStyle w:val="Heading1"/>
        <w:spacing w:after="120" w:before="400"/>
      </w:pPr>
      <w:r>
        <w:rPr>
          <w:rFonts w:ascii="Calibri" w:cs="Calibri" w:eastAsia="Calibri" w:hAnsi="Calibri"/>
          <w:b/>
          <w:bCs/>
          <w:color w:val="5B2D8E"/>
          <w:sz w:val="44"/>
          <w:szCs w:val="44"/>
        </w:rPr>
        <w:t xml:space="preserve">Chapter 6: Asset Accounting &amp; Treasury</w:t>
      </w:r>
    </w:p>
    <w:p>
      <w:pPr>
        <w:pStyle w:val="Heading2"/>
        <w:spacing w:after="120" w:before="300"/>
      </w:pPr>
      <w:r>
        <w:rPr>
          <w:rFonts w:ascii="Calibri" w:cs="Calibri" w:eastAsia="Calibri" w:hAnsi="Calibri"/>
          <w:b/>
          <w:bCs/>
          <w:color w:val="1565C0"/>
          <w:sz w:val="36"/>
          <w:szCs w:val="36"/>
        </w:rPr>
        <w:t xml:space="preserve">6.1 Asset Accounting (FI-AA)</w:t>
      </w:r>
    </w:p>
    <w:p>
      <w:pPr>
        <w:spacing w:after="60" w:before="60"/>
        <w:jc w:val="both"/>
      </w:pPr>
      <w:r>
        <w:rPr>
          <w:rFonts w:ascii="Calibri" w:cs="Calibri" w:eastAsia="Calibri" w:hAnsi="Calibri"/>
          <w:color w:val="4A4A4A"/>
          <w:sz w:val="22"/>
          <w:szCs w:val="22"/>
        </w:rPr>
        <w:t xml:space="preserve">Asset Accounting manages the lifecycle of fixed assets — from acquisition through retirement. It is a subsidiary ledger of the General Ledger, meaning every AA posting creates a corresponding GL document in 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Element</w:t>
            </w:r>
          </w:p>
        </w:tc>
        <w:tc>
          <w:tcPr>
            <w:tcW w:type="dxa" w:w="6660"/>
            <w:shd w:fill="1565C0"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Asset Master Record</w:t>
            </w:r>
          </w:p>
        </w:tc>
        <w:tc>
          <w:tcPr>
            <w:tcW w:type="dxa" w:w="6660"/>
            <w:shd w:fill="F3EEF8" w:color="auto" w:val="clear"/>
          </w:tcPr>
          <w:p>
            <w:r>
              <w:rPr>
                <w:rFonts w:ascii="Calibri" w:cs="Calibri" w:eastAsia="Calibri" w:hAnsi="Calibri"/>
                <w:color w:val="4A4A4A"/>
                <w:sz w:val="20"/>
                <w:szCs w:val="20"/>
              </w:rPr>
              <w:t xml:space="preserve">Central data object; asset class, cost center, plant, depreciation areas, capitalization date</w:t>
            </w:r>
          </w:p>
        </w:tc>
      </w:tr>
      <w:tr>
        <w:tc>
          <w:tcPr>
            <w:tcW w:type="dxa" w:w="2700"/>
            <w:shd w:fill="FFFFFF" w:color="auto" w:val="clear"/>
          </w:tcPr>
          <w:p>
            <w:r>
              <w:rPr>
                <w:rFonts w:ascii="Calibri" w:cs="Calibri" w:eastAsia="Calibri" w:hAnsi="Calibri"/>
                <w:b/>
                <w:bCs/>
                <w:color w:val="5B2D8E"/>
                <w:sz w:val="20"/>
                <w:szCs w:val="20"/>
              </w:rPr>
              <w:t xml:space="preserve">Asset Class</w:t>
            </w:r>
          </w:p>
        </w:tc>
        <w:tc>
          <w:tcPr>
            <w:tcW w:type="dxa" w:w="6660"/>
            <w:shd w:fill="FFFFFF" w:color="auto" w:val="clear"/>
          </w:tcPr>
          <w:p>
            <w:r>
              <w:rPr>
                <w:rFonts w:ascii="Calibri" w:cs="Calibri" w:eastAsia="Calibri" w:hAnsi="Calibri"/>
                <w:color w:val="4A4A4A"/>
                <w:sz w:val="20"/>
                <w:szCs w:val="20"/>
              </w:rPr>
              <w:t xml:space="preserve">Groups similar assets; controls depreciation key, useful life, and GL account determination</w:t>
            </w:r>
          </w:p>
        </w:tc>
      </w:tr>
      <w:tr>
        <w:tc>
          <w:tcPr>
            <w:tcW w:type="dxa" w:w="2700"/>
            <w:shd w:fill="F3EEF8" w:color="auto" w:val="clear"/>
          </w:tcPr>
          <w:p>
            <w:r>
              <w:rPr>
                <w:rFonts w:ascii="Calibri" w:cs="Calibri" w:eastAsia="Calibri" w:hAnsi="Calibri"/>
                <w:b/>
                <w:bCs/>
                <w:color w:val="5B2D8E"/>
                <w:sz w:val="20"/>
                <w:szCs w:val="20"/>
              </w:rPr>
              <w:t xml:space="preserve">Depreciation Area</w:t>
            </w:r>
          </w:p>
        </w:tc>
        <w:tc>
          <w:tcPr>
            <w:tcW w:type="dxa" w:w="6660"/>
            <w:shd w:fill="F3EEF8" w:color="auto" w:val="clear"/>
          </w:tcPr>
          <w:p>
            <w:r>
              <w:rPr>
                <w:rFonts w:ascii="Calibri" w:cs="Calibri" w:eastAsia="Calibri" w:hAnsi="Calibri"/>
                <w:color w:val="4A4A4A"/>
                <w:sz w:val="20"/>
                <w:szCs w:val="20"/>
              </w:rPr>
              <w:t xml:space="preserve">Parallel valuation: book depreciation, tax depreciation, IFRS, local GAAP simultaneously</w:t>
            </w:r>
          </w:p>
        </w:tc>
      </w:tr>
      <w:tr>
        <w:tc>
          <w:tcPr>
            <w:tcW w:type="dxa" w:w="2700"/>
            <w:shd w:fill="FFFFFF" w:color="auto" w:val="clear"/>
          </w:tcPr>
          <w:p>
            <w:r>
              <w:rPr>
                <w:rFonts w:ascii="Calibri" w:cs="Calibri" w:eastAsia="Calibri" w:hAnsi="Calibri"/>
                <w:b/>
                <w:bCs/>
                <w:color w:val="5B2D8E"/>
                <w:sz w:val="20"/>
                <w:szCs w:val="20"/>
              </w:rPr>
              <w:t xml:space="preserve">Depreciation Key</w:t>
            </w:r>
          </w:p>
        </w:tc>
        <w:tc>
          <w:tcPr>
            <w:tcW w:type="dxa" w:w="6660"/>
            <w:shd w:fill="FFFFFF" w:color="auto" w:val="clear"/>
          </w:tcPr>
          <w:p>
            <w:r>
              <w:rPr>
                <w:rFonts w:ascii="Calibri" w:cs="Calibri" w:eastAsia="Calibri" w:hAnsi="Calibri"/>
                <w:color w:val="4A4A4A"/>
                <w:sz w:val="20"/>
                <w:szCs w:val="20"/>
              </w:rPr>
              <w:t xml:space="preserve">Method of depreciation: straight-line, declining balance, units of production</w:t>
            </w:r>
          </w:p>
        </w:tc>
      </w:tr>
      <w:tr>
        <w:tc>
          <w:tcPr>
            <w:tcW w:type="dxa" w:w="2700"/>
            <w:shd w:fill="F3EEF8" w:color="auto" w:val="clear"/>
          </w:tcPr>
          <w:p>
            <w:r>
              <w:rPr>
                <w:rFonts w:ascii="Calibri" w:cs="Calibri" w:eastAsia="Calibri" w:hAnsi="Calibri"/>
                <w:b/>
                <w:bCs/>
                <w:color w:val="5B2D8E"/>
                <w:sz w:val="20"/>
                <w:szCs w:val="20"/>
              </w:rPr>
              <w:t xml:space="preserve">APC (Acquisition)</w:t>
            </w:r>
          </w:p>
        </w:tc>
        <w:tc>
          <w:tcPr>
            <w:tcW w:type="dxa" w:w="6660"/>
            <w:shd w:fill="F3EEF8" w:color="auto" w:val="clear"/>
          </w:tcPr>
          <w:p>
            <w:r>
              <w:rPr>
                <w:rFonts w:ascii="Calibri" w:cs="Calibri" w:eastAsia="Calibri" w:hAnsi="Calibri"/>
                <w:color w:val="4A4A4A"/>
                <w:sz w:val="20"/>
                <w:szCs w:val="20"/>
              </w:rPr>
              <w:t xml:space="preserve">Asset acquisition postings: purchase, internal order settlement, goods receipt</w:t>
            </w:r>
          </w:p>
        </w:tc>
      </w:tr>
      <w:tr>
        <w:tc>
          <w:tcPr>
            <w:tcW w:type="dxa" w:w="2700"/>
            <w:shd w:fill="FFFFFF" w:color="auto" w:val="clear"/>
          </w:tcPr>
          <w:p>
            <w:r>
              <w:rPr>
                <w:rFonts w:ascii="Calibri" w:cs="Calibri" w:eastAsia="Calibri" w:hAnsi="Calibri"/>
                <w:b/>
                <w:bCs/>
                <w:color w:val="5B2D8E"/>
                <w:sz w:val="20"/>
                <w:szCs w:val="20"/>
              </w:rPr>
              <w:t xml:space="preserve">Retirement</w:t>
            </w:r>
          </w:p>
        </w:tc>
        <w:tc>
          <w:tcPr>
            <w:tcW w:type="dxa" w:w="6660"/>
            <w:shd w:fill="FFFFFF" w:color="auto" w:val="clear"/>
          </w:tcPr>
          <w:p>
            <w:r>
              <w:rPr>
                <w:rFonts w:ascii="Calibri" w:cs="Calibri" w:eastAsia="Calibri" w:hAnsi="Calibri"/>
                <w:color w:val="4A4A4A"/>
                <w:sz w:val="20"/>
                <w:szCs w:val="20"/>
              </w:rPr>
              <w:t xml:space="preserve">Asset disposal: sale (with/without revenue), scrapping, transfer to another asset</w:t>
            </w:r>
          </w:p>
        </w:tc>
      </w:tr>
      <w:tr>
        <w:tc>
          <w:tcPr>
            <w:tcW w:type="dxa" w:w="2700"/>
            <w:shd w:fill="F3EEF8" w:color="auto" w:val="clear"/>
          </w:tcPr>
          <w:p>
            <w:r>
              <w:rPr>
                <w:rFonts w:ascii="Calibri" w:cs="Calibri" w:eastAsia="Calibri" w:hAnsi="Calibri"/>
                <w:b/>
                <w:bCs/>
                <w:color w:val="5B2D8E"/>
                <w:sz w:val="20"/>
                <w:szCs w:val="20"/>
              </w:rPr>
              <w:t xml:space="preserve">AFAB</w:t>
            </w:r>
          </w:p>
        </w:tc>
        <w:tc>
          <w:tcPr>
            <w:tcW w:type="dxa" w:w="6660"/>
            <w:shd w:fill="F3EEF8" w:color="auto" w:val="clear"/>
          </w:tcPr>
          <w:p>
            <w:r>
              <w:rPr>
                <w:rFonts w:ascii="Calibri" w:cs="Calibri" w:eastAsia="Calibri" w:hAnsi="Calibri"/>
                <w:color w:val="4A4A4A"/>
                <w:sz w:val="20"/>
                <w:szCs w:val="20"/>
              </w:rPr>
              <w:t xml:space="preserve">Depreciation run — periodic program posting depreciation to GL for all assets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6.2 Treasury &amp; Cash Management</w:t>
      </w:r>
    </w:p>
    <w:p>
      <w:pPr>
        <w:spacing w:after="60" w:before="60"/>
        <w:jc w:val="both"/>
      </w:pPr>
      <w:r>
        <w:rPr>
          <w:rFonts w:ascii="Calibri" w:cs="Calibri" w:eastAsia="Calibri" w:hAnsi="Calibri"/>
          <w:color w:val="4A4A4A"/>
          <w:sz w:val="22"/>
          <w:szCs w:val="22"/>
        </w:rPr>
        <w:t xml:space="preserve">SAP Treasury (TR) and Cash Management (CM) provide tools for managing liquidity, bank accounts, financial instruments, and risk. In S/4HANA, SAP Cash Management is rebuilt on HANA for real-time cash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Component</w:t>
            </w:r>
          </w:p>
        </w:tc>
        <w:tc>
          <w:tcPr>
            <w:tcW w:type="dxa" w:w="6660"/>
            <w:shd w:fill="1565C0" w:color="auto" w:val="clear"/>
          </w:tcPr>
          <w:p>
            <w:r>
              <w:rPr>
                <w:rFonts w:ascii="Calibri" w:cs="Calibri" w:eastAsia="Calibri" w:hAnsi="Calibri"/>
                <w:b/>
                <w:bCs/>
                <w:color w:val="FFFFFF"/>
                <w:sz w:val="20"/>
                <w:szCs w:val="20"/>
              </w:rPr>
              <w:t xml:space="preserve">Function</w:t>
            </w:r>
          </w:p>
        </w:tc>
      </w:tr>
      <w:tr>
        <w:tc>
          <w:tcPr>
            <w:tcW w:type="dxa" w:w="2700"/>
            <w:shd w:fill="F3EEF8" w:color="auto" w:val="clear"/>
          </w:tcPr>
          <w:p>
            <w:r>
              <w:rPr>
                <w:rFonts w:ascii="Calibri" w:cs="Calibri" w:eastAsia="Calibri" w:hAnsi="Calibri"/>
                <w:b/>
                <w:bCs/>
                <w:color w:val="5B2D8E"/>
                <w:sz w:val="20"/>
                <w:szCs w:val="20"/>
              </w:rPr>
              <w:t xml:space="preserve">Bank Account Management</w:t>
            </w:r>
          </w:p>
        </w:tc>
        <w:tc>
          <w:tcPr>
            <w:tcW w:type="dxa" w:w="6660"/>
            <w:shd w:fill="F3EEF8" w:color="auto" w:val="clear"/>
          </w:tcPr>
          <w:p>
            <w:r>
              <w:rPr>
                <w:rFonts w:ascii="Calibri" w:cs="Calibri" w:eastAsia="Calibri" w:hAnsi="Calibri"/>
                <w:color w:val="4A4A4A"/>
                <w:sz w:val="20"/>
                <w:szCs w:val="20"/>
              </w:rPr>
              <w:t xml:space="preserve">Central repository of all bank accounts; signatory management; connectivity to bank portals</w:t>
            </w:r>
          </w:p>
        </w:tc>
      </w:tr>
      <w:tr>
        <w:tc>
          <w:tcPr>
            <w:tcW w:type="dxa" w:w="2700"/>
            <w:shd w:fill="FFFFFF" w:color="auto" w:val="clear"/>
          </w:tcPr>
          <w:p>
            <w:r>
              <w:rPr>
                <w:rFonts w:ascii="Calibri" w:cs="Calibri" w:eastAsia="Calibri" w:hAnsi="Calibri"/>
                <w:b/>
                <w:bCs/>
                <w:color w:val="5B2D8E"/>
                <w:sz w:val="20"/>
                <w:szCs w:val="20"/>
              </w:rPr>
              <w:t xml:space="preserve">Cash Position</w:t>
            </w:r>
          </w:p>
        </w:tc>
        <w:tc>
          <w:tcPr>
            <w:tcW w:type="dxa" w:w="6660"/>
            <w:shd w:fill="FFFFFF" w:color="auto" w:val="clear"/>
          </w:tcPr>
          <w:p>
            <w:r>
              <w:rPr>
                <w:rFonts w:ascii="Calibri" w:cs="Calibri" w:eastAsia="Calibri" w:hAnsi="Calibri"/>
                <w:color w:val="4A4A4A"/>
                <w:sz w:val="20"/>
                <w:szCs w:val="20"/>
              </w:rPr>
              <w:t xml:space="preserve">Daily liquidity view: expected cash flows from AR, AP, treasury instruments</w:t>
            </w:r>
          </w:p>
        </w:tc>
      </w:tr>
      <w:tr>
        <w:tc>
          <w:tcPr>
            <w:tcW w:type="dxa" w:w="2700"/>
            <w:shd w:fill="F3EEF8" w:color="auto" w:val="clear"/>
          </w:tcPr>
          <w:p>
            <w:r>
              <w:rPr>
                <w:rFonts w:ascii="Calibri" w:cs="Calibri" w:eastAsia="Calibri" w:hAnsi="Calibri"/>
                <w:b/>
                <w:bCs/>
                <w:color w:val="5B2D8E"/>
                <w:sz w:val="20"/>
                <w:szCs w:val="20"/>
              </w:rPr>
              <w:t xml:space="preserve">Liquidity Forecast</w:t>
            </w:r>
          </w:p>
        </w:tc>
        <w:tc>
          <w:tcPr>
            <w:tcW w:type="dxa" w:w="6660"/>
            <w:shd w:fill="F3EEF8" w:color="auto" w:val="clear"/>
          </w:tcPr>
          <w:p>
            <w:r>
              <w:rPr>
                <w:rFonts w:ascii="Calibri" w:cs="Calibri" w:eastAsia="Calibri" w:hAnsi="Calibri"/>
                <w:color w:val="4A4A4A"/>
                <w:sz w:val="20"/>
                <w:szCs w:val="20"/>
              </w:rPr>
              <w:t xml:space="preserve">Medium-term cash planning; integrates planned orders from SD and MM</w:t>
            </w:r>
          </w:p>
        </w:tc>
      </w:tr>
      <w:tr>
        <w:tc>
          <w:tcPr>
            <w:tcW w:type="dxa" w:w="2700"/>
            <w:shd w:fill="FFFFFF" w:color="auto" w:val="clear"/>
          </w:tcPr>
          <w:p>
            <w:r>
              <w:rPr>
                <w:rFonts w:ascii="Calibri" w:cs="Calibri" w:eastAsia="Calibri" w:hAnsi="Calibri"/>
                <w:b/>
                <w:bCs/>
                <w:color w:val="5B2D8E"/>
                <w:sz w:val="20"/>
                <w:szCs w:val="20"/>
              </w:rPr>
              <w:t xml:space="preserve">Electronic Bank Statement</w:t>
            </w:r>
          </w:p>
        </w:tc>
        <w:tc>
          <w:tcPr>
            <w:tcW w:type="dxa" w:w="6660"/>
            <w:shd w:fill="FFFFFF" w:color="auto" w:val="clear"/>
          </w:tcPr>
          <w:p>
            <w:r>
              <w:rPr>
                <w:rFonts w:ascii="Calibri" w:cs="Calibri" w:eastAsia="Calibri" w:hAnsi="Calibri"/>
                <w:color w:val="4A4A4A"/>
                <w:sz w:val="20"/>
                <w:szCs w:val="20"/>
              </w:rPr>
              <w:t xml:space="preserve">Automated import and posting of bank statements: MT940, BAI2, camt.053 formats</w:t>
            </w:r>
          </w:p>
        </w:tc>
      </w:tr>
      <w:tr>
        <w:tc>
          <w:tcPr>
            <w:tcW w:type="dxa" w:w="2700"/>
            <w:shd w:fill="F3EEF8" w:color="auto" w:val="clear"/>
          </w:tcPr>
          <w:p>
            <w:r>
              <w:rPr>
                <w:rFonts w:ascii="Calibri" w:cs="Calibri" w:eastAsia="Calibri" w:hAnsi="Calibri"/>
                <w:b/>
                <w:bCs/>
                <w:color w:val="5B2D8E"/>
                <w:sz w:val="20"/>
                <w:szCs w:val="20"/>
              </w:rPr>
              <w:t xml:space="preserve">Payment Factory</w:t>
            </w:r>
          </w:p>
        </w:tc>
        <w:tc>
          <w:tcPr>
            <w:tcW w:type="dxa" w:w="6660"/>
            <w:shd w:fill="F3EEF8" w:color="auto" w:val="clear"/>
          </w:tcPr>
          <w:p>
            <w:r>
              <w:rPr>
                <w:rFonts w:ascii="Calibri" w:cs="Calibri" w:eastAsia="Calibri" w:hAnsi="Calibri"/>
                <w:color w:val="4A4A4A"/>
                <w:sz w:val="20"/>
                <w:szCs w:val="20"/>
              </w:rPr>
              <w:t xml:space="preserve">Centralized payment processing: payment on behalf of (POBO); payment hub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2E7D32" w:color="auto" w:val="clear"/>
          </w:tcPr>
          <w:p>
            <w:pPr>
              <w:spacing w:after="40" w:before="160"/>
            </w:pPr>
            <w:r>
              <w:rPr>
                <w:rFonts w:ascii="Calibri" w:cs="Calibri" w:eastAsia="Calibri" w:hAnsi="Calibri"/>
                <w:b/>
                <w:bCs/>
                <w:color w:val="FFFFFF"/>
                <w:sz w:val="52"/>
                <w:szCs w:val="52"/>
              </w:rPr>
              <w:t xml:space="preserve">PART III — SUPPLY CHAIN MODULES</w:t>
            </w:r>
          </w:p>
          <w:p>
            <w:pPr>
              <w:spacing w:after="160" w:before="0"/>
            </w:pPr>
            <w:r>
              <w:rPr>
                <w:rFonts w:ascii="Calibri" w:cs="Calibri" w:eastAsia="Calibri" w:hAnsi="Calibri"/>
                <w:color w:val="DDDDDD"/>
                <w:sz w:val="22"/>
                <w:szCs w:val="22"/>
              </w:rPr>
              <w:t xml:space="preserve">MM, SD, and Production Planning</w:t>
            </w:r>
          </w:p>
        </w:tc>
      </w:tr>
    </w:tbl>
    <w:p>
      <w:pPr>
        <w:spacing w:after="0" w:before="0"/>
      </w:pPr>
      <w:r>
        <w:rPr>
          <w:sz w:val="100"/>
          <w:szCs w:val="100"/>
        </w:rPr>
        <w:t xml:space="preserve"> </w:t>
      </w:r>
    </w:p>
    <w:p>
      <w:pPr>
        <w:pStyle w:val="Heading1"/>
        <w:spacing w:after="120" w:before="400"/>
      </w:pPr>
      <w:r>
        <w:rPr>
          <w:rFonts w:ascii="Calibri" w:cs="Calibri" w:eastAsia="Calibri" w:hAnsi="Calibri"/>
          <w:b/>
          <w:bCs/>
          <w:color w:val="5B2D8E"/>
          <w:sz w:val="44"/>
          <w:szCs w:val="44"/>
        </w:rPr>
        <w:t xml:space="preserve">Chapter 7: Materials Management (MM)</w:t>
      </w:r>
    </w:p>
    <w:p>
      <w:pPr>
        <w:pStyle w:val="Heading2"/>
        <w:spacing w:after="120" w:before="300"/>
      </w:pPr>
      <w:r>
        <w:rPr>
          <w:rFonts w:ascii="Calibri" w:cs="Calibri" w:eastAsia="Calibri" w:hAnsi="Calibri"/>
          <w:b/>
          <w:bCs/>
          <w:color w:val="2E7D32"/>
          <w:sz w:val="36"/>
          <w:szCs w:val="36"/>
        </w:rPr>
        <w:t xml:space="preserve">7.1 MM Module Overview</w:t>
      </w:r>
    </w:p>
    <w:p>
      <w:pPr>
        <w:spacing w:after="60" w:before="60"/>
        <w:jc w:val="both"/>
      </w:pPr>
      <w:r>
        <w:rPr>
          <w:rFonts w:ascii="Calibri" w:cs="Calibri" w:eastAsia="Calibri" w:hAnsi="Calibri"/>
          <w:color w:val="4A4A4A"/>
          <w:sz w:val="22"/>
          <w:szCs w:val="22"/>
        </w:rPr>
        <w:t xml:space="preserve">Materials Management (MM) is the backbone of SAP's supply chain functionality. It manages the entire procurement-to-pay cycle: purchasing, goods receipts, inventory management, invoice verification, and warehouse management. MM integrates tightly with FI, CO, SD, PP, and QM.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2E7D32" w:color="auto" w:val="clear"/>
          </w:tcPr>
          <w:p>
            <w:r>
              <w:rPr>
                <w:rFonts w:ascii="Calibri" w:cs="Calibri" w:eastAsia="Calibri" w:hAnsi="Calibri"/>
                <w:b/>
                <w:bCs/>
                <w:color w:val="FFFFFF"/>
                <w:sz w:val="20"/>
                <w:szCs w:val="20"/>
              </w:rPr>
              <w:t xml:space="preserve">Sub-Module</w:t>
            </w:r>
          </w:p>
        </w:tc>
        <w:tc>
          <w:tcPr>
            <w:tcW w:type="dxa" w:w="6660"/>
            <w:shd w:fill="2E7D32" w:color="auto" w:val="clear"/>
          </w:tcPr>
          <w:p>
            <w:r>
              <w:rPr>
                <w:rFonts w:ascii="Calibri" w:cs="Calibri" w:eastAsia="Calibri" w:hAnsi="Calibri"/>
                <w:b/>
                <w:bCs/>
                <w:color w:val="FFFFFF"/>
                <w:sz w:val="20"/>
                <w:szCs w:val="20"/>
              </w:rPr>
              <w:t xml:space="preserve">Function</w:t>
            </w:r>
          </w:p>
        </w:tc>
      </w:tr>
      <w:tr>
        <w:tc>
          <w:tcPr>
            <w:tcW w:type="dxa" w:w="2700"/>
            <w:shd w:fill="F3EEF8" w:color="auto" w:val="clear"/>
          </w:tcPr>
          <w:p>
            <w:r>
              <w:rPr>
                <w:rFonts w:ascii="Calibri" w:cs="Calibri" w:eastAsia="Calibri" w:hAnsi="Calibri"/>
                <w:b/>
                <w:bCs/>
                <w:color w:val="5B2D8E"/>
                <w:sz w:val="20"/>
                <w:szCs w:val="20"/>
              </w:rPr>
              <w:t xml:space="preserve">MM-PUR</w:t>
            </w:r>
          </w:p>
        </w:tc>
        <w:tc>
          <w:tcPr>
            <w:tcW w:type="dxa" w:w="6660"/>
            <w:shd w:fill="F3EEF8" w:color="auto" w:val="clear"/>
          </w:tcPr>
          <w:p>
            <w:r>
              <w:rPr>
                <w:rFonts w:ascii="Calibri" w:cs="Calibri" w:eastAsia="Calibri" w:hAnsi="Calibri"/>
                <w:color w:val="4A4A4A"/>
                <w:sz w:val="20"/>
                <w:szCs w:val="20"/>
              </w:rPr>
              <w:t xml:space="preserve">Purchasing — purchase requisitions, RFQs, purchase orders, contracts, scheduling agreements</w:t>
            </w:r>
          </w:p>
        </w:tc>
      </w:tr>
      <w:tr>
        <w:tc>
          <w:tcPr>
            <w:tcW w:type="dxa" w:w="2700"/>
            <w:shd w:fill="FFFFFF" w:color="auto" w:val="clear"/>
          </w:tcPr>
          <w:p>
            <w:r>
              <w:rPr>
                <w:rFonts w:ascii="Calibri" w:cs="Calibri" w:eastAsia="Calibri" w:hAnsi="Calibri"/>
                <w:b/>
                <w:bCs/>
                <w:color w:val="5B2D8E"/>
                <w:sz w:val="20"/>
                <w:szCs w:val="20"/>
              </w:rPr>
              <w:t xml:space="preserve">MM-IM</w:t>
            </w:r>
          </w:p>
        </w:tc>
        <w:tc>
          <w:tcPr>
            <w:tcW w:type="dxa" w:w="6660"/>
            <w:shd w:fill="FFFFFF" w:color="auto" w:val="clear"/>
          </w:tcPr>
          <w:p>
            <w:r>
              <w:rPr>
                <w:rFonts w:ascii="Calibri" w:cs="Calibri" w:eastAsia="Calibri" w:hAnsi="Calibri"/>
                <w:color w:val="4A4A4A"/>
                <w:sz w:val="20"/>
                <w:szCs w:val="20"/>
              </w:rPr>
              <w:t xml:space="preserve">Inventory Management — goods receipts, goods issues, stock transfers, physical inventory</w:t>
            </w:r>
          </w:p>
        </w:tc>
      </w:tr>
      <w:tr>
        <w:tc>
          <w:tcPr>
            <w:tcW w:type="dxa" w:w="2700"/>
            <w:shd w:fill="F3EEF8" w:color="auto" w:val="clear"/>
          </w:tcPr>
          <w:p>
            <w:r>
              <w:rPr>
                <w:rFonts w:ascii="Calibri" w:cs="Calibri" w:eastAsia="Calibri" w:hAnsi="Calibri"/>
                <w:b/>
                <w:bCs/>
                <w:color w:val="5B2D8E"/>
                <w:sz w:val="20"/>
                <w:szCs w:val="20"/>
              </w:rPr>
              <w:t xml:space="preserve">MM-WM</w:t>
            </w:r>
          </w:p>
        </w:tc>
        <w:tc>
          <w:tcPr>
            <w:tcW w:type="dxa" w:w="6660"/>
            <w:shd w:fill="F3EEF8" w:color="auto" w:val="clear"/>
          </w:tcPr>
          <w:p>
            <w:r>
              <w:rPr>
                <w:rFonts w:ascii="Calibri" w:cs="Calibri" w:eastAsia="Calibri" w:hAnsi="Calibri"/>
                <w:color w:val="4A4A4A"/>
                <w:sz w:val="20"/>
                <w:szCs w:val="20"/>
              </w:rPr>
              <w:t xml:space="preserve">Warehouse Management — storage locations, transfer orders, picking, putaway (being replaced by EWM)</w:t>
            </w:r>
          </w:p>
        </w:tc>
      </w:tr>
      <w:tr>
        <w:tc>
          <w:tcPr>
            <w:tcW w:type="dxa" w:w="2700"/>
            <w:shd w:fill="FFFFFF" w:color="auto" w:val="clear"/>
          </w:tcPr>
          <w:p>
            <w:r>
              <w:rPr>
                <w:rFonts w:ascii="Calibri" w:cs="Calibri" w:eastAsia="Calibri" w:hAnsi="Calibri"/>
                <w:b/>
                <w:bCs/>
                <w:color w:val="5B2D8E"/>
                <w:sz w:val="20"/>
                <w:szCs w:val="20"/>
              </w:rPr>
              <w:t xml:space="preserve">MM-IV</w:t>
            </w:r>
          </w:p>
        </w:tc>
        <w:tc>
          <w:tcPr>
            <w:tcW w:type="dxa" w:w="6660"/>
            <w:shd w:fill="FFFFFF" w:color="auto" w:val="clear"/>
          </w:tcPr>
          <w:p>
            <w:r>
              <w:rPr>
                <w:rFonts w:ascii="Calibri" w:cs="Calibri" w:eastAsia="Calibri" w:hAnsi="Calibri"/>
                <w:color w:val="4A4A4A"/>
                <w:sz w:val="20"/>
                <w:szCs w:val="20"/>
              </w:rPr>
              <w:t xml:space="preserve">Invoice Verification (MIRO) — three-way match: PO, GR, invoice; automatic tolerances</w:t>
            </w:r>
          </w:p>
        </w:tc>
      </w:tr>
      <w:tr>
        <w:tc>
          <w:tcPr>
            <w:tcW w:type="dxa" w:w="2700"/>
            <w:shd w:fill="F3EEF8" w:color="auto" w:val="clear"/>
          </w:tcPr>
          <w:p>
            <w:r>
              <w:rPr>
                <w:rFonts w:ascii="Calibri" w:cs="Calibri" w:eastAsia="Calibri" w:hAnsi="Calibri"/>
                <w:b/>
                <w:bCs/>
                <w:color w:val="5B2D8E"/>
                <w:sz w:val="20"/>
                <w:szCs w:val="20"/>
              </w:rPr>
              <w:t xml:space="preserve">MM-CBP</w:t>
            </w:r>
          </w:p>
        </w:tc>
        <w:tc>
          <w:tcPr>
            <w:tcW w:type="dxa" w:w="6660"/>
            <w:shd w:fill="F3EEF8" w:color="auto" w:val="clear"/>
          </w:tcPr>
          <w:p>
            <w:r>
              <w:rPr>
                <w:rFonts w:ascii="Calibri" w:cs="Calibri" w:eastAsia="Calibri" w:hAnsi="Calibri"/>
                <w:color w:val="4A4A4A"/>
                <w:sz w:val="20"/>
                <w:szCs w:val="20"/>
              </w:rPr>
              <w:t xml:space="preserve">Consumption-Based Planning — reorder point, MRP; min/max; material requirements</w:t>
            </w:r>
          </w:p>
        </w:tc>
      </w:tr>
      <w:tr>
        <w:tc>
          <w:tcPr>
            <w:tcW w:type="dxa" w:w="2700"/>
            <w:shd w:fill="FFFFFF" w:color="auto" w:val="clear"/>
          </w:tcPr>
          <w:p>
            <w:r>
              <w:rPr>
                <w:rFonts w:ascii="Calibri" w:cs="Calibri" w:eastAsia="Calibri" w:hAnsi="Calibri"/>
                <w:b/>
                <w:bCs/>
                <w:color w:val="5B2D8E"/>
                <w:sz w:val="20"/>
                <w:szCs w:val="20"/>
              </w:rPr>
              <w:t xml:space="preserve">MM-SRV</w:t>
            </w:r>
          </w:p>
        </w:tc>
        <w:tc>
          <w:tcPr>
            <w:tcW w:type="dxa" w:w="6660"/>
            <w:shd w:fill="FFFFFF" w:color="auto" w:val="clear"/>
          </w:tcPr>
          <w:p>
            <w:r>
              <w:rPr>
                <w:rFonts w:ascii="Calibri" w:cs="Calibri" w:eastAsia="Calibri" w:hAnsi="Calibri"/>
                <w:color w:val="4A4A4A"/>
                <w:sz w:val="20"/>
                <w:szCs w:val="20"/>
              </w:rPr>
              <w:t xml:space="preserve">External Services Management — service entry sheets; service purchase orders; service masters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2E7D32"/>
          <w:sz w:val="36"/>
          <w:szCs w:val="36"/>
        </w:rPr>
        <w:t xml:space="preserve">7.2 Procurement Process (Procure-to-Pay)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2E7D32" w:color="auto" w:val="clear"/>
          </w:tcPr>
          <w:p>
            <w:r>
              <w:rPr>
                <w:rFonts w:ascii="Calibri" w:cs="Calibri" w:eastAsia="Calibri" w:hAnsi="Calibri"/>
                <w:b/>
                <w:bCs/>
                <w:color w:val="FFFFFF"/>
                <w:sz w:val="20"/>
                <w:szCs w:val="20"/>
              </w:rPr>
              <w:t xml:space="preserve">Step</w:t>
            </w:r>
          </w:p>
        </w:tc>
        <w:tc>
          <w:tcPr>
            <w:tcW w:type="dxa" w:w="6660"/>
            <w:shd w:fill="2E7D32"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Purchase Requisition (PR)</w:t>
            </w:r>
          </w:p>
        </w:tc>
        <w:tc>
          <w:tcPr>
            <w:tcW w:type="dxa" w:w="6660"/>
            <w:shd w:fill="F3EEF8" w:color="auto" w:val="clear"/>
          </w:tcPr>
          <w:p>
            <w:r>
              <w:rPr>
                <w:rFonts w:ascii="Calibri" w:cs="Calibri" w:eastAsia="Calibri" w:hAnsi="Calibri"/>
                <w:color w:val="4A4A4A"/>
                <w:sz w:val="20"/>
                <w:szCs w:val="20"/>
              </w:rPr>
              <w:t xml:space="preserve">Internal request to purchase; can be created manually or from MRP/SRM/iProcurement</w:t>
            </w:r>
          </w:p>
        </w:tc>
      </w:tr>
      <w:tr>
        <w:tc>
          <w:tcPr>
            <w:tcW w:type="dxa" w:w="2700"/>
            <w:shd w:fill="FFFFFF" w:color="auto" w:val="clear"/>
          </w:tcPr>
          <w:p>
            <w:r>
              <w:rPr>
                <w:rFonts w:ascii="Calibri" w:cs="Calibri" w:eastAsia="Calibri" w:hAnsi="Calibri"/>
                <w:b/>
                <w:bCs/>
                <w:color w:val="5B2D8E"/>
                <w:sz w:val="20"/>
                <w:szCs w:val="20"/>
              </w:rPr>
              <w:t xml:space="preserve">Source List</w:t>
            </w:r>
          </w:p>
        </w:tc>
        <w:tc>
          <w:tcPr>
            <w:tcW w:type="dxa" w:w="6660"/>
            <w:shd w:fill="FFFFFF" w:color="auto" w:val="clear"/>
          </w:tcPr>
          <w:p>
            <w:r>
              <w:rPr>
                <w:rFonts w:ascii="Calibri" w:cs="Calibri" w:eastAsia="Calibri" w:hAnsi="Calibri"/>
                <w:color w:val="4A4A4A"/>
                <w:sz w:val="20"/>
                <w:szCs w:val="20"/>
              </w:rPr>
              <w:t xml:space="preserve">Approved vendor list for a material; controls automatic source determination</w:t>
            </w:r>
          </w:p>
        </w:tc>
      </w:tr>
      <w:tr>
        <w:tc>
          <w:tcPr>
            <w:tcW w:type="dxa" w:w="2700"/>
            <w:shd w:fill="F3EEF8" w:color="auto" w:val="clear"/>
          </w:tcPr>
          <w:p>
            <w:r>
              <w:rPr>
                <w:rFonts w:ascii="Calibri" w:cs="Calibri" w:eastAsia="Calibri" w:hAnsi="Calibri"/>
                <w:b/>
                <w:bCs/>
                <w:color w:val="5B2D8E"/>
                <w:sz w:val="20"/>
                <w:szCs w:val="20"/>
              </w:rPr>
              <w:t xml:space="preserve">Request for Quotation (RFQ)</w:t>
            </w:r>
          </w:p>
        </w:tc>
        <w:tc>
          <w:tcPr>
            <w:tcW w:type="dxa" w:w="6660"/>
            <w:shd w:fill="F3EEF8" w:color="auto" w:val="clear"/>
          </w:tcPr>
          <w:p>
            <w:r>
              <w:rPr>
                <w:rFonts w:ascii="Calibri" w:cs="Calibri" w:eastAsia="Calibri" w:hAnsi="Calibri"/>
                <w:color w:val="4A4A4A"/>
                <w:sz w:val="20"/>
                <w:szCs w:val="20"/>
              </w:rPr>
              <w:t xml:space="preserve">Solicits price quotes from multiple vendors; quotations compared in price comparison list</w:t>
            </w:r>
          </w:p>
        </w:tc>
      </w:tr>
      <w:tr>
        <w:tc>
          <w:tcPr>
            <w:tcW w:type="dxa" w:w="2700"/>
            <w:shd w:fill="FFFFFF" w:color="auto" w:val="clear"/>
          </w:tcPr>
          <w:p>
            <w:r>
              <w:rPr>
                <w:rFonts w:ascii="Calibri" w:cs="Calibri" w:eastAsia="Calibri" w:hAnsi="Calibri"/>
                <w:b/>
                <w:bCs/>
                <w:color w:val="5B2D8E"/>
                <w:sz w:val="20"/>
                <w:szCs w:val="20"/>
              </w:rPr>
              <w:t xml:space="preserve">Purchase Order (PO)</w:t>
            </w:r>
          </w:p>
        </w:tc>
        <w:tc>
          <w:tcPr>
            <w:tcW w:type="dxa" w:w="6660"/>
            <w:shd w:fill="FFFFFF" w:color="auto" w:val="clear"/>
          </w:tcPr>
          <w:p>
            <w:r>
              <w:rPr>
                <w:rFonts w:ascii="Calibri" w:cs="Calibri" w:eastAsia="Calibri" w:hAnsi="Calibri"/>
                <w:color w:val="4A4A4A"/>
                <w:sz w:val="20"/>
                <w:szCs w:val="20"/>
              </w:rPr>
              <w:t xml:space="preserve">Legal commitment to vendor; item/header conditions; delivery schedule; invoice plan</w:t>
            </w:r>
          </w:p>
        </w:tc>
      </w:tr>
      <w:tr>
        <w:tc>
          <w:tcPr>
            <w:tcW w:type="dxa" w:w="2700"/>
            <w:shd w:fill="F3EEF8" w:color="auto" w:val="clear"/>
          </w:tcPr>
          <w:p>
            <w:r>
              <w:rPr>
                <w:rFonts w:ascii="Calibri" w:cs="Calibri" w:eastAsia="Calibri" w:hAnsi="Calibri"/>
                <w:b/>
                <w:bCs/>
                <w:color w:val="5B2D8E"/>
                <w:sz w:val="20"/>
                <w:szCs w:val="20"/>
              </w:rPr>
              <w:t xml:space="preserve">Goods Receipt (MIGO)</w:t>
            </w:r>
          </w:p>
        </w:tc>
        <w:tc>
          <w:tcPr>
            <w:tcW w:type="dxa" w:w="6660"/>
            <w:shd w:fill="F3EEF8" w:color="auto" w:val="clear"/>
          </w:tcPr>
          <w:p>
            <w:r>
              <w:rPr>
                <w:rFonts w:ascii="Calibri" w:cs="Calibri" w:eastAsia="Calibri" w:hAnsi="Calibri"/>
                <w:color w:val="4A4A4A"/>
                <w:sz w:val="20"/>
                <w:szCs w:val="20"/>
              </w:rPr>
              <w:t xml:space="preserve">Confirms delivery; creates stock; posts GR/IR clearing; updates PO history</w:t>
            </w:r>
          </w:p>
        </w:tc>
      </w:tr>
      <w:tr>
        <w:tc>
          <w:tcPr>
            <w:tcW w:type="dxa" w:w="2700"/>
            <w:shd w:fill="FFFFFF" w:color="auto" w:val="clear"/>
          </w:tcPr>
          <w:p>
            <w:r>
              <w:rPr>
                <w:rFonts w:ascii="Calibri" w:cs="Calibri" w:eastAsia="Calibri" w:hAnsi="Calibri"/>
                <w:b/>
                <w:bCs/>
                <w:color w:val="5B2D8E"/>
                <w:sz w:val="20"/>
                <w:szCs w:val="20"/>
              </w:rPr>
              <w:t xml:space="preserve">Invoice Verification (MIRO)</w:t>
            </w:r>
          </w:p>
        </w:tc>
        <w:tc>
          <w:tcPr>
            <w:tcW w:type="dxa" w:w="6660"/>
            <w:shd w:fill="FFFFFF" w:color="auto" w:val="clear"/>
          </w:tcPr>
          <w:p>
            <w:r>
              <w:rPr>
                <w:rFonts w:ascii="Calibri" w:cs="Calibri" w:eastAsia="Calibri" w:hAnsi="Calibri"/>
                <w:color w:val="4A4A4A"/>
                <w:sz w:val="20"/>
                <w:szCs w:val="20"/>
              </w:rPr>
              <w:t xml:space="preserve">Vendor invoice matched to PO and GR; tolerances checked; FI document created on posting</w:t>
            </w:r>
          </w:p>
        </w:tc>
      </w:tr>
      <w:tr>
        <w:tc>
          <w:tcPr>
            <w:tcW w:type="dxa" w:w="2700"/>
            <w:shd w:fill="F3EEF8" w:color="auto" w:val="clear"/>
          </w:tcPr>
          <w:p>
            <w:r>
              <w:rPr>
                <w:rFonts w:ascii="Calibri" w:cs="Calibri" w:eastAsia="Calibri" w:hAnsi="Calibri"/>
                <w:b/>
                <w:bCs/>
                <w:color w:val="5B2D8E"/>
                <w:sz w:val="20"/>
                <w:szCs w:val="20"/>
              </w:rPr>
              <w:t xml:space="preserve">Payment (F110)</w:t>
            </w:r>
          </w:p>
        </w:tc>
        <w:tc>
          <w:tcPr>
            <w:tcW w:type="dxa" w:w="6660"/>
            <w:shd w:fill="F3EEF8" w:color="auto" w:val="clear"/>
          </w:tcPr>
          <w:p>
            <w:r>
              <w:rPr>
                <w:rFonts w:ascii="Calibri" w:cs="Calibri" w:eastAsia="Calibri" w:hAnsi="Calibri"/>
                <w:color w:val="4A4A4A"/>
                <w:sz w:val="20"/>
                <w:szCs w:val="20"/>
              </w:rPr>
              <w:t xml:space="preserve">Automatic payment program; picks open AP items; creates payment; sends to bank</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2E7D32"/>
          <w:sz w:val="36"/>
          <w:szCs w:val="36"/>
        </w:rPr>
        <w:t xml:space="preserve">7.3 Material Master Record</w:t>
      </w:r>
    </w:p>
    <w:p>
      <w:pPr>
        <w:spacing w:after="60" w:before="60"/>
        <w:jc w:val="both"/>
      </w:pPr>
      <w:r>
        <w:rPr>
          <w:rFonts w:ascii="Calibri" w:cs="Calibri" w:eastAsia="Calibri" w:hAnsi="Calibri"/>
          <w:color w:val="4A4A4A"/>
          <w:sz w:val="22"/>
          <w:szCs w:val="22"/>
        </w:rPr>
        <w:t xml:space="preserve">The Material Master is the central data object in MM. It contains all data about a material across all SAP modules. Data is organized into views, each maintained by a different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2E7D32" w:color="auto" w:val="clear"/>
          </w:tcPr>
          <w:p>
            <w:r>
              <w:rPr>
                <w:rFonts w:ascii="Calibri" w:cs="Calibri" w:eastAsia="Calibri" w:hAnsi="Calibri"/>
                <w:b/>
                <w:bCs/>
                <w:color w:val="FFFFFF"/>
                <w:sz w:val="18"/>
                <w:szCs w:val="18"/>
              </w:rPr>
              <w:t xml:space="preserve">View</w:t>
            </w:r>
          </w:p>
        </w:tc>
        <w:tc>
          <w:tcPr>
            <w:tcW w:type="dxa" w:w="3780"/>
            <w:shd w:fill="2E7D32" w:color="auto" w:val="clear"/>
          </w:tcPr>
          <w:p>
            <w:r>
              <w:rPr>
                <w:rFonts w:ascii="Calibri" w:cs="Calibri" w:eastAsia="Calibri" w:hAnsi="Calibri"/>
                <w:b/>
                <w:bCs/>
                <w:color w:val="FFFFFF"/>
                <w:sz w:val="18"/>
                <w:szCs w:val="18"/>
              </w:rPr>
              <w:t xml:space="preserve">Org Level</w:t>
            </w:r>
          </w:p>
        </w:tc>
        <w:tc>
          <w:tcPr>
            <w:tcW w:type="dxa" w:w="3780"/>
            <w:shd w:fill="2E7D32" w:color="auto" w:val="clear"/>
          </w:tcPr>
          <w:p>
            <w:r>
              <w:rPr>
                <w:rFonts w:ascii="Calibri" w:cs="Calibri" w:eastAsia="Calibri" w:hAnsi="Calibri"/>
                <w:b/>
                <w:bCs/>
                <w:color w:val="FFFFFF"/>
                <w:sz w:val="18"/>
                <w:szCs w:val="18"/>
              </w:rPr>
              <w:t xml:space="preserve">Key Fields</w:t>
            </w:r>
          </w:p>
        </w:tc>
      </w:tr>
      <w:tr>
        <w:tc>
          <w:tcPr>
            <w:tcW w:type="dxa" w:w="1800"/>
            <w:shd w:fill="F3EEF8" w:color="auto" w:val="clear"/>
          </w:tcPr>
          <w:p>
            <w:r>
              <w:rPr>
                <w:rFonts w:ascii="Calibri" w:cs="Calibri" w:eastAsia="Calibri" w:hAnsi="Calibri"/>
                <w:b/>
                <w:bCs/>
                <w:color w:val="5B2D8E"/>
                <w:sz w:val="18"/>
                <w:szCs w:val="18"/>
              </w:rPr>
              <w:t xml:space="preserve">Basic Data 1/2</w:t>
            </w:r>
          </w:p>
        </w:tc>
        <w:tc>
          <w:tcPr>
            <w:tcW w:type="dxa" w:w="3780"/>
            <w:shd w:fill="F3EEF8" w:color="auto" w:val="clear"/>
          </w:tcPr>
          <w:p>
            <w:r>
              <w:rPr>
                <w:rFonts w:ascii="Calibri" w:cs="Calibri" w:eastAsia="Calibri" w:hAnsi="Calibri"/>
                <w:color w:val="4A4A4A"/>
                <w:sz w:val="18"/>
                <w:szCs w:val="18"/>
              </w:rPr>
              <w:t xml:space="preserve">Cross-plant general data</w:t>
            </w:r>
          </w:p>
        </w:tc>
        <w:tc>
          <w:tcPr>
            <w:tcW w:type="dxa" w:w="3780"/>
            <w:shd w:fill="F3EEF8" w:color="auto" w:val="clear"/>
          </w:tcPr>
          <w:p>
            <w:r>
              <w:rPr>
                <w:rFonts w:ascii="Calibri" w:cs="Calibri" w:eastAsia="Calibri" w:hAnsi="Calibri"/>
                <w:color w:val="4A4A4A"/>
                <w:sz w:val="18"/>
                <w:szCs w:val="18"/>
              </w:rPr>
              <w:t xml:space="preserve">Material group, base UoM, weight, dimensions, shelf life</w:t>
            </w:r>
          </w:p>
        </w:tc>
      </w:tr>
      <w:tr>
        <w:tc>
          <w:tcPr>
            <w:tcW w:type="dxa" w:w="1800"/>
            <w:shd w:fill="FFFFFF" w:color="auto" w:val="clear"/>
          </w:tcPr>
          <w:p>
            <w:r>
              <w:rPr>
                <w:rFonts w:ascii="Calibri" w:cs="Calibri" w:eastAsia="Calibri" w:hAnsi="Calibri"/>
                <w:b/>
                <w:bCs/>
                <w:color w:val="5B2D8E"/>
                <w:sz w:val="18"/>
                <w:szCs w:val="18"/>
              </w:rPr>
              <w:t xml:space="preserve">Purchasing</w:t>
            </w:r>
          </w:p>
        </w:tc>
        <w:tc>
          <w:tcPr>
            <w:tcW w:type="dxa" w:w="3780"/>
            <w:shd w:fill="FFFFFF" w:color="auto" w:val="clear"/>
          </w:tcPr>
          <w:p>
            <w:r>
              <w:rPr>
                <w:rFonts w:ascii="Calibri" w:cs="Calibri" w:eastAsia="Calibri" w:hAnsi="Calibri"/>
                <w:color w:val="4A4A4A"/>
                <w:sz w:val="18"/>
                <w:szCs w:val="18"/>
              </w:rPr>
              <w:t xml:space="preserve">Plant-specific purchasing data</w:t>
            </w:r>
          </w:p>
        </w:tc>
        <w:tc>
          <w:tcPr>
            <w:tcW w:type="dxa" w:w="3780"/>
            <w:shd w:fill="FFFFFF" w:color="auto" w:val="clear"/>
          </w:tcPr>
          <w:p>
            <w:r>
              <w:rPr>
                <w:rFonts w:ascii="Calibri" w:cs="Calibri" w:eastAsia="Calibri" w:hAnsi="Calibri"/>
                <w:color w:val="4A4A4A"/>
                <w:sz w:val="18"/>
                <w:szCs w:val="18"/>
              </w:rPr>
              <w:t xml:space="preserve">Purchasing group, planned delivery time, rounding profile</w:t>
            </w:r>
          </w:p>
        </w:tc>
      </w:tr>
      <w:tr>
        <w:tc>
          <w:tcPr>
            <w:tcW w:type="dxa" w:w="1800"/>
            <w:shd w:fill="F3EEF8" w:color="auto" w:val="clear"/>
          </w:tcPr>
          <w:p>
            <w:r>
              <w:rPr>
                <w:rFonts w:ascii="Calibri" w:cs="Calibri" w:eastAsia="Calibri" w:hAnsi="Calibri"/>
                <w:b/>
                <w:bCs/>
                <w:color w:val="5B2D8E"/>
                <w:sz w:val="18"/>
                <w:szCs w:val="18"/>
              </w:rPr>
              <w:t xml:space="preserve">MRP 1-4</w:t>
            </w:r>
          </w:p>
        </w:tc>
        <w:tc>
          <w:tcPr>
            <w:tcW w:type="dxa" w:w="3780"/>
            <w:shd w:fill="F3EEF8" w:color="auto" w:val="clear"/>
          </w:tcPr>
          <w:p>
            <w:r>
              <w:rPr>
                <w:rFonts w:ascii="Calibri" w:cs="Calibri" w:eastAsia="Calibri" w:hAnsi="Calibri"/>
                <w:color w:val="4A4A4A"/>
                <w:sz w:val="18"/>
                <w:szCs w:val="18"/>
              </w:rPr>
              <w:t xml:space="preserve">MRP parameters</w:t>
            </w:r>
          </w:p>
        </w:tc>
        <w:tc>
          <w:tcPr>
            <w:tcW w:type="dxa" w:w="3780"/>
            <w:shd w:fill="F3EEF8" w:color="auto" w:val="clear"/>
          </w:tcPr>
          <w:p>
            <w:r>
              <w:rPr>
                <w:rFonts w:ascii="Calibri" w:cs="Calibri" w:eastAsia="Calibri" w:hAnsi="Calibri"/>
                <w:color w:val="4A4A4A"/>
                <w:sz w:val="18"/>
                <w:szCs w:val="18"/>
              </w:rPr>
              <w:t xml:space="preserve">MRP type, lot size, reorder point, safety stock, lead time</w:t>
            </w:r>
          </w:p>
        </w:tc>
      </w:tr>
      <w:tr>
        <w:tc>
          <w:tcPr>
            <w:tcW w:type="dxa" w:w="1800"/>
            <w:shd w:fill="FFFFFF" w:color="auto" w:val="clear"/>
          </w:tcPr>
          <w:p>
            <w:r>
              <w:rPr>
                <w:rFonts w:ascii="Calibri" w:cs="Calibri" w:eastAsia="Calibri" w:hAnsi="Calibri"/>
                <w:b/>
                <w:bCs/>
                <w:color w:val="5B2D8E"/>
                <w:sz w:val="18"/>
                <w:szCs w:val="18"/>
              </w:rPr>
              <w:t xml:space="preserve">Plant Data/Storage</w:t>
            </w:r>
          </w:p>
        </w:tc>
        <w:tc>
          <w:tcPr>
            <w:tcW w:type="dxa" w:w="3780"/>
            <w:shd w:fill="FFFFFF" w:color="auto" w:val="clear"/>
          </w:tcPr>
          <w:p>
            <w:r>
              <w:rPr>
                <w:rFonts w:ascii="Calibri" w:cs="Calibri" w:eastAsia="Calibri" w:hAnsi="Calibri"/>
                <w:color w:val="4A4A4A"/>
                <w:sz w:val="18"/>
                <w:szCs w:val="18"/>
              </w:rPr>
              <w:t xml:space="preserve">Storage details</w:t>
            </w:r>
          </w:p>
        </w:tc>
        <w:tc>
          <w:tcPr>
            <w:tcW w:type="dxa" w:w="3780"/>
            <w:shd w:fill="FFFFFF" w:color="auto" w:val="clear"/>
          </w:tcPr>
          <w:p>
            <w:r>
              <w:rPr>
                <w:rFonts w:ascii="Calibri" w:cs="Calibri" w:eastAsia="Calibri" w:hAnsi="Calibri"/>
                <w:color w:val="4A4A4A"/>
                <w:sz w:val="18"/>
                <w:szCs w:val="18"/>
              </w:rPr>
              <w:t xml:space="preserve">Storage conditions, temperature ranges, stock quantities</w:t>
            </w:r>
          </w:p>
        </w:tc>
      </w:tr>
      <w:tr>
        <w:tc>
          <w:tcPr>
            <w:tcW w:type="dxa" w:w="1800"/>
            <w:shd w:fill="F3EEF8" w:color="auto" w:val="clear"/>
          </w:tcPr>
          <w:p>
            <w:r>
              <w:rPr>
                <w:rFonts w:ascii="Calibri" w:cs="Calibri" w:eastAsia="Calibri" w:hAnsi="Calibri"/>
                <w:b/>
                <w:bCs/>
                <w:color w:val="5B2D8E"/>
                <w:sz w:val="18"/>
                <w:szCs w:val="18"/>
              </w:rPr>
              <w:t xml:space="preserve">Accounting 1/2</w:t>
            </w:r>
          </w:p>
        </w:tc>
        <w:tc>
          <w:tcPr>
            <w:tcW w:type="dxa" w:w="3780"/>
            <w:shd w:fill="F3EEF8" w:color="auto" w:val="clear"/>
          </w:tcPr>
          <w:p>
            <w:r>
              <w:rPr>
                <w:rFonts w:ascii="Calibri" w:cs="Calibri" w:eastAsia="Calibri" w:hAnsi="Calibri"/>
                <w:color w:val="4A4A4A"/>
                <w:sz w:val="18"/>
                <w:szCs w:val="18"/>
              </w:rPr>
              <w:t xml:space="preserve">Valuation data</w:t>
            </w:r>
          </w:p>
        </w:tc>
        <w:tc>
          <w:tcPr>
            <w:tcW w:type="dxa" w:w="3780"/>
            <w:shd w:fill="F3EEF8" w:color="auto" w:val="clear"/>
          </w:tcPr>
          <w:p>
            <w:r>
              <w:rPr>
                <w:rFonts w:ascii="Calibri" w:cs="Calibri" w:eastAsia="Calibri" w:hAnsi="Calibri"/>
                <w:color w:val="4A4A4A"/>
                <w:sz w:val="18"/>
                <w:szCs w:val="18"/>
              </w:rPr>
              <w:t xml:space="preserve">Valuation class, price control (S/V), moving average price</w:t>
            </w:r>
          </w:p>
        </w:tc>
      </w:tr>
      <w:tr>
        <w:tc>
          <w:tcPr>
            <w:tcW w:type="dxa" w:w="1800"/>
            <w:shd w:fill="FFFFFF" w:color="auto" w:val="clear"/>
          </w:tcPr>
          <w:p>
            <w:r>
              <w:rPr>
                <w:rFonts w:ascii="Calibri" w:cs="Calibri" w:eastAsia="Calibri" w:hAnsi="Calibri"/>
                <w:b/>
                <w:bCs/>
                <w:color w:val="5B2D8E"/>
                <w:sz w:val="18"/>
                <w:szCs w:val="18"/>
              </w:rPr>
              <w:t xml:space="preserve">Sales Org 1/2</w:t>
            </w:r>
          </w:p>
        </w:tc>
        <w:tc>
          <w:tcPr>
            <w:tcW w:type="dxa" w:w="3780"/>
            <w:shd w:fill="FFFFFF" w:color="auto" w:val="clear"/>
          </w:tcPr>
          <w:p>
            <w:r>
              <w:rPr>
                <w:rFonts w:ascii="Calibri" w:cs="Calibri" w:eastAsia="Calibri" w:hAnsi="Calibri"/>
                <w:color w:val="4A4A4A"/>
                <w:sz w:val="18"/>
                <w:szCs w:val="18"/>
              </w:rPr>
              <w:t xml:space="preserve">Sales-relevant data</w:t>
            </w:r>
          </w:p>
        </w:tc>
        <w:tc>
          <w:tcPr>
            <w:tcW w:type="dxa" w:w="3780"/>
            <w:shd w:fill="FFFFFF" w:color="auto" w:val="clear"/>
          </w:tcPr>
          <w:p>
            <w:r>
              <w:rPr>
                <w:rFonts w:ascii="Calibri" w:cs="Calibri" w:eastAsia="Calibri" w:hAnsi="Calibri"/>
                <w:color w:val="4A4A4A"/>
                <w:sz w:val="18"/>
                <w:szCs w:val="18"/>
              </w:rPr>
              <w:t xml:space="preserve">Delivering plant, item category group, account assignment group</w:t>
            </w:r>
          </w:p>
        </w:tc>
      </w:tr>
    </w:tbl>
    <w:p>
      <w:r>
        <w:br w:type="page"/>
      </w:r>
    </w:p>
    <w:p>
      <w:pPr>
        <w:pStyle w:val="Heading1"/>
        <w:spacing w:after="120" w:before="400"/>
      </w:pPr>
      <w:r>
        <w:rPr>
          <w:rFonts w:ascii="Calibri" w:cs="Calibri" w:eastAsia="Calibri" w:hAnsi="Calibri"/>
          <w:b/>
          <w:bCs/>
          <w:color w:val="5B2D8E"/>
          <w:sz w:val="44"/>
          <w:szCs w:val="44"/>
        </w:rPr>
        <w:t xml:space="preserve">Chapter 8: Sales &amp; Distribution (SD)</w:t>
      </w:r>
    </w:p>
    <w:p>
      <w:pPr>
        <w:pStyle w:val="Heading2"/>
        <w:spacing w:after="120" w:before="300"/>
      </w:pPr>
      <w:r>
        <w:rPr>
          <w:rFonts w:ascii="Calibri" w:cs="Calibri" w:eastAsia="Calibri" w:hAnsi="Calibri"/>
          <w:b/>
          <w:bCs/>
          <w:color w:val="2E7D32"/>
          <w:sz w:val="36"/>
          <w:szCs w:val="36"/>
        </w:rPr>
        <w:t xml:space="preserve">8.1 SD Module Overview</w:t>
      </w:r>
    </w:p>
    <w:p>
      <w:pPr>
        <w:spacing w:after="60" w:before="60"/>
        <w:jc w:val="both"/>
      </w:pPr>
      <w:r>
        <w:rPr>
          <w:rFonts w:ascii="Calibri" w:cs="Calibri" w:eastAsia="Calibri" w:hAnsi="Calibri"/>
          <w:color w:val="4A4A4A"/>
          <w:sz w:val="22"/>
          <w:szCs w:val="22"/>
        </w:rPr>
        <w:t xml:space="preserve">SAP Sales &amp; Distribution (SD) handles the entire order-to-cash process — from customer inquiry through order fulfillment, delivery, and invoicing. SD integrates deeply with MM (for stock availability), PP (for production), and FI (for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2E7D32" w:color="auto" w:val="clear"/>
          </w:tcPr>
          <w:p>
            <w:r>
              <w:rPr>
                <w:rFonts w:ascii="Calibri" w:cs="Calibri" w:eastAsia="Calibri" w:hAnsi="Calibri"/>
                <w:b/>
                <w:bCs/>
                <w:color w:val="FFFFFF"/>
                <w:sz w:val="20"/>
                <w:szCs w:val="20"/>
              </w:rPr>
              <w:t xml:space="preserve">Sub-Module</w:t>
            </w:r>
          </w:p>
        </w:tc>
        <w:tc>
          <w:tcPr>
            <w:tcW w:type="dxa" w:w="6660"/>
            <w:shd w:fill="2E7D32" w:color="auto" w:val="clear"/>
          </w:tcPr>
          <w:p>
            <w:r>
              <w:rPr>
                <w:rFonts w:ascii="Calibri" w:cs="Calibri" w:eastAsia="Calibri" w:hAnsi="Calibri"/>
                <w:b/>
                <w:bCs/>
                <w:color w:val="FFFFFF"/>
                <w:sz w:val="20"/>
                <w:szCs w:val="20"/>
              </w:rPr>
              <w:t xml:space="preserve">Function</w:t>
            </w:r>
          </w:p>
        </w:tc>
      </w:tr>
      <w:tr>
        <w:tc>
          <w:tcPr>
            <w:tcW w:type="dxa" w:w="2700"/>
            <w:shd w:fill="F3EEF8" w:color="auto" w:val="clear"/>
          </w:tcPr>
          <w:p>
            <w:r>
              <w:rPr>
                <w:rFonts w:ascii="Calibri" w:cs="Calibri" w:eastAsia="Calibri" w:hAnsi="Calibri"/>
                <w:b/>
                <w:bCs/>
                <w:color w:val="5B2D8E"/>
                <w:sz w:val="20"/>
                <w:szCs w:val="20"/>
              </w:rPr>
              <w:t xml:space="preserve">SD-BF</w:t>
            </w:r>
          </w:p>
        </w:tc>
        <w:tc>
          <w:tcPr>
            <w:tcW w:type="dxa" w:w="6660"/>
            <w:shd w:fill="F3EEF8" w:color="auto" w:val="clear"/>
          </w:tcPr>
          <w:p>
            <w:r>
              <w:rPr>
                <w:rFonts w:ascii="Calibri" w:cs="Calibri" w:eastAsia="Calibri" w:hAnsi="Calibri"/>
                <w:color w:val="4A4A4A"/>
                <w:sz w:val="20"/>
                <w:szCs w:val="20"/>
              </w:rPr>
              <w:t xml:space="preserve">Basic Functions — pricing, availability check, output, text management, credit management</w:t>
            </w:r>
          </w:p>
        </w:tc>
      </w:tr>
      <w:tr>
        <w:tc>
          <w:tcPr>
            <w:tcW w:type="dxa" w:w="2700"/>
            <w:shd w:fill="FFFFFF" w:color="auto" w:val="clear"/>
          </w:tcPr>
          <w:p>
            <w:r>
              <w:rPr>
                <w:rFonts w:ascii="Calibri" w:cs="Calibri" w:eastAsia="Calibri" w:hAnsi="Calibri"/>
                <w:b/>
                <w:bCs/>
                <w:color w:val="5B2D8E"/>
                <w:sz w:val="20"/>
                <w:szCs w:val="20"/>
              </w:rPr>
              <w:t xml:space="preserve">SD-SLS</w:t>
            </w:r>
          </w:p>
        </w:tc>
        <w:tc>
          <w:tcPr>
            <w:tcW w:type="dxa" w:w="6660"/>
            <w:shd w:fill="FFFFFF" w:color="auto" w:val="clear"/>
          </w:tcPr>
          <w:p>
            <w:r>
              <w:rPr>
                <w:rFonts w:ascii="Calibri" w:cs="Calibri" w:eastAsia="Calibri" w:hAnsi="Calibri"/>
                <w:color w:val="4A4A4A"/>
                <w:sz w:val="20"/>
                <w:szCs w:val="20"/>
              </w:rPr>
              <w:t xml:space="preserve">Sales — quotations, sales orders, contracts, scheduling agreements, rush orders</w:t>
            </w:r>
          </w:p>
        </w:tc>
      </w:tr>
      <w:tr>
        <w:tc>
          <w:tcPr>
            <w:tcW w:type="dxa" w:w="2700"/>
            <w:shd w:fill="F3EEF8" w:color="auto" w:val="clear"/>
          </w:tcPr>
          <w:p>
            <w:r>
              <w:rPr>
                <w:rFonts w:ascii="Calibri" w:cs="Calibri" w:eastAsia="Calibri" w:hAnsi="Calibri"/>
                <w:b/>
                <w:bCs/>
                <w:color w:val="5B2D8E"/>
                <w:sz w:val="20"/>
                <w:szCs w:val="20"/>
              </w:rPr>
              <w:t xml:space="preserve">SD-SHP</w:t>
            </w:r>
          </w:p>
        </w:tc>
        <w:tc>
          <w:tcPr>
            <w:tcW w:type="dxa" w:w="6660"/>
            <w:shd w:fill="F3EEF8" w:color="auto" w:val="clear"/>
          </w:tcPr>
          <w:p>
            <w:r>
              <w:rPr>
                <w:rFonts w:ascii="Calibri" w:cs="Calibri" w:eastAsia="Calibri" w:hAnsi="Calibri"/>
                <w:color w:val="4A4A4A"/>
                <w:sz w:val="20"/>
                <w:szCs w:val="20"/>
              </w:rPr>
              <w:t xml:space="preserve">Shipping — delivery documents, picking, packing, goods issue, transportation planning</w:t>
            </w:r>
          </w:p>
        </w:tc>
      </w:tr>
      <w:tr>
        <w:tc>
          <w:tcPr>
            <w:tcW w:type="dxa" w:w="2700"/>
            <w:shd w:fill="FFFFFF" w:color="auto" w:val="clear"/>
          </w:tcPr>
          <w:p>
            <w:r>
              <w:rPr>
                <w:rFonts w:ascii="Calibri" w:cs="Calibri" w:eastAsia="Calibri" w:hAnsi="Calibri"/>
                <w:b/>
                <w:bCs/>
                <w:color w:val="5B2D8E"/>
                <w:sz w:val="20"/>
                <w:szCs w:val="20"/>
              </w:rPr>
              <w:t xml:space="preserve">SD-BIL</w:t>
            </w:r>
          </w:p>
        </w:tc>
        <w:tc>
          <w:tcPr>
            <w:tcW w:type="dxa" w:w="6660"/>
            <w:shd w:fill="FFFFFF" w:color="auto" w:val="clear"/>
          </w:tcPr>
          <w:p>
            <w:r>
              <w:rPr>
                <w:rFonts w:ascii="Calibri" w:cs="Calibri" w:eastAsia="Calibri" w:hAnsi="Calibri"/>
                <w:color w:val="4A4A4A"/>
                <w:sz w:val="20"/>
                <w:szCs w:val="20"/>
              </w:rPr>
              <w:t xml:space="preserve">Billing — invoices, credit/debit memos, pro-forma invoices; FI posting on billing</w:t>
            </w:r>
          </w:p>
        </w:tc>
      </w:tr>
      <w:tr>
        <w:tc>
          <w:tcPr>
            <w:tcW w:type="dxa" w:w="2700"/>
            <w:shd w:fill="F3EEF8" w:color="auto" w:val="clear"/>
          </w:tcPr>
          <w:p>
            <w:r>
              <w:rPr>
                <w:rFonts w:ascii="Calibri" w:cs="Calibri" w:eastAsia="Calibri" w:hAnsi="Calibri"/>
                <w:b/>
                <w:bCs/>
                <w:color w:val="5B2D8E"/>
                <w:sz w:val="20"/>
                <w:szCs w:val="20"/>
              </w:rPr>
              <w:t xml:space="preserve">SD-CAS</w:t>
            </w:r>
          </w:p>
        </w:tc>
        <w:tc>
          <w:tcPr>
            <w:tcW w:type="dxa" w:w="6660"/>
            <w:shd w:fill="F3EEF8" w:color="auto" w:val="clear"/>
          </w:tcPr>
          <w:p>
            <w:r>
              <w:rPr>
                <w:rFonts w:ascii="Calibri" w:cs="Calibri" w:eastAsia="Calibri" w:hAnsi="Calibri"/>
                <w:color w:val="4A4A4A"/>
                <w:sz w:val="20"/>
                <w:szCs w:val="20"/>
              </w:rPr>
              <w:t xml:space="preserve">Sales Support — activities, contacts, campaign management (basic CRM functionality)</w:t>
            </w:r>
          </w:p>
        </w:tc>
      </w:tr>
      <w:tr>
        <w:tc>
          <w:tcPr>
            <w:tcW w:type="dxa" w:w="2700"/>
            <w:shd w:fill="FFFFFF" w:color="auto" w:val="clear"/>
          </w:tcPr>
          <w:p>
            <w:r>
              <w:rPr>
                <w:rFonts w:ascii="Calibri" w:cs="Calibri" w:eastAsia="Calibri" w:hAnsi="Calibri"/>
                <w:b/>
                <w:bCs/>
                <w:color w:val="5B2D8E"/>
                <w:sz w:val="20"/>
                <w:szCs w:val="20"/>
              </w:rPr>
              <w:t xml:space="preserve">SD-MD</w:t>
            </w:r>
          </w:p>
        </w:tc>
        <w:tc>
          <w:tcPr>
            <w:tcW w:type="dxa" w:w="6660"/>
            <w:shd w:fill="FFFFFF" w:color="auto" w:val="clear"/>
          </w:tcPr>
          <w:p>
            <w:r>
              <w:rPr>
                <w:rFonts w:ascii="Calibri" w:cs="Calibri" w:eastAsia="Calibri" w:hAnsi="Calibri"/>
                <w:color w:val="4A4A4A"/>
                <w:sz w:val="20"/>
                <w:szCs w:val="20"/>
              </w:rPr>
              <w:t xml:space="preserve">Master Data — customer master, material master SD views, pricing conditions, customer-material info records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2E7D32"/>
          <w:sz w:val="36"/>
          <w:szCs w:val="36"/>
        </w:rPr>
        <w:t xml:space="preserve">8.2 Order-to-Cash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2E7D32" w:color="auto" w:val="clear"/>
          </w:tcPr>
          <w:p>
            <w:r>
              <w:rPr>
                <w:rFonts w:ascii="Calibri" w:cs="Calibri" w:eastAsia="Calibri" w:hAnsi="Calibri"/>
                <w:b/>
                <w:bCs/>
                <w:color w:val="FFFFFF"/>
                <w:sz w:val="20"/>
                <w:szCs w:val="20"/>
              </w:rPr>
              <w:t xml:space="preserve">Step</w:t>
            </w:r>
          </w:p>
        </w:tc>
        <w:tc>
          <w:tcPr>
            <w:tcW w:type="dxa" w:w="6660"/>
            <w:shd w:fill="2E7D32"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Pre-Sales Activity</w:t>
            </w:r>
          </w:p>
        </w:tc>
        <w:tc>
          <w:tcPr>
            <w:tcW w:type="dxa" w:w="6660"/>
            <w:shd w:fill="F3EEF8" w:color="auto" w:val="clear"/>
          </w:tcPr>
          <w:p>
            <w:r>
              <w:rPr>
                <w:rFonts w:ascii="Calibri" w:cs="Calibri" w:eastAsia="Calibri" w:hAnsi="Calibri"/>
                <w:color w:val="4A4A4A"/>
                <w:sz w:val="20"/>
                <w:szCs w:val="20"/>
              </w:rPr>
              <w:t xml:space="preserve">Inquiry (VA11), Quotation (VA21) — optional; customer communication before order</w:t>
            </w:r>
          </w:p>
        </w:tc>
      </w:tr>
      <w:tr>
        <w:tc>
          <w:tcPr>
            <w:tcW w:type="dxa" w:w="2700"/>
            <w:shd w:fill="FFFFFF" w:color="auto" w:val="clear"/>
          </w:tcPr>
          <w:p>
            <w:r>
              <w:rPr>
                <w:rFonts w:ascii="Calibri" w:cs="Calibri" w:eastAsia="Calibri" w:hAnsi="Calibri"/>
                <w:b/>
                <w:bCs/>
                <w:color w:val="5B2D8E"/>
                <w:sz w:val="20"/>
                <w:szCs w:val="20"/>
              </w:rPr>
              <w:t xml:space="preserve">Sales Order (VA01)</w:t>
            </w:r>
          </w:p>
        </w:tc>
        <w:tc>
          <w:tcPr>
            <w:tcW w:type="dxa" w:w="6660"/>
            <w:shd w:fill="FFFFFF" w:color="auto" w:val="clear"/>
          </w:tcPr>
          <w:p>
            <w:r>
              <w:rPr>
                <w:rFonts w:ascii="Calibri" w:cs="Calibri" w:eastAsia="Calibri" w:hAnsi="Calibri"/>
                <w:color w:val="4A4A4A"/>
                <w:sz w:val="20"/>
                <w:szCs w:val="20"/>
              </w:rPr>
              <w:t xml:space="preserve">Core SD document; item categories; schedule lines; pricing; availability check; credit check</w:t>
            </w:r>
          </w:p>
        </w:tc>
      </w:tr>
      <w:tr>
        <w:tc>
          <w:tcPr>
            <w:tcW w:type="dxa" w:w="2700"/>
            <w:shd w:fill="F3EEF8" w:color="auto" w:val="clear"/>
          </w:tcPr>
          <w:p>
            <w:r>
              <w:rPr>
                <w:rFonts w:ascii="Calibri" w:cs="Calibri" w:eastAsia="Calibri" w:hAnsi="Calibri"/>
                <w:b/>
                <w:bCs/>
                <w:color w:val="5B2D8E"/>
                <w:sz w:val="20"/>
                <w:szCs w:val="20"/>
              </w:rPr>
              <w:t xml:space="preserve">Delivery (VL01N)</w:t>
            </w:r>
          </w:p>
        </w:tc>
        <w:tc>
          <w:tcPr>
            <w:tcW w:type="dxa" w:w="6660"/>
            <w:shd w:fill="F3EEF8" w:color="auto" w:val="clear"/>
          </w:tcPr>
          <w:p>
            <w:r>
              <w:rPr>
                <w:rFonts w:ascii="Calibri" w:cs="Calibri" w:eastAsia="Calibri" w:hAnsi="Calibri"/>
                <w:color w:val="4A4A4A"/>
                <w:sz w:val="20"/>
                <w:szCs w:val="20"/>
              </w:rPr>
              <w:t xml:space="preserve">Outbound delivery; picking and packing; goods issue (GI) = inventory reduction and COGS posting</w:t>
            </w:r>
          </w:p>
        </w:tc>
      </w:tr>
      <w:tr>
        <w:tc>
          <w:tcPr>
            <w:tcW w:type="dxa" w:w="2700"/>
            <w:shd w:fill="FFFFFF" w:color="auto" w:val="clear"/>
          </w:tcPr>
          <w:p>
            <w:r>
              <w:rPr>
                <w:rFonts w:ascii="Calibri" w:cs="Calibri" w:eastAsia="Calibri" w:hAnsi="Calibri"/>
                <w:b/>
                <w:bCs/>
                <w:color w:val="5B2D8E"/>
                <w:sz w:val="20"/>
                <w:szCs w:val="20"/>
              </w:rPr>
              <w:t xml:space="preserve">Transportation</w:t>
            </w:r>
          </w:p>
        </w:tc>
        <w:tc>
          <w:tcPr>
            <w:tcW w:type="dxa" w:w="6660"/>
            <w:shd w:fill="FFFFFF" w:color="auto" w:val="clear"/>
          </w:tcPr>
          <w:p>
            <w:r>
              <w:rPr>
                <w:rFonts w:ascii="Calibri" w:cs="Calibri" w:eastAsia="Calibri" w:hAnsi="Calibri"/>
                <w:color w:val="4A4A4A"/>
                <w:sz w:val="20"/>
                <w:szCs w:val="20"/>
              </w:rPr>
              <w:t xml:space="preserve">Shipment document; carrier assignment; freight cost settlement; route determination</w:t>
            </w:r>
          </w:p>
        </w:tc>
      </w:tr>
      <w:tr>
        <w:tc>
          <w:tcPr>
            <w:tcW w:type="dxa" w:w="2700"/>
            <w:shd w:fill="F3EEF8" w:color="auto" w:val="clear"/>
          </w:tcPr>
          <w:p>
            <w:r>
              <w:rPr>
                <w:rFonts w:ascii="Calibri" w:cs="Calibri" w:eastAsia="Calibri" w:hAnsi="Calibri"/>
                <w:b/>
                <w:bCs/>
                <w:color w:val="5B2D8E"/>
                <w:sz w:val="20"/>
                <w:szCs w:val="20"/>
              </w:rPr>
              <w:t xml:space="preserve">Billing (VF01)</w:t>
            </w:r>
          </w:p>
        </w:tc>
        <w:tc>
          <w:tcPr>
            <w:tcW w:type="dxa" w:w="6660"/>
            <w:shd w:fill="F3EEF8" w:color="auto" w:val="clear"/>
          </w:tcPr>
          <w:p>
            <w:r>
              <w:rPr>
                <w:rFonts w:ascii="Calibri" w:cs="Calibri" w:eastAsia="Calibri" w:hAnsi="Calibri"/>
                <w:color w:val="4A4A4A"/>
                <w:sz w:val="20"/>
                <w:szCs w:val="20"/>
              </w:rPr>
              <w:t xml:space="preserve">Invoice creation from delivery; revenue recognition; FI document with revenue/AR posting</w:t>
            </w:r>
          </w:p>
        </w:tc>
      </w:tr>
      <w:tr>
        <w:tc>
          <w:tcPr>
            <w:tcW w:type="dxa" w:w="2700"/>
            <w:shd w:fill="FFFFFF" w:color="auto" w:val="clear"/>
          </w:tcPr>
          <w:p>
            <w:r>
              <w:rPr>
                <w:rFonts w:ascii="Calibri" w:cs="Calibri" w:eastAsia="Calibri" w:hAnsi="Calibri"/>
                <w:b/>
                <w:bCs/>
                <w:color w:val="5B2D8E"/>
                <w:sz w:val="20"/>
                <w:szCs w:val="20"/>
              </w:rPr>
              <w:t xml:space="preserve">Payment Receipt</w:t>
            </w:r>
          </w:p>
        </w:tc>
        <w:tc>
          <w:tcPr>
            <w:tcW w:type="dxa" w:w="6660"/>
            <w:shd w:fill="FFFFFF" w:color="auto" w:val="clear"/>
          </w:tcPr>
          <w:p>
            <w:r>
              <w:rPr>
                <w:rFonts w:ascii="Calibri" w:cs="Calibri" w:eastAsia="Calibri" w:hAnsi="Calibri"/>
                <w:color w:val="4A4A4A"/>
                <w:sz w:val="20"/>
                <w:szCs w:val="20"/>
              </w:rPr>
              <w:t xml:space="preserve">Customer payment applied in FI-AR (F-28); incoming payment; clearing of AR open item</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2E7D32"/>
          <w:sz w:val="36"/>
          <w:szCs w:val="36"/>
        </w:rPr>
        <w:t xml:space="preserve">8.3 Pricing in SD</w:t>
      </w:r>
    </w:p>
    <w:p>
      <w:pPr>
        <w:spacing w:after="60" w:before="60"/>
        <w:jc w:val="both"/>
      </w:pPr>
      <w:r>
        <w:rPr>
          <w:rFonts w:ascii="Calibri" w:cs="Calibri" w:eastAsia="Calibri" w:hAnsi="Calibri"/>
          <w:color w:val="4A4A4A"/>
          <w:sz w:val="22"/>
          <w:szCs w:val="22"/>
        </w:rPr>
        <w:t xml:space="preserve">SAP SD pricing uses a condition technique — a flexible configuration framework that determines prices, discounts, taxes, and surcharges based on master data conditions records:</w:t>
      </w:r>
    </w:p>
    <w:p>
      <w:pPr>
        <w:pStyle w:val="ListParagraph"/>
        <w:numPr>
          <w:ilvl w:val="0"/>
          <w:numId w:val="2"/>
        </w:numPr>
        <w:spacing w:after="40" w:before="40"/>
      </w:pPr>
      <w:r>
        <w:rPr>
          <w:rFonts w:ascii="Calibri" w:cs="Calibri" w:eastAsia="Calibri" w:hAnsi="Calibri"/>
          <w:color w:val="4A4A4A"/>
          <w:sz w:val="22"/>
          <w:szCs w:val="22"/>
        </w:rPr>
        <w:t xml:space="preserve">Condition Type: Represents one pricing element (e.g., PR00=Base Price, K007=Customer Discount, MWST=Tax)</w:t>
      </w:r>
    </w:p>
    <w:p>
      <w:pPr>
        <w:pStyle w:val="ListParagraph"/>
        <w:numPr>
          <w:ilvl w:val="0"/>
          <w:numId w:val="2"/>
        </w:numPr>
        <w:spacing w:after="40" w:before="40"/>
      </w:pPr>
      <w:r>
        <w:rPr>
          <w:rFonts w:ascii="Calibri" w:cs="Calibri" w:eastAsia="Calibri" w:hAnsi="Calibri"/>
          <w:color w:val="4A4A4A"/>
          <w:sz w:val="22"/>
          <w:szCs w:val="22"/>
        </w:rPr>
        <w:t xml:space="preserve">Condition Table: Combination of fields that identify a unique condition record (e.g., Customer + Material)</w:t>
      </w:r>
    </w:p>
    <w:p>
      <w:pPr>
        <w:pStyle w:val="ListParagraph"/>
        <w:numPr>
          <w:ilvl w:val="0"/>
          <w:numId w:val="2"/>
        </w:numPr>
        <w:spacing w:after="40" w:before="40"/>
      </w:pPr>
      <w:r>
        <w:rPr>
          <w:rFonts w:ascii="Calibri" w:cs="Calibri" w:eastAsia="Calibri" w:hAnsi="Calibri"/>
          <w:color w:val="4A4A4A"/>
          <w:sz w:val="22"/>
          <w:szCs w:val="22"/>
        </w:rPr>
        <w:t xml:space="preserve">Access Sequence: Search strategy — checks condition tables in priority order to find valid condition records</w:t>
      </w:r>
    </w:p>
    <w:p>
      <w:pPr>
        <w:pStyle w:val="ListParagraph"/>
        <w:numPr>
          <w:ilvl w:val="0"/>
          <w:numId w:val="2"/>
        </w:numPr>
        <w:spacing w:after="40" w:before="40"/>
      </w:pPr>
      <w:r>
        <w:rPr>
          <w:rFonts w:ascii="Calibri" w:cs="Calibri" w:eastAsia="Calibri" w:hAnsi="Calibri"/>
          <w:color w:val="4A4A4A"/>
          <w:sz w:val="22"/>
          <w:szCs w:val="22"/>
        </w:rPr>
        <w:t xml:space="preserve">Pricing Procedure: Ordered list of condition types with subtotals, requirements, and account keys</w:t>
      </w:r>
    </w:p>
    <w:p>
      <w:pPr>
        <w:pStyle w:val="ListParagraph"/>
        <w:numPr>
          <w:ilvl w:val="0"/>
          <w:numId w:val="2"/>
        </w:numPr>
        <w:spacing w:after="40" w:before="40"/>
      </w:pPr>
      <w:r>
        <w:rPr>
          <w:rFonts w:ascii="Calibri" w:cs="Calibri" w:eastAsia="Calibri" w:hAnsi="Calibri"/>
          <w:color w:val="4A4A4A"/>
          <w:sz w:val="22"/>
          <w:szCs w:val="22"/>
        </w:rPr>
        <w:t xml:space="preserve">Condition Record: Actual price/discount values maintained in VK11; valid from/to dates</w:t>
      </w:r>
    </w:p>
    <w:p>
      <w:r>
        <w:br w:type="page"/>
      </w:r>
    </w:p>
    <w:p>
      <w:pPr>
        <w:pStyle w:val="Heading1"/>
        <w:spacing w:after="120" w:before="400"/>
      </w:pPr>
      <w:r>
        <w:rPr>
          <w:rFonts w:ascii="Calibri" w:cs="Calibri" w:eastAsia="Calibri" w:hAnsi="Calibri"/>
          <w:b/>
          <w:bCs/>
          <w:color w:val="5B2D8E"/>
          <w:sz w:val="44"/>
          <w:szCs w:val="44"/>
        </w:rPr>
        <w:t xml:space="preserve">Chapter 9: Production Planning (PP)</w:t>
      </w:r>
    </w:p>
    <w:p>
      <w:pPr>
        <w:pStyle w:val="Heading2"/>
        <w:spacing w:after="120" w:before="300"/>
      </w:pPr>
      <w:r>
        <w:rPr>
          <w:rFonts w:ascii="Calibri" w:cs="Calibri" w:eastAsia="Calibri" w:hAnsi="Calibri"/>
          <w:b/>
          <w:bCs/>
          <w:color w:val="2E7D32"/>
          <w:sz w:val="36"/>
          <w:szCs w:val="36"/>
        </w:rPr>
        <w:t xml:space="preserve">9.1 PP Module Overview</w:t>
      </w:r>
    </w:p>
    <w:p>
      <w:pPr>
        <w:spacing w:after="60" w:before="60"/>
        <w:jc w:val="both"/>
      </w:pPr>
      <w:r>
        <w:rPr>
          <w:rFonts w:ascii="Calibri" w:cs="Calibri" w:eastAsia="Calibri" w:hAnsi="Calibri"/>
          <w:color w:val="4A4A4A"/>
          <w:sz w:val="22"/>
          <w:szCs w:val="22"/>
        </w:rPr>
        <w:t xml:space="preserve">SAP Production Planning (PP) manages the manufacturing process from demand planning through production execution. It integrates with MM (materials), CO-PC (costing), QM (quality), and PM (plant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2E7D32" w:color="auto" w:val="clear"/>
          </w:tcPr>
          <w:p>
            <w:r>
              <w:rPr>
                <w:rFonts w:ascii="Calibri" w:cs="Calibri" w:eastAsia="Calibri" w:hAnsi="Calibri"/>
                <w:b/>
                <w:bCs/>
                <w:color w:val="FFFFFF"/>
                <w:sz w:val="20"/>
                <w:szCs w:val="20"/>
              </w:rPr>
              <w:t xml:space="preserve">Sub-Module</w:t>
            </w:r>
          </w:p>
        </w:tc>
        <w:tc>
          <w:tcPr>
            <w:tcW w:type="dxa" w:w="6660"/>
            <w:shd w:fill="2E7D32" w:color="auto" w:val="clear"/>
          </w:tcPr>
          <w:p>
            <w:r>
              <w:rPr>
                <w:rFonts w:ascii="Calibri" w:cs="Calibri" w:eastAsia="Calibri" w:hAnsi="Calibri"/>
                <w:b/>
                <w:bCs/>
                <w:color w:val="FFFFFF"/>
                <w:sz w:val="20"/>
                <w:szCs w:val="20"/>
              </w:rPr>
              <w:t xml:space="preserve">Function</w:t>
            </w:r>
          </w:p>
        </w:tc>
      </w:tr>
      <w:tr>
        <w:tc>
          <w:tcPr>
            <w:tcW w:type="dxa" w:w="2700"/>
            <w:shd w:fill="F3EEF8" w:color="auto" w:val="clear"/>
          </w:tcPr>
          <w:p>
            <w:r>
              <w:rPr>
                <w:rFonts w:ascii="Calibri" w:cs="Calibri" w:eastAsia="Calibri" w:hAnsi="Calibri"/>
                <w:b/>
                <w:bCs/>
                <w:color w:val="5B2D8E"/>
                <w:sz w:val="20"/>
                <w:szCs w:val="20"/>
              </w:rPr>
              <w:t xml:space="preserve">PP-MPS</w:t>
            </w:r>
          </w:p>
        </w:tc>
        <w:tc>
          <w:tcPr>
            <w:tcW w:type="dxa" w:w="6660"/>
            <w:shd w:fill="F3EEF8" w:color="auto" w:val="clear"/>
          </w:tcPr>
          <w:p>
            <w:r>
              <w:rPr>
                <w:rFonts w:ascii="Calibri" w:cs="Calibri" w:eastAsia="Calibri" w:hAnsi="Calibri"/>
                <w:color w:val="4A4A4A"/>
                <w:sz w:val="20"/>
                <w:szCs w:val="20"/>
              </w:rPr>
              <w:t xml:space="preserve">Master Production Scheduling — high-level production plan for key products</w:t>
            </w:r>
          </w:p>
        </w:tc>
      </w:tr>
      <w:tr>
        <w:tc>
          <w:tcPr>
            <w:tcW w:type="dxa" w:w="2700"/>
            <w:shd w:fill="FFFFFF" w:color="auto" w:val="clear"/>
          </w:tcPr>
          <w:p>
            <w:r>
              <w:rPr>
                <w:rFonts w:ascii="Calibri" w:cs="Calibri" w:eastAsia="Calibri" w:hAnsi="Calibri"/>
                <w:b/>
                <w:bCs/>
                <w:color w:val="5B2D8E"/>
                <w:sz w:val="20"/>
                <w:szCs w:val="20"/>
              </w:rPr>
              <w:t xml:space="preserve">PP-MRP</w:t>
            </w:r>
          </w:p>
        </w:tc>
        <w:tc>
          <w:tcPr>
            <w:tcW w:type="dxa" w:w="6660"/>
            <w:shd w:fill="FFFFFF" w:color="auto" w:val="clear"/>
          </w:tcPr>
          <w:p>
            <w:r>
              <w:rPr>
                <w:rFonts w:ascii="Calibri" w:cs="Calibri" w:eastAsia="Calibri" w:hAnsi="Calibri"/>
                <w:color w:val="4A4A4A"/>
                <w:sz w:val="20"/>
                <w:szCs w:val="20"/>
              </w:rPr>
              <w:t xml:space="preserve">Material Requirements Planning — calculates material needs from demand; creates planned orders/purchase requisitions</w:t>
            </w:r>
          </w:p>
        </w:tc>
      </w:tr>
      <w:tr>
        <w:tc>
          <w:tcPr>
            <w:tcW w:type="dxa" w:w="2700"/>
            <w:shd w:fill="F3EEF8" w:color="auto" w:val="clear"/>
          </w:tcPr>
          <w:p>
            <w:r>
              <w:rPr>
                <w:rFonts w:ascii="Calibri" w:cs="Calibri" w:eastAsia="Calibri" w:hAnsi="Calibri"/>
                <w:b/>
                <w:bCs/>
                <w:color w:val="5B2D8E"/>
                <w:sz w:val="20"/>
                <w:szCs w:val="20"/>
              </w:rPr>
              <w:t xml:space="preserve">PP-SFC</w:t>
            </w:r>
          </w:p>
        </w:tc>
        <w:tc>
          <w:tcPr>
            <w:tcW w:type="dxa" w:w="6660"/>
            <w:shd w:fill="F3EEF8" w:color="auto" w:val="clear"/>
          </w:tcPr>
          <w:p>
            <w:r>
              <w:rPr>
                <w:rFonts w:ascii="Calibri" w:cs="Calibri" w:eastAsia="Calibri" w:hAnsi="Calibri"/>
                <w:color w:val="4A4A4A"/>
                <w:sz w:val="20"/>
                <w:szCs w:val="20"/>
              </w:rPr>
              <w:t xml:space="preserve">Shop Floor Control — production orders; confirmations; goods movements; capacity evaluation</w:t>
            </w:r>
          </w:p>
        </w:tc>
      </w:tr>
      <w:tr>
        <w:tc>
          <w:tcPr>
            <w:tcW w:type="dxa" w:w="2700"/>
            <w:shd w:fill="FFFFFF" w:color="auto" w:val="clear"/>
          </w:tcPr>
          <w:p>
            <w:r>
              <w:rPr>
                <w:rFonts w:ascii="Calibri" w:cs="Calibri" w:eastAsia="Calibri" w:hAnsi="Calibri"/>
                <w:b/>
                <w:bCs/>
                <w:color w:val="5B2D8E"/>
                <w:sz w:val="20"/>
                <w:szCs w:val="20"/>
              </w:rPr>
              <w:t xml:space="preserve">PP-REM</w:t>
            </w:r>
          </w:p>
        </w:tc>
        <w:tc>
          <w:tcPr>
            <w:tcW w:type="dxa" w:w="6660"/>
            <w:shd w:fill="FFFFFF" w:color="auto" w:val="clear"/>
          </w:tcPr>
          <w:p>
            <w:r>
              <w:rPr>
                <w:rFonts w:ascii="Calibri" w:cs="Calibri" w:eastAsia="Calibri" w:hAnsi="Calibri"/>
                <w:color w:val="4A4A4A"/>
                <w:sz w:val="20"/>
                <w:szCs w:val="20"/>
              </w:rPr>
              <w:t xml:space="preserve">Repetitive Manufacturing — line-based production; backflushing; rate routing</w:t>
            </w:r>
          </w:p>
        </w:tc>
      </w:tr>
      <w:tr>
        <w:tc>
          <w:tcPr>
            <w:tcW w:type="dxa" w:w="2700"/>
            <w:shd w:fill="F3EEF8" w:color="auto" w:val="clear"/>
          </w:tcPr>
          <w:p>
            <w:r>
              <w:rPr>
                <w:rFonts w:ascii="Calibri" w:cs="Calibri" w:eastAsia="Calibri" w:hAnsi="Calibri"/>
                <w:b/>
                <w:bCs/>
                <w:color w:val="5B2D8E"/>
                <w:sz w:val="20"/>
                <w:szCs w:val="20"/>
              </w:rPr>
              <w:t xml:space="preserve">PP-PI</w:t>
            </w:r>
          </w:p>
        </w:tc>
        <w:tc>
          <w:tcPr>
            <w:tcW w:type="dxa" w:w="6660"/>
            <w:shd w:fill="F3EEF8" w:color="auto" w:val="clear"/>
          </w:tcPr>
          <w:p>
            <w:r>
              <w:rPr>
                <w:rFonts w:ascii="Calibri" w:cs="Calibri" w:eastAsia="Calibri" w:hAnsi="Calibri"/>
                <w:color w:val="4A4A4A"/>
                <w:sz w:val="20"/>
                <w:szCs w:val="20"/>
              </w:rPr>
              <w:t xml:space="preserve">Process Industries — process orders; batch management; PI sheets for recipe-controlled manufacturing</w:t>
            </w:r>
          </w:p>
        </w:tc>
      </w:tr>
      <w:tr>
        <w:tc>
          <w:tcPr>
            <w:tcW w:type="dxa" w:w="2700"/>
            <w:shd w:fill="FFFFFF" w:color="auto" w:val="clear"/>
          </w:tcPr>
          <w:p>
            <w:r>
              <w:rPr>
                <w:rFonts w:ascii="Calibri" w:cs="Calibri" w:eastAsia="Calibri" w:hAnsi="Calibri"/>
                <w:b/>
                <w:bCs/>
                <w:color w:val="5B2D8E"/>
                <w:sz w:val="20"/>
                <w:szCs w:val="20"/>
              </w:rPr>
              <w:t xml:space="preserve">PP-CBP</w:t>
            </w:r>
          </w:p>
        </w:tc>
        <w:tc>
          <w:tcPr>
            <w:tcW w:type="dxa" w:w="6660"/>
            <w:shd w:fill="FFFFFF" w:color="auto" w:val="clear"/>
          </w:tcPr>
          <w:p>
            <w:r>
              <w:rPr>
                <w:rFonts w:ascii="Calibri" w:cs="Calibri" w:eastAsia="Calibri" w:hAnsi="Calibri"/>
                <w:color w:val="4A4A4A"/>
                <w:sz w:val="20"/>
                <w:szCs w:val="20"/>
              </w:rPr>
              <w:t xml:space="preserve">Capacity Planning — work center capacity; load evaluation; leveling; finite scheduling</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2E7D32"/>
          <w:sz w:val="36"/>
          <w:szCs w:val="36"/>
        </w:rPr>
        <w:t xml:space="preserve">9.2 MRP Process</w:t>
      </w:r>
    </w:p>
    <w:p>
      <w:pPr>
        <w:spacing w:after="60" w:before="60"/>
        <w:jc w:val="both"/>
      </w:pPr>
      <w:r>
        <w:rPr>
          <w:rFonts w:ascii="Calibri" w:cs="Calibri" w:eastAsia="Calibri" w:hAnsi="Calibri"/>
          <w:color w:val="4A4A4A"/>
          <w:sz w:val="22"/>
          <w:szCs w:val="22"/>
        </w:rPr>
        <w:t xml:space="preserve">Material Requirements Planning (MRP) is the engine that calculates material requirements and generates replenishment proposals. MRP runs (MD01/MD02) process BOM explosions, determine net requirements, and create planned orders or purchase requisitions:</w:t>
      </w:r>
    </w:p>
    <w:p>
      <w:pPr>
        <w:pStyle w:val="ListParagraph"/>
        <w:numPr>
          <w:ilvl w:val="0"/>
          <w:numId w:val="2"/>
        </w:numPr>
        <w:spacing w:after="40" w:before="40"/>
      </w:pPr>
      <w:r>
        <w:rPr>
          <w:rFonts w:ascii="Calibri" w:cs="Calibri" w:eastAsia="Calibri" w:hAnsi="Calibri"/>
          <w:color w:val="4A4A4A"/>
          <w:sz w:val="22"/>
          <w:szCs w:val="22"/>
        </w:rPr>
        <w:t xml:space="preserve">Bill of Materials (BOM): Structured list of components required to manufacture a product; multi-level explosion</w:t>
      </w:r>
    </w:p>
    <w:p>
      <w:pPr>
        <w:pStyle w:val="ListParagraph"/>
        <w:numPr>
          <w:ilvl w:val="0"/>
          <w:numId w:val="2"/>
        </w:numPr>
        <w:spacing w:after="40" w:before="40"/>
      </w:pPr>
      <w:r>
        <w:rPr>
          <w:rFonts w:ascii="Calibri" w:cs="Calibri" w:eastAsia="Calibri" w:hAnsi="Calibri"/>
          <w:color w:val="4A4A4A"/>
          <w:sz w:val="22"/>
          <w:szCs w:val="22"/>
        </w:rPr>
        <w:t xml:space="preserve">Routing/Recipe: Sequence of operations; work centers; standard times for capacity calculation</w:t>
      </w:r>
    </w:p>
    <w:p>
      <w:pPr>
        <w:pStyle w:val="ListParagraph"/>
        <w:numPr>
          <w:ilvl w:val="0"/>
          <w:numId w:val="2"/>
        </w:numPr>
        <w:spacing w:after="40" w:before="40"/>
      </w:pPr>
      <w:r>
        <w:rPr>
          <w:rFonts w:ascii="Calibri" w:cs="Calibri" w:eastAsia="Calibri" w:hAnsi="Calibri"/>
          <w:color w:val="4A4A4A"/>
          <w:sz w:val="22"/>
          <w:szCs w:val="22"/>
        </w:rPr>
        <w:t xml:space="preserve">Work Center: Resource where operations are performed; capacity, cost center, formulas for scheduling</w:t>
      </w:r>
    </w:p>
    <w:p>
      <w:pPr>
        <w:pStyle w:val="ListParagraph"/>
        <w:numPr>
          <w:ilvl w:val="0"/>
          <w:numId w:val="2"/>
        </w:numPr>
        <w:spacing w:after="40" w:before="40"/>
      </w:pPr>
      <w:r>
        <w:rPr>
          <w:rFonts w:ascii="Calibri" w:cs="Calibri" w:eastAsia="Calibri" w:hAnsi="Calibri"/>
          <w:color w:val="4A4A4A"/>
          <w:sz w:val="22"/>
          <w:szCs w:val="22"/>
        </w:rPr>
        <w:t xml:space="preserve">Planned Order: Internal production proposal from MRP; converted to production order for execution</w:t>
      </w:r>
    </w:p>
    <w:p>
      <w:pPr>
        <w:pStyle w:val="ListParagraph"/>
        <w:numPr>
          <w:ilvl w:val="0"/>
          <w:numId w:val="2"/>
        </w:numPr>
        <w:spacing w:after="40" w:before="40"/>
      </w:pPr>
      <w:r>
        <w:rPr>
          <w:rFonts w:ascii="Calibri" w:cs="Calibri" w:eastAsia="Calibri" w:hAnsi="Calibri"/>
          <w:color w:val="4A4A4A"/>
          <w:sz w:val="22"/>
          <w:szCs w:val="22"/>
        </w:rPr>
        <w:t xml:space="preserve">Production Order: Actual manufacturing order; released to shop floor; goods issue materials; confirm operations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E65100" w:color="auto" w:val="clear"/>
          </w:tcPr>
          <w:p>
            <w:pPr>
              <w:spacing w:after="40" w:before="160"/>
            </w:pPr>
            <w:r>
              <w:rPr>
                <w:rFonts w:ascii="Calibri" w:cs="Calibri" w:eastAsia="Calibri" w:hAnsi="Calibri"/>
                <w:b/>
                <w:bCs/>
                <w:color w:val="FFFFFF"/>
                <w:sz w:val="52"/>
                <w:szCs w:val="52"/>
              </w:rPr>
              <w:t xml:space="preserve">PART IV — HR, BASIS &amp; ABAP</w:t>
            </w:r>
          </w:p>
          <w:p>
            <w:pPr>
              <w:spacing w:after="160" w:before="0"/>
            </w:pPr>
            <w:r>
              <w:rPr>
                <w:rFonts w:ascii="Calibri" w:cs="Calibri" w:eastAsia="Calibri" w:hAnsi="Calibri"/>
                <w:color w:val="DDDDDD"/>
                <w:sz w:val="22"/>
                <w:szCs w:val="22"/>
              </w:rPr>
              <w:t xml:space="preserve">People, Administration, and Development</w:t>
            </w:r>
          </w:p>
        </w:tc>
      </w:tr>
    </w:tbl>
    <w:p>
      <w:pPr>
        <w:spacing w:after="0" w:before="0"/>
      </w:pPr>
      <w:r>
        <w:rPr>
          <w:sz w:val="100"/>
          <w:szCs w:val="100"/>
        </w:rPr>
        <w:t xml:space="preserve"> </w:t>
      </w:r>
    </w:p>
    <w:p>
      <w:pPr>
        <w:pStyle w:val="Heading1"/>
        <w:spacing w:after="120" w:before="400"/>
      </w:pPr>
      <w:r>
        <w:rPr>
          <w:rFonts w:ascii="Calibri" w:cs="Calibri" w:eastAsia="Calibri" w:hAnsi="Calibri"/>
          <w:b/>
          <w:bCs/>
          <w:color w:val="5B2D8E"/>
          <w:sz w:val="44"/>
          <w:szCs w:val="44"/>
        </w:rPr>
        <w:t xml:space="preserve">Chapter 10: Human Capital Management (HCM)</w:t>
      </w:r>
    </w:p>
    <w:p>
      <w:pPr>
        <w:pStyle w:val="Heading2"/>
        <w:spacing w:after="120" w:before="300"/>
      </w:pPr>
      <w:r>
        <w:rPr>
          <w:rFonts w:ascii="Calibri" w:cs="Calibri" w:eastAsia="Calibri" w:hAnsi="Calibri"/>
          <w:b/>
          <w:bCs/>
          <w:color w:val="1565C0"/>
          <w:sz w:val="36"/>
          <w:szCs w:val="36"/>
        </w:rPr>
        <w:t xml:space="preserve">10.1 HCM / HR Module Overview</w:t>
      </w:r>
    </w:p>
    <w:p>
      <w:pPr>
        <w:spacing w:after="60" w:before="60"/>
        <w:jc w:val="both"/>
      </w:pPr>
      <w:r>
        <w:rPr>
          <w:rFonts w:ascii="Calibri" w:cs="Calibri" w:eastAsia="Calibri" w:hAnsi="Calibri"/>
          <w:color w:val="4A4A4A"/>
          <w:sz w:val="22"/>
          <w:szCs w:val="22"/>
        </w:rPr>
        <w:t xml:space="preserve">SAP Human Capital Management (HCM) — also known as SAP HR — manages the entire employee lifecycle from recruitment through separation. In addition to on-premise SAP HCM (in ECC/S/4HANA), SAP offers SuccessFactors as its cloud-based HR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E65100" w:color="auto" w:val="clear"/>
          </w:tcPr>
          <w:p>
            <w:r>
              <w:rPr>
                <w:rFonts w:ascii="Calibri" w:cs="Calibri" w:eastAsia="Calibri" w:hAnsi="Calibri"/>
                <w:b/>
                <w:bCs/>
                <w:color w:val="FFFFFF"/>
                <w:sz w:val="20"/>
                <w:szCs w:val="20"/>
              </w:rPr>
              <w:t xml:space="preserve">Sub-Module</w:t>
            </w:r>
          </w:p>
        </w:tc>
        <w:tc>
          <w:tcPr>
            <w:tcW w:type="dxa" w:w="6660"/>
            <w:shd w:fill="E65100" w:color="auto" w:val="clear"/>
          </w:tcPr>
          <w:p>
            <w:r>
              <w:rPr>
                <w:rFonts w:ascii="Calibri" w:cs="Calibri" w:eastAsia="Calibri" w:hAnsi="Calibri"/>
                <w:b/>
                <w:bCs/>
                <w:color w:val="FFFFFF"/>
                <w:sz w:val="20"/>
                <w:szCs w:val="20"/>
              </w:rPr>
              <w:t xml:space="preserve">Function</w:t>
            </w:r>
          </w:p>
        </w:tc>
      </w:tr>
      <w:tr>
        <w:tc>
          <w:tcPr>
            <w:tcW w:type="dxa" w:w="2700"/>
            <w:shd w:fill="F3EEF8" w:color="auto" w:val="clear"/>
          </w:tcPr>
          <w:p>
            <w:r>
              <w:rPr>
                <w:rFonts w:ascii="Calibri" w:cs="Calibri" w:eastAsia="Calibri" w:hAnsi="Calibri"/>
                <w:b/>
                <w:bCs/>
                <w:color w:val="5B2D8E"/>
                <w:sz w:val="20"/>
                <w:szCs w:val="20"/>
              </w:rPr>
              <w:t xml:space="preserve">PA — Personnel Administration</w:t>
            </w:r>
          </w:p>
        </w:tc>
        <w:tc>
          <w:tcPr>
            <w:tcW w:type="dxa" w:w="6660"/>
            <w:shd w:fill="F3EEF8" w:color="auto" w:val="clear"/>
          </w:tcPr>
          <w:p>
            <w:r>
              <w:rPr>
                <w:rFonts w:ascii="Calibri" w:cs="Calibri" w:eastAsia="Calibri" w:hAnsi="Calibri"/>
                <w:color w:val="4A4A4A"/>
                <w:sz w:val="20"/>
                <w:szCs w:val="20"/>
              </w:rPr>
              <w:t xml:space="preserve">Employee master data: personal data, org assignment, contract, salary info (infotypes)</w:t>
            </w:r>
          </w:p>
        </w:tc>
      </w:tr>
      <w:tr>
        <w:tc>
          <w:tcPr>
            <w:tcW w:type="dxa" w:w="2700"/>
            <w:shd w:fill="FFFFFF" w:color="auto" w:val="clear"/>
          </w:tcPr>
          <w:p>
            <w:r>
              <w:rPr>
                <w:rFonts w:ascii="Calibri" w:cs="Calibri" w:eastAsia="Calibri" w:hAnsi="Calibri"/>
                <w:b/>
                <w:bCs/>
                <w:color w:val="5B2D8E"/>
                <w:sz w:val="20"/>
                <w:szCs w:val="20"/>
              </w:rPr>
              <w:t xml:space="preserve">OM — Org Management</w:t>
            </w:r>
          </w:p>
        </w:tc>
        <w:tc>
          <w:tcPr>
            <w:tcW w:type="dxa" w:w="6660"/>
            <w:shd w:fill="FFFFFF" w:color="auto" w:val="clear"/>
          </w:tcPr>
          <w:p>
            <w:r>
              <w:rPr>
                <w:rFonts w:ascii="Calibri" w:cs="Calibri" w:eastAsia="Calibri" w:hAnsi="Calibri"/>
                <w:color w:val="4A4A4A"/>
                <w:sz w:val="20"/>
                <w:szCs w:val="20"/>
              </w:rPr>
              <w:t xml:space="preserve">Organizational structure: org units, positions, jobs, reporting relationships</w:t>
            </w:r>
          </w:p>
        </w:tc>
      </w:tr>
      <w:tr>
        <w:tc>
          <w:tcPr>
            <w:tcW w:type="dxa" w:w="2700"/>
            <w:shd w:fill="F3EEF8" w:color="auto" w:val="clear"/>
          </w:tcPr>
          <w:p>
            <w:r>
              <w:rPr>
                <w:rFonts w:ascii="Calibri" w:cs="Calibri" w:eastAsia="Calibri" w:hAnsi="Calibri"/>
                <w:b/>
                <w:bCs/>
                <w:color w:val="5B2D8E"/>
                <w:sz w:val="20"/>
                <w:szCs w:val="20"/>
              </w:rPr>
              <w:t xml:space="preserve">PY — Payroll</w:t>
            </w:r>
          </w:p>
        </w:tc>
        <w:tc>
          <w:tcPr>
            <w:tcW w:type="dxa" w:w="6660"/>
            <w:shd w:fill="F3EEF8" w:color="auto" w:val="clear"/>
          </w:tcPr>
          <w:p>
            <w:r>
              <w:rPr>
                <w:rFonts w:ascii="Calibri" w:cs="Calibri" w:eastAsia="Calibri" w:hAnsi="Calibri"/>
                <w:color w:val="4A4A4A"/>
                <w:sz w:val="20"/>
                <w:szCs w:val="20"/>
              </w:rPr>
              <w:t xml:space="preserve">Gross-to-net payroll calculation; legal deductions; bank transfers; payroll results cluster</w:t>
            </w:r>
          </w:p>
        </w:tc>
      </w:tr>
      <w:tr>
        <w:tc>
          <w:tcPr>
            <w:tcW w:type="dxa" w:w="2700"/>
            <w:shd w:fill="FFFFFF" w:color="auto" w:val="clear"/>
          </w:tcPr>
          <w:p>
            <w:r>
              <w:rPr>
                <w:rFonts w:ascii="Calibri" w:cs="Calibri" w:eastAsia="Calibri" w:hAnsi="Calibri"/>
                <w:b/>
                <w:bCs/>
                <w:color w:val="5B2D8E"/>
                <w:sz w:val="20"/>
                <w:szCs w:val="20"/>
              </w:rPr>
              <w:t xml:space="preserve">TM — Time Management</w:t>
            </w:r>
          </w:p>
        </w:tc>
        <w:tc>
          <w:tcPr>
            <w:tcW w:type="dxa" w:w="6660"/>
            <w:shd w:fill="FFFFFF" w:color="auto" w:val="clear"/>
          </w:tcPr>
          <w:p>
            <w:r>
              <w:rPr>
                <w:rFonts w:ascii="Calibri" w:cs="Calibri" w:eastAsia="Calibri" w:hAnsi="Calibri"/>
                <w:color w:val="4A4A4A"/>
                <w:sz w:val="20"/>
                <w:szCs w:val="20"/>
              </w:rPr>
              <w:t xml:space="preserve">Time recording; absence/attendance; work schedules; time evaluation (TM04)</w:t>
            </w:r>
          </w:p>
        </w:tc>
      </w:tr>
      <w:tr>
        <w:tc>
          <w:tcPr>
            <w:tcW w:type="dxa" w:w="2700"/>
            <w:shd w:fill="F3EEF8" w:color="auto" w:val="clear"/>
          </w:tcPr>
          <w:p>
            <w:r>
              <w:rPr>
                <w:rFonts w:ascii="Calibri" w:cs="Calibri" w:eastAsia="Calibri" w:hAnsi="Calibri"/>
                <w:b/>
                <w:bCs/>
                <w:color w:val="5B2D8E"/>
                <w:sz w:val="20"/>
                <w:szCs w:val="20"/>
              </w:rPr>
              <w:t xml:space="preserve">TN — Training &amp; Events</w:t>
            </w:r>
          </w:p>
        </w:tc>
        <w:tc>
          <w:tcPr>
            <w:tcW w:type="dxa" w:w="6660"/>
            <w:shd w:fill="F3EEF8" w:color="auto" w:val="clear"/>
          </w:tcPr>
          <w:p>
            <w:r>
              <w:rPr>
                <w:rFonts w:ascii="Calibri" w:cs="Calibri" w:eastAsia="Calibri" w:hAnsi="Calibri"/>
                <w:color w:val="4A4A4A"/>
                <w:sz w:val="20"/>
                <w:szCs w:val="20"/>
              </w:rPr>
              <w:t xml:space="preserve">Course catalog; event management; participation; qualifications management</w:t>
            </w:r>
          </w:p>
        </w:tc>
      </w:tr>
      <w:tr>
        <w:tc>
          <w:tcPr>
            <w:tcW w:type="dxa" w:w="2700"/>
            <w:shd w:fill="FFFFFF" w:color="auto" w:val="clear"/>
          </w:tcPr>
          <w:p>
            <w:r>
              <w:rPr>
                <w:rFonts w:ascii="Calibri" w:cs="Calibri" w:eastAsia="Calibri" w:hAnsi="Calibri"/>
                <w:b/>
                <w:bCs/>
                <w:color w:val="5B2D8E"/>
                <w:sz w:val="20"/>
                <w:szCs w:val="20"/>
              </w:rPr>
              <w:t xml:space="preserve">RM — Recruitment</w:t>
            </w:r>
          </w:p>
        </w:tc>
        <w:tc>
          <w:tcPr>
            <w:tcW w:type="dxa" w:w="6660"/>
            <w:shd w:fill="FFFFFF" w:color="auto" w:val="clear"/>
          </w:tcPr>
          <w:p>
            <w:r>
              <w:rPr>
                <w:rFonts w:ascii="Calibri" w:cs="Calibri" w:eastAsia="Calibri" w:hAnsi="Calibri"/>
                <w:color w:val="4A4A4A"/>
                <w:sz w:val="20"/>
                <w:szCs w:val="20"/>
              </w:rPr>
              <w:t xml:space="preserve">Job requisitions; applicant tracking; screening; hire action integration with PA</w:t>
            </w:r>
          </w:p>
        </w:tc>
      </w:tr>
      <w:tr>
        <w:tc>
          <w:tcPr>
            <w:tcW w:type="dxa" w:w="2700"/>
            <w:shd w:fill="F3EEF8" w:color="auto" w:val="clear"/>
          </w:tcPr>
          <w:p>
            <w:r>
              <w:rPr>
                <w:rFonts w:ascii="Calibri" w:cs="Calibri" w:eastAsia="Calibri" w:hAnsi="Calibri"/>
                <w:b/>
                <w:bCs/>
                <w:color w:val="5B2D8E"/>
                <w:sz w:val="20"/>
                <w:szCs w:val="20"/>
              </w:rPr>
              <w:t xml:space="preserve">ESS/MSS</w:t>
            </w:r>
          </w:p>
        </w:tc>
        <w:tc>
          <w:tcPr>
            <w:tcW w:type="dxa" w:w="6660"/>
            <w:shd w:fill="F3EEF8" w:color="auto" w:val="clear"/>
          </w:tcPr>
          <w:p>
            <w:r>
              <w:rPr>
                <w:rFonts w:ascii="Calibri" w:cs="Calibri" w:eastAsia="Calibri" w:hAnsi="Calibri"/>
                <w:color w:val="4A4A4A"/>
                <w:sz w:val="20"/>
                <w:szCs w:val="20"/>
              </w:rPr>
              <w:t xml:space="preserve">Employee Self-Service and Manager Self-Service — HR transactions via web/Fiori</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10.2 Infotype Architecture</w:t>
      </w:r>
    </w:p>
    <w:p>
      <w:pPr>
        <w:spacing w:after="60" w:before="60"/>
        <w:jc w:val="both"/>
      </w:pPr>
      <w:r>
        <w:rPr>
          <w:rFonts w:ascii="Calibri" w:cs="Calibri" w:eastAsia="Calibri" w:hAnsi="Calibri"/>
          <w:color w:val="4A4A4A"/>
          <w:sz w:val="22"/>
          <w:szCs w:val="22"/>
        </w:rPr>
        <w:t xml:space="preserve">In SAP HCM, employee data is stored in Infotypes (IT) — groups of related fields with time-based validity. Each infotype has a 4-digit number (e.g., IT0001 = Org Assignment). Key infotypes: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E65100" w:color="auto" w:val="clear"/>
          </w:tcPr>
          <w:p>
            <w:r>
              <w:rPr>
                <w:rFonts w:ascii="Calibri" w:cs="Calibri" w:eastAsia="Calibri" w:hAnsi="Calibri"/>
                <w:b/>
                <w:bCs/>
                <w:color w:val="FFFFFF"/>
                <w:sz w:val="18"/>
                <w:szCs w:val="18"/>
              </w:rPr>
              <w:t xml:space="preserve">Infotype</w:t>
            </w:r>
          </w:p>
        </w:tc>
        <w:tc>
          <w:tcPr>
            <w:tcW w:type="dxa" w:w="3780"/>
            <w:shd w:fill="E65100" w:color="auto" w:val="clear"/>
          </w:tcPr>
          <w:p>
            <w:r>
              <w:rPr>
                <w:rFonts w:ascii="Calibri" w:cs="Calibri" w:eastAsia="Calibri" w:hAnsi="Calibri"/>
                <w:b/>
                <w:bCs/>
                <w:color w:val="FFFFFF"/>
                <w:sz w:val="18"/>
                <w:szCs w:val="18"/>
              </w:rPr>
              <w:t xml:space="preserve">Name</w:t>
            </w:r>
          </w:p>
        </w:tc>
        <w:tc>
          <w:tcPr>
            <w:tcW w:type="dxa" w:w="3780"/>
            <w:shd w:fill="E65100" w:color="auto" w:val="clear"/>
          </w:tcPr>
          <w:p>
            <w:r>
              <w:rPr>
                <w:rFonts w:ascii="Calibri" w:cs="Calibri" w:eastAsia="Calibri" w:hAnsi="Calibri"/>
                <w:b/>
                <w:bCs/>
                <w:color w:val="FFFFFF"/>
                <w:sz w:val="18"/>
                <w:szCs w:val="18"/>
              </w:rPr>
              <w:t xml:space="preserve">Key Data</w:t>
            </w:r>
          </w:p>
        </w:tc>
      </w:tr>
      <w:tr>
        <w:tc>
          <w:tcPr>
            <w:tcW w:type="dxa" w:w="1800"/>
            <w:shd w:fill="F3EEF8" w:color="auto" w:val="clear"/>
          </w:tcPr>
          <w:p>
            <w:r>
              <w:rPr>
                <w:rFonts w:ascii="Calibri" w:cs="Calibri" w:eastAsia="Calibri" w:hAnsi="Calibri"/>
                <w:b/>
                <w:bCs/>
                <w:color w:val="5B2D8E"/>
                <w:sz w:val="18"/>
                <w:szCs w:val="18"/>
              </w:rPr>
              <w:t xml:space="preserve">IT0000</w:t>
            </w:r>
          </w:p>
        </w:tc>
        <w:tc>
          <w:tcPr>
            <w:tcW w:type="dxa" w:w="3780"/>
            <w:shd w:fill="F3EEF8" w:color="auto" w:val="clear"/>
          </w:tcPr>
          <w:p>
            <w:r>
              <w:rPr>
                <w:rFonts w:ascii="Calibri" w:cs="Calibri" w:eastAsia="Calibri" w:hAnsi="Calibri"/>
                <w:color w:val="4A4A4A"/>
                <w:sz w:val="18"/>
                <w:szCs w:val="18"/>
              </w:rPr>
              <w:t xml:space="preserve">Actions</w:t>
            </w:r>
          </w:p>
        </w:tc>
        <w:tc>
          <w:tcPr>
            <w:tcW w:type="dxa" w:w="3780"/>
            <w:shd w:fill="F3EEF8" w:color="auto" w:val="clear"/>
          </w:tcPr>
          <w:p>
            <w:r>
              <w:rPr>
                <w:rFonts w:ascii="Calibri" w:cs="Calibri" w:eastAsia="Calibri" w:hAnsi="Calibri"/>
                <w:color w:val="4A4A4A"/>
                <w:sz w:val="18"/>
                <w:szCs w:val="18"/>
              </w:rPr>
              <w:t xml:space="preserve">Hire, rehire, transfer, termination events</w:t>
            </w:r>
          </w:p>
        </w:tc>
      </w:tr>
      <w:tr>
        <w:tc>
          <w:tcPr>
            <w:tcW w:type="dxa" w:w="1800"/>
            <w:shd w:fill="FFFFFF" w:color="auto" w:val="clear"/>
          </w:tcPr>
          <w:p>
            <w:r>
              <w:rPr>
                <w:rFonts w:ascii="Calibri" w:cs="Calibri" w:eastAsia="Calibri" w:hAnsi="Calibri"/>
                <w:b/>
                <w:bCs/>
                <w:color w:val="5B2D8E"/>
                <w:sz w:val="18"/>
                <w:szCs w:val="18"/>
              </w:rPr>
              <w:t xml:space="preserve">IT0001</w:t>
            </w:r>
          </w:p>
        </w:tc>
        <w:tc>
          <w:tcPr>
            <w:tcW w:type="dxa" w:w="3780"/>
            <w:shd w:fill="FFFFFF" w:color="auto" w:val="clear"/>
          </w:tcPr>
          <w:p>
            <w:r>
              <w:rPr>
                <w:rFonts w:ascii="Calibri" w:cs="Calibri" w:eastAsia="Calibri" w:hAnsi="Calibri"/>
                <w:color w:val="4A4A4A"/>
                <w:sz w:val="18"/>
                <w:szCs w:val="18"/>
              </w:rPr>
              <w:t xml:space="preserve">Org Assignment</w:t>
            </w:r>
          </w:p>
        </w:tc>
        <w:tc>
          <w:tcPr>
            <w:tcW w:type="dxa" w:w="3780"/>
            <w:shd w:fill="FFFFFF" w:color="auto" w:val="clear"/>
          </w:tcPr>
          <w:p>
            <w:r>
              <w:rPr>
                <w:rFonts w:ascii="Calibri" w:cs="Calibri" w:eastAsia="Calibri" w:hAnsi="Calibri"/>
                <w:color w:val="4A4A4A"/>
                <w:sz w:val="18"/>
                <w:szCs w:val="18"/>
              </w:rPr>
              <w:t xml:space="preserve">Company code, personnel area, personnel subarea, position</w:t>
            </w:r>
          </w:p>
        </w:tc>
      </w:tr>
      <w:tr>
        <w:tc>
          <w:tcPr>
            <w:tcW w:type="dxa" w:w="1800"/>
            <w:shd w:fill="F3EEF8" w:color="auto" w:val="clear"/>
          </w:tcPr>
          <w:p>
            <w:r>
              <w:rPr>
                <w:rFonts w:ascii="Calibri" w:cs="Calibri" w:eastAsia="Calibri" w:hAnsi="Calibri"/>
                <w:b/>
                <w:bCs/>
                <w:color w:val="5B2D8E"/>
                <w:sz w:val="18"/>
                <w:szCs w:val="18"/>
              </w:rPr>
              <w:t xml:space="preserve">IT0002</w:t>
            </w:r>
          </w:p>
        </w:tc>
        <w:tc>
          <w:tcPr>
            <w:tcW w:type="dxa" w:w="3780"/>
            <w:shd w:fill="F3EEF8" w:color="auto" w:val="clear"/>
          </w:tcPr>
          <w:p>
            <w:r>
              <w:rPr>
                <w:rFonts w:ascii="Calibri" w:cs="Calibri" w:eastAsia="Calibri" w:hAnsi="Calibri"/>
                <w:color w:val="4A4A4A"/>
                <w:sz w:val="18"/>
                <w:szCs w:val="18"/>
              </w:rPr>
              <w:t xml:space="preserve">Personal Data</w:t>
            </w:r>
          </w:p>
        </w:tc>
        <w:tc>
          <w:tcPr>
            <w:tcW w:type="dxa" w:w="3780"/>
            <w:shd w:fill="F3EEF8" w:color="auto" w:val="clear"/>
          </w:tcPr>
          <w:p>
            <w:r>
              <w:rPr>
                <w:rFonts w:ascii="Calibri" w:cs="Calibri" w:eastAsia="Calibri" w:hAnsi="Calibri"/>
                <w:color w:val="4A4A4A"/>
                <w:sz w:val="18"/>
                <w:szCs w:val="18"/>
              </w:rPr>
              <w:t xml:space="preserve">Name, date of birth, nationality, marital status</w:t>
            </w:r>
          </w:p>
        </w:tc>
      </w:tr>
      <w:tr>
        <w:tc>
          <w:tcPr>
            <w:tcW w:type="dxa" w:w="1800"/>
            <w:shd w:fill="FFFFFF" w:color="auto" w:val="clear"/>
          </w:tcPr>
          <w:p>
            <w:r>
              <w:rPr>
                <w:rFonts w:ascii="Calibri" w:cs="Calibri" w:eastAsia="Calibri" w:hAnsi="Calibri"/>
                <w:b/>
                <w:bCs/>
                <w:color w:val="5B2D8E"/>
                <w:sz w:val="18"/>
                <w:szCs w:val="18"/>
              </w:rPr>
              <w:t xml:space="preserve">IT0006</w:t>
            </w:r>
          </w:p>
        </w:tc>
        <w:tc>
          <w:tcPr>
            <w:tcW w:type="dxa" w:w="3780"/>
            <w:shd w:fill="FFFFFF" w:color="auto" w:val="clear"/>
          </w:tcPr>
          <w:p>
            <w:r>
              <w:rPr>
                <w:rFonts w:ascii="Calibri" w:cs="Calibri" w:eastAsia="Calibri" w:hAnsi="Calibri"/>
                <w:color w:val="4A4A4A"/>
                <w:sz w:val="18"/>
                <w:szCs w:val="18"/>
              </w:rPr>
              <w:t xml:space="preserve">Addresses</w:t>
            </w:r>
          </w:p>
        </w:tc>
        <w:tc>
          <w:tcPr>
            <w:tcW w:type="dxa" w:w="3780"/>
            <w:shd w:fill="FFFFFF" w:color="auto" w:val="clear"/>
          </w:tcPr>
          <w:p>
            <w:r>
              <w:rPr>
                <w:rFonts w:ascii="Calibri" w:cs="Calibri" w:eastAsia="Calibri" w:hAnsi="Calibri"/>
                <w:color w:val="4A4A4A"/>
                <w:sz w:val="18"/>
                <w:szCs w:val="18"/>
              </w:rPr>
              <w:t xml:space="preserve">Home address, emergency contact</w:t>
            </w:r>
          </w:p>
        </w:tc>
      </w:tr>
      <w:tr>
        <w:tc>
          <w:tcPr>
            <w:tcW w:type="dxa" w:w="1800"/>
            <w:shd w:fill="F3EEF8" w:color="auto" w:val="clear"/>
          </w:tcPr>
          <w:p>
            <w:r>
              <w:rPr>
                <w:rFonts w:ascii="Calibri" w:cs="Calibri" w:eastAsia="Calibri" w:hAnsi="Calibri"/>
                <w:b/>
                <w:bCs/>
                <w:color w:val="5B2D8E"/>
                <w:sz w:val="18"/>
                <w:szCs w:val="18"/>
              </w:rPr>
              <w:t xml:space="preserve">IT0007</w:t>
            </w:r>
          </w:p>
        </w:tc>
        <w:tc>
          <w:tcPr>
            <w:tcW w:type="dxa" w:w="3780"/>
            <w:shd w:fill="F3EEF8" w:color="auto" w:val="clear"/>
          </w:tcPr>
          <w:p>
            <w:r>
              <w:rPr>
                <w:rFonts w:ascii="Calibri" w:cs="Calibri" w:eastAsia="Calibri" w:hAnsi="Calibri"/>
                <w:color w:val="4A4A4A"/>
                <w:sz w:val="18"/>
                <w:szCs w:val="18"/>
              </w:rPr>
              <w:t xml:space="preserve">Planned Working Time</w:t>
            </w:r>
          </w:p>
        </w:tc>
        <w:tc>
          <w:tcPr>
            <w:tcW w:type="dxa" w:w="3780"/>
            <w:shd w:fill="F3EEF8" w:color="auto" w:val="clear"/>
          </w:tcPr>
          <w:p>
            <w:r>
              <w:rPr>
                <w:rFonts w:ascii="Calibri" w:cs="Calibri" w:eastAsia="Calibri" w:hAnsi="Calibri"/>
                <w:color w:val="4A4A4A"/>
                <w:sz w:val="18"/>
                <w:szCs w:val="18"/>
              </w:rPr>
              <w:t xml:space="preserve">Work schedule rule; part-time flag; working hours</w:t>
            </w:r>
          </w:p>
        </w:tc>
      </w:tr>
      <w:tr>
        <w:tc>
          <w:tcPr>
            <w:tcW w:type="dxa" w:w="1800"/>
            <w:shd w:fill="FFFFFF" w:color="auto" w:val="clear"/>
          </w:tcPr>
          <w:p>
            <w:r>
              <w:rPr>
                <w:rFonts w:ascii="Calibri" w:cs="Calibri" w:eastAsia="Calibri" w:hAnsi="Calibri"/>
                <w:b/>
                <w:bCs/>
                <w:color w:val="5B2D8E"/>
                <w:sz w:val="18"/>
                <w:szCs w:val="18"/>
              </w:rPr>
              <w:t xml:space="preserve">IT0008</w:t>
            </w:r>
          </w:p>
        </w:tc>
        <w:tc>
          <w:tcPr>
            <w:tcW w:type="dxa" w:w="3780"/>
            <w:shd w:fill="FFFFFF" w:color="auto" w:val="clear"/>
          </w:tcPr>
          <w:p>
            <w:r>
              <w:rPr>
                <w:rFonts w:ascii="Calibri" w:cs="Calibri" w:eastAsia="Calibri" w:hAnsi="Calibri"/>
                <w:color w:val="4A4A4A"/>
                <w:sz w:val="18"/>
                <w:szCs w:val="18"/>
              </w:rPr>
              <w:t xml:space="preserve">Basic Pay</w:t>
            </w:r>
          </w:p>
        </w:tc>
        <w:tc>
          <w:tcPr>
            <w:tcW w:type="dxa" w:w="3780"/>
            <w:shd w:fill="FFFFFF" w:color="auto" w:val="clear"/>
          </w:tcPr>
          <w:p>
            <w:r>
              <w:rPr>
                <w:rFonts w:ascii="Calibri" w:cs="Calibri" w:eastAsia="Calibri" w:hAnsi="Calibri"/>
                <w:color w:val="4A4A4A"/>
                <w:sz w:val="18"/>
                <w:szCs w:val="18"/>
              </w:rPr>
              <w:t xml:space="preserve">Pay scale group/level; wage types; salary amount</w:t>
            </w:r>
          </w:p>
        </w:tc>
      </w:tr>
      <w:tr>
        <w:tc>
          <w:tcPr>
            <w:tcW w:type="dxa" w:w="1800"/>
            <w:shd w:fill="F3EEF8" w:color="auto" w:val="clear"/>
          </w:tcPr>
          <w:p>
            <w:r>
              <w:rPr>
                <w:rFonts w:ascii="Calibri" w:cs="Calibri" w:eastAsia="Calibri" w:hAnsi="Calibri"/>
                <w:b/>
                <w:bCs/>
                <w:color w:val="5B2D8E"/>
                <w:sz w:val="18"/>
                <w:szCs w:val="18"/>
              </w:rPr>
              <w:t xml:space="preserve">IT0041</w:t>
            </w:r>
          </w:p>
        </w:tc>
        <w:tc>
          <w:tcPr>
            <w:tcW w:type="dxa" w:w="3780"/>
            <w:shd w:fill="F3EEF8" w:color="auto" w:val="clear"/>
          </w:tcPr>
          <w:p>
            <w:r>
              <w:rPr>
                <w:rFonts w:ascii="Calibri" w:cs="Calibri" w:eastAsia="Calibri" w:hAnsi="Calibri"/>
                <w:color w:val="4A4A4A"/>
                <w:sz w:val="18"/>
                <w:szCs w:val="18"/>
              </w:rPr>
              <w:t xml:space="preserve">Date Specifications</w:t>
            </w:r>
          </w:p>
        </w:tc>
        <w:tc>
          <w:tcPr>
            <w:tcW w:type="dxa" w:w="3780"/>
            <w:shd w:fill="F3EEF8" w:color="auto" w:val="clear"/>
          </w:tcPr>
          <w:p>
            <w:r>
              <w:rPr>
                <w:rFonts w:ascii="Calibri" w:cs="Calibri" w:eastAsia="Calibri" w:hAnsi="Calibri"/>
                <w:color w:val="4A4A4A"/>
                <w:sz w:val="18"/>
                <w:szCs w:val="18"/>
              </w:rPr>
              <w:t xml:space="preserve">Hire date, trial period end, notice period dates</w:t>
            </w:r>
          </w:p>
        </w:tc>
      </w:tr>
    </w:tbl>
    <w:p>
      <w:r>
        <w:br w:type="page"/>
      </w:r>
    </w:p>
    <w:p>
      <w:pPr>
        <w:pStyle w:val="Heading1"/>
        <w:spacing w:after="120" w:before="400"/>
      </w:pPr>
      <w:r>
        <w:rPr>
          <w:rFonts w:ascii="Calibri" w:cs="Calibri" w:eastAsia="Calibri" w:hAnsi="Calibri"/>
          <w:b/>
          <w:bCs/>
          <w:color w:val="5B2D8E"/>
          <w:sz w:val="44"/>
          <w:szCs w:val="44"/>
        </w:rPr>
        <w:t xml:space="preserve">Chapter 11: SAP BASIS Administration</w:t>
      </w:r>
    </w:p>
    <w:p>
      <w:pPr>
        <w:pStyle w:val="Heading2"/>
        <w:spacing w:after="120" w:before="300"/>
      </w:pPr>
      <w:r>
        <w:rPr>
          <w:rFonts w:ascii="Calibri" w:cs="Calibri" w:eastAsia="Calibri" w:hAnsi="Calibri"/>
          <w:b/>
          <w:bCs/>
          <w:color w:val="1565C0"/>
          <w:sz w:val="36"/>
          <w:szCs w:val="36"/>
        </w:rPr>
        <w:t xml:space="preserve">11.1 BASIS Overview</w:t>
      </w:r>
    </w:p>
    <w:p>
      <w:pPr>
        <w:spacing w:after="60" w:before="60"/>
        <w:jc w:val="both"/>
      </w:pPr>
      <w:r>
        <w:rPr>
          <w:rFonts w:ascii="Calibri" w:cs="Calibri" w:eastAsia="Calibri" w:hAnsi="Calibri"/>
          <w:color w:val="4A4A4A"/>
          <w:sz w:val="22"/>
          <w:szCs w:val="22"/>
        </w:rPr>
        <w:t xml:space="preserve">SAP BASIS (Business Application Software Integrated Solution) is the technical foundation layer of SAP systems. BASIS administrators manage the underlying infrastructure — system administration, performance tuning, transport management, security, and connectivity. BASIS is the equivalent of a systems administrator/DBA role in the SAP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Domain</w:t>
            </w:r>
          </w:p>
        </w:tc>
        <w:tc>
          <w:tcPr>
            <w:tcW w:type="dxa" w:w="6660"/>
            <w:shd w:fill="1565C0" w:color="auto" w:val="clear"/>
          </w:tcPr>
          <w:p>
            <w:r>
              <w:rPr>
                <w:rFonts w:ascii="Calibri" w:cs="Calibri" w:eastAsia="Calibri" w:hAnsi="Calibri"/>
                <w:b/>
                <w:bCs/>
                <w:color w:val="FFFFFF"/>
                <w:sz w:val="20"/>
                <w:szCs w:val="20"/>
              </w:rPr>
              <w:t xml:space="preserve">Activities</w:t>
            </w:r>
          </w:p>
        </w:tc>
      </w:tr>
      <w:tr>
        <w:tc>
          <w:tcPr>
            <w:tcW w:type="dxa" w:w="2700"/>
            <w:shd w:fill="F3EEF8" w:color="auto" w:val="clear"/>
          </w:tcPr>
          <w:p>
            <w:r>
              <w:rPr>
                <w:rFonts w:ascii="Calibri" w:cs="Calibri" w:eastAsia="Calibri" w:hAnsi="Calibri"/>
                <w:b/>
                <w:bCs/>
                <w:color w:val="5B2D8E"/>
                <w:sz w:val="20"/>
                <w:szCs w:val="20"/>
              </w:rPr>
              <w:t xml:space="preserve">System Administration</w:t>
            </w:r>
          </w:p>
        </w:tc>
        <w:tc>
          <w:tcPr>
            <w:tcW w:type="dxa" w:w="6660"/>
            <w:shd w:fill="F3EEF8" w:color="auto" w:val="clear"/>
          </w:tcPr>
          <w:p>
            <w:r>
              <w:rPr>
                <w:rFonts w:ascii="Calibri" w:cs="Calibri" w:eastAsia="Calibri" w:hAnsi="Calibri"/>
                <w:color w:val="4A4A4A"/>
                <w:sz w:val="20"/>
                <w:szCs w:val="20"/>
              </w:rPr>
              <w:t xml:space="preserve">Client management (SCC4); system monitoring (SM21); work process admin (SM50/SM66)</w:t>
            </w:r>
          </w:p>
        </w:tc>
      </w:tr>
      <w:tr>
        <w:tc>
          <w:tcPr>
            <w:tcW w:type="dxa" w:w="2700"/>
            <w:shd w:fill="FFFFFF" w:color="auto" w:val="clear"/>
          </w:tcPr>
          <w:p>
            <w:r>
              <w:rPr>
                <w:rFonts w:ascii="Calibri" w:cs="Calibri" w:eastAsia="Calibri" w:hAnsi="Calibri"/>
                <w:b/>
                <w:bCs/>
                <w:color w:val="5B2D8E"/>
                <w:sz w:val="20"/>
                <w:szCs w:val="20"/>
              </w:rPr>
              <w:t xml:space="preserve">User Management</w:t>
            </w:r>
          </w:p>
        </w:tc>
        <w:tc>
          <w:tcPr>
            <w:tcW w:type="dxa" w:w="6660"/>
            <w:shd w:fill="FFFFFF" w:color="auto" w:val="clear"/>
          </w:tcPr>
          <w:p>
            <w:r>
              <w:rPr>
                <w:rFonts w:ascii="Calibri" w:cs="Calibri" w:eastAsia="Calibri" w:hAnsi="Calibri"/>
                <w:color w:val="4A4A4A"/>
                <w:sz w:val="20"/>
                <w:szCs w:val="20"/>
              </w:rPr>
              <w:t xml:space="preserve">User creation (SU01); role/profile assignment; license type; unlock/reset password</w:t>
            </w:r>
          </w:p>
        </w:tc>
      </w:tr>
      <w:tr>
        <w:tc>
          <w:tcPr>
            <w:tcW w:type="dxa" w:w="2700"/>
            <w:shd w:fill="F3EEF8" w:color="auto" w:val="clear"/>
          </w:tcPr>
          <w:p>
            <w:r>
              <w:rPr>
                <w:rFonts w:ascii="Calibri" w:cs="Calibri" w:eastAsia="Calibri" w:hAnsi="Calibri"/>
                <w:b/>
                <w:bCs/>
                <w:color w:val="5B2D8E"/>
                <w:sz w:val="20"/>
                <w:szCs w:val="20"/>
              </w:rPr>
              <w:t xml:space="preserve">Transport Management</w:t>
            </w:r>
          </w:p>
        </w:tc>
        <w:tc>
          <w:tcPr>
            <w:tcW w:type="dxa" w:w="6660"/>
            <w:shd w:fill="F3EEF8" w:color="auto" w:val="clear"/>
          </w:tcPr>
          <w:p>
            <w:r>
              <w:rPr>
                <w:rFonts w:ascii="Calibri" w:cs="Calibri" w:eastAsia="Calibri" w:hAnsi="Calibri"/>
                <w:color w:val="4A4A4A"/>
                <w:sz w:val="20"/>
                <w:szCs w:val="20"/>
              </w:rPr>
              <w:t xml:space="preserve">CTS configuration (STMS); import queues; transport routes DEV→QAS→PRD</w:t>
            </w:r>
          </w:p>
        </w:tc>
      </w:tr>
      <w:tr>
        <w:tc>
          <w:tcPr>
            <w:tcW w:type="dxa" w:w="2700"/>
            <w:shd w:fill="FFFFFF" w:color="auto" w:val="clear"/>
          </w:tcPr>
          <w:p>
            <w:r>
              <w:rPr>
                <w:rFonts w:ascii="Calibri" w:cs="Calibri" w:eastAsia="Calibri" w:hAnsi="Calibri"/>
                <w:b/>
                <w:bCs/>
                <w:color w:val="5B2D8E"/>
                <w:sz w:val="20"/>
                <w:szCs w:val="20"/>
              </w:rPr>
              <w:t xml:space="preserve">Performance Monitoring</w:t>
            </w:r>
          </w:p>
        </w:tc>
        <w:tc>
          <w:tcPr>
            <w:tcW w:type="dxa" w:w="6660"/>
            <w:shd w:fill="FFFFFF" w:color="auto" w:val="clear"/>
          </w:tcPr>
          <w:p>
            <w:r>
              <w:rPr>
                <w:rFonts w:ascii="Calibri" w:cs="Calibri" w:eastAsia="Calibri" w:hAnsi="Calibri"/>
                <w:color w:val="4A4A4A"/>
                <w:sz w:val="20"/>
                <w:szCs w:val="20"/>
              </w:rPr>
              <w:t xml:space="preserve">SM50 (work processes); ST05 (SQL trace); SM66 (global overview); AL08 (users by instance)</w:t>
            </w:r>
          </w:p>
        </w:tc>
      </w:tr>
      <w:tr>
        <w:tc>
          <w:tcPr>
            <w:tcW w:type="dxa" w:w="2700"/>
            <w:shd w:fill="F3EEF8" w:color="auto" w:val="clear"/>
          </w:tcPr>
          <w:p>
            <w:r>
              <w:rPr>
                <w:rFonts w:ascii="Calibri" w:cs="Calibri" w:eastAsia="Calibri" w:hAnsi="Calibri"/>
                <w:b/>
                <w:bCs/>
                <w:color w:val="5B2D8E"/>
                <w:sz w:val="20"/>
                <w:szCs w:val="20"/>
              </w:rPr>
              <w:t xml:space="preserve">Background Job Admin</w:t>
            </w:r>
          </w:p>
        </w:tc>
        <w:tc>
          <w:tcPr>
            <w:tcW w:type="dxa" w:w="6660"/>
            <w:shd w:fill="F3EEF8" w:color="auto" w:val="clear"/>
          </w:tcPr>
          <w:p>
            <w:r>
              <w:rPr>
                <w:rFonts w:ascii="Calibri" w:cs="Calibri" w:eastAsia="Calibri" w:hAnsi="Calibri"/>
                <w:color w:val="4A4A4A"/>
                <w:sz w:val="20"/>
                <w:szCs w:val="20"/>
              </w:rPr>
              <w:t xml:space="preserve">SM36 (job definition); SM37 (job monitoring); scheduling recurring jobs; job classes A/B/C</w:t>
            </w:r>
          </w:p>
        </w:tc>
      </w:tr>
      <w:tr>
        <w:tc>
          <w:tcPr>
            <w:tcW w:type="dxa" w:w="2700"/>
            <w:shd w:fill="FFFFFF" w:color="auto" w:val="clear"/>
          </w:tcPr>
          <w:p>
            <w:r>
              <w:rPr>
                <w:rFonts w:ascii="Calibri" w:cs="Calibri" w:eastAsia="Calibri" w:hAnsi="Calibri"/>
                <w:b/>
                <w:bCs/>
                <w:color w:val="5B2D8E"/>
                <w:sz w:val="20"/>
                <w:szCs w:val="20"/>
              </w:rPr>
              <w:t xml:space="preserve">Spool Administration</w:t>
            </w:r>
          </w:p>
        </w:tc>
        <w:tc>
          <w:tcPr>
            <w:tcW w:type="dxa" w:w="6660"/>
            <w:shd w:fill="FFFFFF" w:color="auto" w:val="clear"/>
          </w:tcPr>
          <w:p>
            <w:r>
              <w:rPr>
                <w:rFonts w:ascii="Calibri" w:cs="Calibri" w:eastAsia="Calibri" w:hAnsi="Calibri"/>
                <w:color w:val="4A4A4A"/>
                <w:sz w:val="20"/>
                <w:szCs w:val="20"/>
              </w:rPr>
              <w:t xml:space="preserve">SP01 (spool requests); output management; printer configuration</w:t>
            </w:r>
          </w:p>
        </w:tc>
      </w:tr>
      <w:tr>
        <w:tc>
          <w:tcPr>
            <w:tcW w:type="dxa" w:w="2700"/>
            <w:shd w:fill="F3EEF8" w:color="auto" w:val="clear"/>
          </w:tcPr>
          <w:p>
            <w:r>
              <w:rPr>
                <w:rFonts w:ascii="Calibri" w:cs="Calibri" w:eastAsia="Calibri" w:hAnsi="Calibri"/>
                <w:b/>
                <w:bCs/>
                <w:color w:val="5B2D8E"/>
                <w:sz w:val="20"/>
                <w:szCs w:val="20"/>
              </w:rPr>
              <w:t xml:space="preserve">Patch Management</w:t>
            </w:r>
          </w:p>
        </w:tc>
        <w:tc>
          <w:tcPr>
            <w:tcW w:type="dxa" w:w="6660"/>
            <w:shd w:fill="F3EEF8" w:color="auto" w:val="clear"/>
          </w:tcPr>
          <w:p>
            <w:r>
              <w:rPr>
                <w:rFonts w:ascii="Calibri" w:cs="Calibri" w:eastAsia="Calibri" w:hAnsi="Calibri"/>
                <w:color w:val="4A4A4A"/>
                <w:sz w:val="20"/>
                <w:szCs w:val="20"/>
              </w:rPr>
              <w:t xml:space="preserve">SAP kernel upgrades; Support Package Stacks (SPS); SPAM/SAINT tools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11.2 SAP Security &amp; Authorizations</w:t>
      </w:r>
    </w:p>
    <w:p>
      <w:pPr>
        <w:spacing w:after="60" w:before="60"/>
        <w:jc w:val="both"/>
      </w:pPr>
      <w:r>
        <w:rPr>
          <w:rFonts w:ascii="Calibri" w:cs="Calibri" w:eastAsia="Calibri" w:hAnsi="Calibri"/>
          <w:color w:val="4A4A4A"/>
          <w:sz w:val="22"/>
          <w:szCs w:val="22"/>
        </w:rPr>
        <w:t xml:space="preserve">SAP authorization management controls what users can do within the system. The authorization concept is based on roles, profiles, and authorization objects:</w:t>
      </w:r>
    </w:p>
    <w:p>
      <w:pPr>
        <w:pStyle w:val="ListParagraph"/>
        <w:numPr>
          <w:ilvl w:val="0"/>
          <w:numId w:val="2"/>
        </w:numPr>
        <w:spacing w:after="40" w:before="40"/>
      </w:pPr>
      <w:r>
        <w:rPr>
          <w:rFonts w:ascii="Calibri" w:cs="Calibri" w:eastAsia="Calibri" w:hAnsi="Calibri"/>
          <w:color w:val="4A4A4A"/>
          <w:sz w:val="22"/>
          <w:szCs w:val="22"/>
        </w:rPr>
        <w:t xml:space="preserve">Authorization Object: Defines a check with up to 10 fields (e.g., F_BKPF_BUK = Company Code authorization for FI posting)</w:t>
      </w:r>
    </w:p>
    <w:p>
      <w:pPr>
        <w:pStyle w:val="ListParagraph"/>
        <w:numPr>
          <w:ilvl w:val="0"/>
          <w:numId w:val="2"/>
        </w:numPr>
        <w:spacing w:after="40" w:before="40"/>
      </w:pPr>
      <w:r>
        <w:rPr>
          <w:rFonts w:ascii="Calibri" w:cs="Calibri" w:eastAsia="Calibri" w:hAnsi="Calibri"/>
          <w:color w:val="4A4A4A"/>
          <w:sz w:val="22"/>
          <w:szCs w:val="22"/>
        </w:rPr>
        <w:t xml:space="preserve">Authorization: Set of values for an authorization object's fields assigned to a user</w:t>
      </w:r>
    </w:p>
    <w:p>
      <w:pPr>
        <w:pStyle w:val="ListParagraph"/>
        <w:numPr>
          <w:ilvl w:val="0"/>
          <w:numId w:val="2"/>
        </w:numPr>
        <w:spacing w:after="40" w:before="40"/>
      </w:pPr>
      <w:r>
        <w:rPr>
          <w:rFonts w:ascii="Calibri" w:cs="Calibri" w:eastAsia="Calibri" w:hAnsi="Calibri"/>
          <w:color w:val="4A4A4A"/>
          <w:sz w:val="22"/>
          <w:szCs w:val="22"/>
        </w:rPr>
        <w:t xml:space="preserve">Profile: Collection of authorizations; profiles are bundled into roles</w:t>
      </w:r>
    </w:p>
    <w:p>
      <w:pPr>
        <w:pStyle w:val="ListParagraph"/>
        <w:numPr>
          <w:ilvl w:val="0"/>
          <w:numId w:val="2"/>
        </w:numPr>
        <w:spacing w:after="40" w:before="40"/>
      </w:pPr>
      <w:r>
        <w:rPr>
          <w:rFonts w:ascii="Calibri" w:cs="Calibri" w:eastAsia="Calibri" w:hAnsi="Calibri"/>
          <w:color w:val="4A4A4A"/>
          <w:sz w:val="22"/>
          <w:szCs w:val="22"/>
        </w:rPr>
        <w:t xml:space="preserve">Role (PFCG): Single role contains transactions and authorizations; composite role bundles multiple roles</w:t>
      </w:r>
    </w:p>
    <w:p>
      <w:pPr>
        <w:pStyle w:val="ListParagraph"/>
        <w:numPr>
          <w:ilvl w:val="0"/>
          <w:numId w:val="2"/>
        </w:numPr>
        <w:spacing w:after="40" w:before="40"/>
      </w:pPr>
      <w:r>
        <w:rPr>
          <w:rFonts w:ascii="Calibri" w:cs="Calibri" w:eastAsia="Calibri" w:hAnsi="Calibri"/>
          <w:color w:val="4A4A4A"/>
          <w:sz w:val="22"/>
          <w:szCs w:val="22"/>
        </w:rPr>
        <w:t xml:space="preserve">SU53: Displays failed authorization check — first tool to diagnose missing authorizations</w:t>
      </w:r>
    </w:p>
    <w:p>
      <w:pPr>
        <w:pStyle w:val="ListParagraph"/>
        <w:numPr>
          <w:ilvl w:val="0"/>
          <w:numId w:val="2"/>
        </w:numPr>
        <w:spacing w:after="40" w:before="40"/>
      </w:pPr>
      <w:r>
        <w:rPr>
          <w:rFonts w:ascii="Calibri" w:cs="Calibri" w:eastAsia="Calibri" w:hAnsi="Calibri"/>
          <w:color w:val="4A4A4A"/>
          <w:sz w:val="22"/>
          <w:szCs w:val="22"/>
        </w:rPr>
        <w:t xml:space="preserve">SU10: Mass user maintenance — update multiple users simultaneously</w:t>
      </w:r>
    </w:p>
    <w:p>
      <w:pPr>
        <w:pStyle w:val="ListParagraph"/>
        <w:numPr>
          <w:ilvl w:val="0"/>
          <w:numId w:val="2"/>
        </w:numPr>
        <w:spacing w:after="40" w:before="40"/>
      </w:pPr>
      <w:r>
        <w:rPr>
          <w:rFonts w:ascii="Calibri" w:cs="Calibri" w:eastAsia="Calibri" w:hAnsi="Calibri"/>
          <w:color w:val="4A4A4A"/>
          <w:sz w:val="22"/>
          <w:szCs w:val="22"/>
        </w:rPr>
        <w:t xml:space="preserve">Segregation of Duties (SoD): Critical process — prevent one person from having incompatible authorizations (e.g., create vendor AND pay vendor)</w:t>
      </w:r>
    </w:p>
    <w:p>
      <w:r>
        <w:br w:type="page"/>
      </w:r>
    </w:p>
    <w:p>
      <w:pPr>
        <w:pStyle w:val="Heading1"/>
        <w:spacing w:after="120" w:before="400"/>
      </w:pPr>
      <w:r>
        <w:rPr>
          <w:rFonts w:ascii="Calibri" w:cs="Calibri" w:eastAsia="Calibri" w:hAnsi="Calibri"/>
          <w:b/>
          <w:bCs/>
          <w:color w:val="5B2D8E"/>
          <w:sz w:val="44"/>
          <w:szCs w:val="44"/>
        </w:rPr>
        <w:t xml:space="preserve">Chapter 12: ABAP Programming Fundamentals</w:t>
      </w:r>
    </w:p>
    <w:p>
      <w:pPr>
        <w:pStyle w:val="Heading2"/>
        <w:spacing w:after="120" w:before="300"/>
      </w:pPr>
      <w:r>
        <w:rPr>
          <w:rFonts w:ascii="Calibri" w:cs="Calibri" w:eastAsia="Calibri" w:hAnsi="Calibri"/>
          <w:b/>
          <w:bCs/>
          <w:color w:val="1565C0"/>
          <w:sz w:val="36"/>
          <w:szCs w:val="36"/>
        </w:rPr>
        <w:t xml:space="preserve">12.1 ABAP Overview</w:t>
      </w:r>
    </w:p>
    <w:p>
      <w:pPr>
        <w:spacing w:after="60" w:before="60"/>
        <w:jc w:val="both"/>
      </w:pPr>
      <w:r>
        <w:rPr>
          <w:rFonts w:ascii="Calibri" w:cs="Calibri" w:eastAsia="Calibri" w:hAnsi="Calibri"/>
          <w:color w:val="4A4A4A"/>
          <w:sz w:val="22"/>
          <w:szCs w:val="22"/>
        </w:rPr>
        <w:t xml:space="preserve">ABAP (Advanced Business Application Programming) is SAP's proprietary programming language, developed in the 1980s. It is a 4th-generation language similar in syntax to COBOL, optimized for handling large volumes of business data. Modern ABAP (7.4+) supports object-oriented programming, inline declarations, and functional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Tool/T-Code</w:t>
            </w:r>
          </w:p>
        </w:tc>
        <w:tc>
          <w:tcPr>
            <w:tcW w:type="dxa" w:w="6660"/>
            <w:shd w:fill="5B2D8E" w:color="auto" w:val="clear"/>
          </w:tcPr>
          <w:p>
            <w:r>
              <w:rPr>
                <w:rFonts w:ascii="Calibri" w:cs="Calibri" w:eastAsia="Calibri" w:hAnsi="Calibri"/>
                <w:b/>
                <w:bCs/>
                <w:color w:val="FFFFFF"/>
                <w:sz w:val="20"/>
                <w:szCs w:val="20"/>
              </w:rPr>
              <w:t xml:space="preserve">Purpose</w:t>
            </w:r>
          </w:p>
        </w:tc>
      </w:tr>
      <w:tr>
        <w:tc>
          <w:tcPr>
            <w:tcW w:type="dxa" w:w="2700"/>
            <w:shd w:fill="F3EEF8" w:color="auto" w:val="clear"/>
          </w:tcPr>
          <w:p>
            <w:r>
              <w:rPr>
                <w:rFonts w:ascii="Calibri" w:cs="Calibri" w:eastAsia="Calibri" w:hAnsi="Calibri"/>
                <w:b/>
                <w:bCs/>
                <w:color w:val="5B2D8E"/>
                <w:sz w:val="20"/>
                <w:szCs w:val="20"/>
              </w:rPr>
              <w:t xml:space="preserve">SE38</w:t>
            </w:r>
          </w:p>
        </w:tc>
        <w:tc>
          <w:tcPr>
            <w:tcW w:type="dxa" w:w="6660"/>
            <w:shd w:fill="F3EEF8" w:color="auto" w:val="clear"/>
          </w:tcPr>
          <w:p>
            <w:r>
              <w:rPr>
                <w:rFonts w:ascii="Calibri" w:cs="Calibri" w:eastAsia="Calibri" w:hAnsi="Calibri"/>
                <w:color w:val="4A4A4A"/>
                <w:sz w:val="20"/>
                <w:szCs w:val="20"/>
              </w:rPr>
              <w:t xml:space="preserve">ABAP Editor — create and edit ABAP programs and reports</w:t>
            </w:r>
          </w:p>
        </w:tc>
      </w:tr>
      <w:tr>
        <w:tc>
          <w:tcPr>
            <w:tcW w:type="dxa" w:w="2700"/>
            <w:shd w:fill="FFFFFF" w:color="auto" w:val="clear"/>
          </w:tcPr>
          <w:p>
            <w:r>
              <w:rPr>
                <w:rFonts w:ascii="Calibri" w:cs="Calibri" w:eastAsia="Calibri" w:hAnsi="Calibri"/>
                <w:b/>
                <w:bCs/>
                <w:color w:val="5B2D8E"/>
                <w:sz w:val="20"/>
                <w:szCs w:val="20"/>
              </w:rPr>
              <w:t xml:space="preserve">SE11</w:t>
            </w:r>
          </w:p>
        </w:tc>
        <w:tc>
          <w:tcPr>
            <w:tcW w:type="dxa" w:w="6660"/>
            <w:shd w:fill="FFFFFF" w:color="auto" w:val="clear"/>
          </w:tcPr>
          <w:p>
            <w:r>
              <w:rPr>
                <w:rFonts w:ascii="Calibri" w:cs="Calibri" w:eastAsia="Calibri" w:hAnsi="Calibri"/>
                <w:color w:val="4A4A4A"/>
                <w:sz w:val="20"/>
                <w:szCs w:val="20"/>
              </w:rPr>
              <w:t xml:space="preserve">ABAP Dictionary — define tables, views, data elements, domains, structures</w:t>
            </w:r>
          </w:p>
        </w:tc>
      </w:tr>
      <w:tr>
        <w:tc>
          <w:tcPr>
            <w:tcW w:type="dxa" w:w="2700"/>
            <w:shd w:fill="F3EEF8" w:color="auto" w:val="clear"/>
          </w:tcPr>
          <w:p>
            <w:r>
              <w:rPr>
                <w:rFonts w:ascii="Calibri" w:cs="Calibri" w:eastAsia="Calibri" w:hAnsi="Calibri"/>
                <w:b/>
                <w:bCs/>
                <w:color w:val="5B2D8E"/>
                <w:sz w:val="20"/>
                <w:szCs w:val="20"/>
              </w:rPr>
              <w:t xml:space="preserve">SE24</w:t>
            </w:r>
          </w:p>
        </w:tc>
        <w:tc>
          <w:tcPr>
            <w:tcW w:type="dxa" w:w="6660"/>
            <w:shd w:fill="F3EEF8" w:color="auto" w:val="clear"/>
          </w:tcPr>
          <w:p>
            <w:r>
              <w:rPr>
                <w:rFonts w:ascii="Calibri" w:cs="Calibri" w:eastAsia="Calibri" w:hAnsi="Calibri"/>
                <w:color w:val="4A4A4A"/>
                <w:sz w:val="20"/>
                <w:szCs w:val="20"/>
              </w:rPr>
              <w:t xml:space="preserve">Class Builder — create ABAP OO classes and interfaces</w:t>
            </w:r>
          </w:p>
        </w:tc>
      </w:tr>
      <w:tr>
        <w:tc>
          <w:tcPr>
            <w:tcW w:type="dxa" w:w="2700"/>
            <w:shd w:fill="FFFFFF" w:color="auto" w:val="clear"/>
          </w:tcPr>
          <w:p>
            <w:r>
              <w:rPr>
                <w:rFonts w:ascii="Calibri" w:cs="Calibri" w:eastAsia="Calibri" w:hAnsi="Calibri"/>
                <w:b/>
                <w:bCs/>
                <w:color w:val="5B2D8E"/>
                <w:sz w:val="20"/>
                <w:szCs w:val="20"/>
              </w:rPr>
              <w:t xml:space="preserve">SE37</w:t>
            </w:r>
          </w:p>
        </w:tc>
        <w:tc>
          <w:tcPr>
            <w:tcW w:type="dxa" w:w="6660"/>
            <w:shd w:fill="FFFFFF" w:color="auto" w:val="clear"/>
          </w:tcPr>
          <w:p>
            <w:r>
              <w:rPr>
                <w:rFonts w:ascii="Calibri" w:cs="Calibri" w:eastAsia="Calibri" w:hAnsi="Calibri"/>
                <w:color w:val="4A4A4A"/>
                <w:sz w:val="20"/>
                <w:szCs w:val="20"/>
              </w:rPr>
              <w:t xml:space="preserve">Function Builder — create and test function modules</w:t>
            </w:r>
          </w:p>
        </w:tc>
      </w:tr>
      <w:tr>
        <w:tc>
          <w:tcPr>
            <w:tcW w:type="dxa" w:w="2700"/>
            <w:shd w:fill="F3EEF8" w:color="auto" w:val="clear"/>
          </w:tcPr>
          <w:p>
            <w:r>
              <w:rPr>
                <w:rFonts w:ascii="Calibri" w:cs="Calibri" w:eastAsia="Calibri" w:hAnsi="Calibri"/>
                <w:b/>
                <w:bCs/>
                <w:color w:val="5B2D8E"/>
                <w:sz w:val="20"/>
                <w:szCs w:val="20"/>
              </w:rPr>
              <w:t xml:space="preserve">SE80</w:t>
            </w:r>
          </w:p>
        </w:tc>
        <w:tc>
          <w:tcPr>
            <w:tcW w:type="dxa" w:w="6660"/>
            <w:shd w:fill="F3EEF8" w:color="auto" w:val="clear"/>
          </w:tcPr>
          <w:p>
            <w:r>
              <w:rPr>
                <w:rFonts w:ascii="Calibri" w:cs="Calibri" w:eastAsia="Calibri" w:hAnsi="Calibri"/>
                <w:color w:val="4A4A4A"/>
                <w:sz w:val="20"/>
                <w:szCs w:val="20"/>
              </w:rPr>
              <w:t xml:space="preserve">Object Navigator — comprehensive development workbench; browse objects by package</w:t>
            </w:r>
          </w:p>
        </w:tc>
      </w:tr>
      <w:tr>
        <w:tc>
          <w:tcPr>
            <w:tcW w:type="dxa" w:w="2700"/>
            <w:shd w:fill="FFFFFF" w:color="auto" w:val="clear"/>
          </w:tcPr>
          <w:p>
            <w:r>
              <w:rPr>
                <w:rFonts w:ascii="Calibri" w:cs="Calibri" w:eastAsia="Calibri" w:hAnsi="Calibri"/>
                <w:b/>
                <w:bCs/>
                <w:color w:val="5B2D8E"/>
                <w:sz w:val="20"/>
                <w:szCs w:val="20"/>
              </w:rPr>
              <w:t xml:space="preserve">SHDB</w:t>
            </w:r>
          </w:p>
        </w:tc>
        <w:tc>
          <w:tcPr>
            <w:tcW w:type="dxa" w:w="6660"/>
            <w:shd w:fill="FFFFFF" w:color="auto" w:val="clear"/>
          </w:tcPr>
          <w:p>
            <w:r>
              <w:rPr>
                <w:rFonts w:ascii="Calibri" w:cs="Calibri" w:eastAsia="Calibri" w:hAnsi="Calibri"/>
                <w:color w:val="4A4A4A"/>
                <w:sz w:val="20"/>
                <w:szCs w:val="20"/>
              </w:rPr>
              <w:t xml:space="preserve">Batch Input Recorder — record transactions for mass data upload (BDC)</w:t>
            </w:r>
          </w:p>
        </w:tc>
      </w:tr>
      <w:tr>
        <w:tc>
          <w:tcPr>
            <w:tcW w:type="dxa" w:w="2700"/>
            <w:shd w:fill="F3EEF8" w:color="auto" w:val="clear"/>
          </w:tcPr>
          <w:p>
            <w:r>
              <w:rPr>
                <w:rFonts w:ascii="Calibri" w:cs="Calibri" w:eastAsia="Calibri" w:hAnsi="Calibri"/>
                <w:b/>
                <w:bCs/>
                <w:color w:val="5B2D8E"/>
                <w:sz w:val="20"/>
                <w:szCs w:val="20"/>
              </w:rPr>
              <w:t xml:space="preserve">SAP_BASIS</w:t>
            </w:r>
          </w:p>
        </w:tc>
        <w:tc>
          <w:tcPr>
            <w:tcW w:type="dxa" w:w="6660"/>
            <w:shd w:fill="F3EEF8" w:color="auto" w:val="clear"/>
          </w:tcPr>
          <w:p>
            <w:r>
              <w:rPr>
                <w:rFonts w:ascii="Calibri" w:cs="Calibri" w:eastAsia="Calibri" w:hAnsi="Calibri"/>
                <w:color w:val="4A4A4A"/>
                <w:sz w:val="20"/>
                <w:szCs w:val="20"/>
              </w:rPr>
              <w:t xml:space="preserve">Basis package for cross-system development objects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12.2 ABAP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Concept</w:t>
            </w:r>
          </w:p>
        </w:tc>
        <w:tc>
          <w:tcPr>
            <w:tcW w:type="dxa" w:w="6660"/>
            <w:shd w:fill="5B2D8E"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Internal Tables</w:t>
            </w:r>
          </w:p>
        </w:tc>
        <w:tc>
          <w:tcPr>
            <w:tcW w:type="dxa" w:w="6660"/>
            <w:shd w:fill="F3EEF8" w:color="auto" w:val="clear"/>
          </w:tcPr>
          <w:p>
            <w:r>
              <w:rPr>
                <w:rFonts w:ascii="Calibri" w:cs="Calibri" w:eastAsia="Calibri" w:hAnsi="Calibri"/>
                <w:color w:val="4A4A4A"/>
                <w:sz w:val="20"/>
                <w:szCs w:val="20"/>
              </w:rPr>
              <w:t xml:space="preserve">ABAP data container — like an in-memory database table; STANDARD, SORTED, HASHED</w:t>
            </w:r>
          </w:p>
        </w:tc>
      </w:tr>
      <w:tr>
        <w:tc>
          <w:tcPr>
            <w:tcW w:type="dxa" w:w="2700"/>
            <w:shd w:fill="FFFFFF" w:color="auto" w:val="clear"/>
          </w:tcPr>
          <w:p>
            <w:r>
              <w:rPr>
                <w:rFonts w:ascii="Calibri" w:cs="Calibri" w:eastAsia="Calibri" w:hAnsi="Calibri"/>
                <w:b/>
                <w:bCs/>
                <w:color w:val="5B2D8E"/>
                <w:sz w:val="20"/>
                <w:szCs w:val="20"/>
              </w:rPr>
              <w:t xml:space="preserve">Structures</w:t>
            </w:r>
          </w:p>
        </w:tc>
        <w:tc>
          <w:tcPr>
            <w:tcW w:type="dxa" w:w="6660"/>
            <w:shd w:fill="FFFFFF" w:color="auto" w:val="clear"/>
          </w:tcPr>
          <w:p>
            <w:r>
              <w:rPr>
                <w:rFonts w:ascii="Calibri" w:cs="Calibri" w:eastAsia="Calibri" w:hAnsi="Calibri"/>
                <w:color w:val="4A4A4A"/>
                <w:sz w:val="20"/>
                <w:szCs w:val="20"/>
              </w:rPr>
              <w:t xml:space="preserve">Named group of fields; mirrors database table structure; work area (WA)</w:t>
            </w:r>
          </w:p>
        </w:tc>
      </w:tr>
      <w:tr>
        <w:tc>
          <w:tcPr>
            <w:tcW w:type="dxa" w:w="2700"/>
            <w:shd w:fill="F3EEF8" w:color="auto" w:val="clear"/>
          </w:tcPr>
          <w:p>
            <w:r>
              <w:rPr>
                <w:rFonts w:ascii="Calibri" w:cs="Calibri" w:eastAsia="Calibri" w:hAnsi="Calibri"/>
                <w:b/>
                <w:bCs/>
                <w:color w:val="5B2D8E"/>
                <w:sz w:val="20"/>
                <w:szCs w:val="20"/>
              </w:rPr>
              <w:t xml:space="preserve">Function Modules</w:t>
            </w:r>
          </w:p>
        </w:tc>
        <w:tc>
          <w:tcPr>
            <w:tcW w:type="dxa" w:w="6660"/>
            <w:shd w:fill="F3EEF8" w:color="auto" w:val="clear"/>
          </w:tcPr>
          <w:p>
            <w:r>
              <w:rPr>
                <w:rFonts w:ascii="Calibri" w:cs="Calibri" w:eastAsia="Calibri" w:hAnsi="Calibri"/>
                <w:color w:val="4A4A4A"/>
                <w:sz w:val="20"/>
                <w:szCs w:val="20"/>
              </w:rPr>
              <w:t xml:space="preserve">Reusable subroutines with defined interface; called via CALL FUNCTION; RFC-enabled</w:t>
            </w:r>
          </w:p>
        </w:tc>
      </w:tr>
      <w:tr>
        <w:tc>
          <w:tcPr>
            <w:tcW w:type="dxa" w:w="2700"/>
            <w:shd w:fill="FFFFFF" w:color="auto" w:val="clear"/>
          </w:tcPr>
          <w:p>
            <w:r>
              <w:rPr>
                <w:rFonts w:ascii="Calibri" w:cs="Calibri" w:eastAsia="Calibri" w:hAnsi="Calibri"/>
                <w:b/>
                <w:bCs/>
                <w:color w:val="5B2D8E"/>
                <w:sz w:val="20"/>
                <w:szCs w:val="20"/>
              </w:rPr>
              <w:t xml:space="preserve">BAPIs</w:t>
            </w:r>
          </w:p>
        </w:tc>
        <w:tc>
          <w:tcPr>
            <w:tcW w:type="dxa" w:w="6660"/>
            <w:shd w:fill="FFFFFF" w:color="auto" w:val="clear"/>
          </w:tcPr>
          <w:p>
            <w:r>
              <w:rPr>
                <w:rFonts w:ascii="Calibri" w:cs="Calibri" w:eastAsia="Calibri" w:hAnsi="Calibri"/>
                <w:color w:val="4A4A4A"/>
                <w:sz w:val="20"/>
                <w:szCs w:val="20"/>
              </w:rPr>
              <w:t xml:space="preserve">Business API — standard RFC-enabled function modules for integration</w:t>
            </w:r>
          </w:p>
        </w:tc>
      </w:tr>
      <w:tr>
        <w:tc>
          <w:tcPr>
            <w:tcW w:type="dxa" w:w="2700"/>
            <w:shd w:fill="F3EEF8" w:color="auto" w:val="clear"/>
          </w:tcPr>
          <w:p>
            <w:r>
              <w:rPr>
                <w:rFonts w:ascii="Calibri" w:cs="Calibri" w:eastAsia="Calibri" w:hAnsi="Calibri"/>
                <w:b/>
                <w:bCs/>
                <w:color w:val="5B2D8E"/>
                <w:sz w:val="20"/>
                <w:szCs w:val="20"/>
              </w:rPr>
              <w:t xml:space="preserve">User Exits / BAdIs</w:t>
            </w:r>
          </w:p>
        </w:tc>
        <w:tc>
          <w:tcPr>
            <w:tcW w:type="dxa" w:w="6660"/>
            <w:shd w:fill="F3EEF8" w:color="auto" w:val="clear"/>
          </w:tcPr>
          <w:p>
            <w:r>
              <w:rPr>
                <w:rFonts w:ascii="Calibri" w:cs="Calibri" w:eastAsia="Calibri" w:hAnsi="Calibri"/>
                <w:color w:val="4A4A4A"/>
                <w:sz w:val="20"/>
                <w:szCs w:val="20"/>
              </w:rPr>
              <w:t xml:space="preserve">Extension points where custom code is called without modifying SAP standard</w:t>
            </w:r>
          </w:p>
        </w:tc>
      </w:tr>
      <w:tr>
        <w:tc>
          <w:tcPr>
            <w:tcW w:type="dxa" w:w="2700"/>
            <w:shd w:fill="FFFFFF" w:color="auto" w:val="clear"/>
          </w:tcPr>
          <w:p>
            <w:r>
              <w:rPr>
                <w:rFonts w:ascii="Calibri" w:cs="Calibri" w:eastAsia="Calibri" w:hAnsi="Calibri"/>
                <w:b/>
                <w:bCs/>
                <w:color w:val="5B2D8E"/>
                <w:sz w:val="20"/>
                <w:szCs w:val="20"/>
              </w:rPr>
              <w:t xml:space="preserve">Enhancement Framework</w:t>
            </w:r>
          </w:p>
        </w:tc>
        <w:tc>
          <w:tcPr>
            <w:tcW w:type="dxa" w:w="6660"/>
            <w:shd w:fill="FFFFFF" w:color="auto" w:val="clear"/>
          </w:tcPr>
          <w:p>
            <w:r>
              <w:rPr>
                <w:rFonts w:ascii="Calibri" w:cs="Calibri" w:eastAsia="Calibri" w:hAnsi="Calibri"/>
                <w:color w:val="4A4A4A"/>
                <w:sz w:val="20"/>
                <w:szCs w:val="20"/>
              </w:rPr>
              <w:t xml:space="preserve">Modern approach: implicit/explicit enhancements; Enhancement Spots; BAdI implementations</w:t>
            </w:r>
          </w:p>
        </w:tc>
      </w:tr>
      <w:tr>
        <w:tc>
          <w:tcPr>
            <w:tcW w:type="dxa" w:w="2700"/>
            <w:shd w:fill="F3EEF8" w:color="auto" w:val="clear"/>
          </w:tcPr>
          <w:p>
            <w:r>
              <w:rPr>
                <w:rFonts w:ascii="Calibri" w:cs="Calibri" w:eastAsia="Calibri" w:hAnsi="Calibri"/>
                <w:b/>
                <w:bCs/>
                <w:color w:val="5B2D8E"/>
                <w:sz w:val="20"/>
                <w:szCs w:val="20"/>
              </w:rPr>
              <w:t xml:space="preserve">CDS Views</w:t>
            </w:r>
          </w:p>
        </w:tc>
        <w:tc>
          <w:tcPr>
            <w:tcW w:type="dxa" w:w="6660"/>
            <w:shd w:fill="F3EEF8" w:color="auto" w:val="clear"/>
          </w:tcPr>
          <w:p>
            <w:r>
              <w:rPr>
                <w:rFonts w:ascii="Calibri" w:cs="Calibri" w:eastAsia="Calibri" w:hAnsi="Calibri"/>
                <w:color w:val="4A4A4A"/>
                <w:sz w:val="20"/>
                <w:szCs w:val="20"/>
              </w:rPr>
              <w:t xml:space="preserve">Core Data Services — SQL-based views on HANA; used for Fiori and embedded analytics</w:t>
            </w:r>
          </w:p>
        </w:tc>
      </w:tr>
      <w:tr>
        <w:tc>
          <w:tcPr>
            <w:tcW w:type="dxa" w:w="2700"/>
            <w:shd w:fill="FFFFFF" w:color="auto" w:val="clear"/>
          </w:tcPr>
          <w:p>
            <w:r>
              <w:rPr>
                <w:rFonts w:ascii="Calibri" w:cs="Calibri" w:eastAsia="Calibri" w:hAnsi="Calibri"/>
                <w:b/>
                <w:bCs/>
                <w:color w:val="5B2D8E"/>
                <w:sz w:val="20"/>
                <w:szCs w:val="20"/>
              </w:rPr>
              <w:t xml:space="preserve">OData Services</w:t>
            </w:r>
          </w:p>
        </w:tc>
        <w:tc>
          <w:tcPr>
            <w:tcW w:type="dxa" w:w="6660"/>
            <w:shd w:fill="FFFFFF" w:color="auto" w:val="clear"/>
          </w:tcPr>
          <w:p>
            <w:r>
              <w:rPr>
                <w:rFonts w:ascii="Calibri" w:cs="Calibri" w:eastAsia="Calibri" w:hAnsi="Calibri"/>
                <w:color w:val="4A4A4A"/>
                <w:sz w:val="20"/>
                <w:szCs w:val="20"/>
              </w:rPr>
              <w:t xml:space="preserve">RESTful API standard used by Fiori apps; generated from CDS annotations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40" w:before="160"/>
            </w:pPr>
            <w:r>
              <w:rPr>
                <w:rFonts w:ascii="Calibri" w:cs="Calibri" w:eastAsia="Calibri" w:hAnsi="Calibri"/>
                <w:b/>
                <w:bCs/>
                <w:color w:val="FFFFFF"/>
                <w:sz w:val="52"/>
                <w:szCs w:val="52"/>
              </w:rPr>
              <w:t xml:space="preserve">PART V — MODERN SAP PLATFORMS</w:t>
            </w:r>
          </w:p>
          <w:p>
            <w:pPr>
              <w:spacing w:after="160" w:before="0"/>
            </w:pPr>
            <w:r>
              <w:rPr>
                <w:rFonts w:ascii="Calibri" w:cs="Calibri" w:eastAsia="Calibri" w:hAnsi="Calibri"/>
                <w:color w:val="DDDDDD"/>
                <w:sz w:val="22"/>
                <w:szCs w:val="22"/>
              </w:rPr>
              <w:t xml:space="preserve">BTP, Fiori, and Analytics Cloud</w:t>
            </w:r>
          </w:p>
        </w:tc>
      </w:tr>
    </w:tbl>
    <w:p>
      <w:pPr>
        <w:spacing w:after="0" w:before="0"/>
      </w:pPr>
      <w:r>
        <w:rPr>
          <w:sz w:val="100"/>
          <w:szCs w:val="100"/>
        </w:rPr>
        <w:t xml:space="preserve"> </w:t>
      </w:r>
    </w:p>
    <w:p>
      <w:pPr>
        <w:pStyle w:val="Heading1"/>
        <w:spacing w:after="120" w:before="400"/>
      </w:pPr>
      <w:r>
        <w:rPr>
          <w:rFonts w:ascii="Calibri" w:cs="Calibri" w:eastAsia="Calibri" w:hAnsi="Calibri"/>
          <w:b/>
          <w:bCs/>
          <w:color w:val="5B2D8E"/>
          <w:sz w:val="44"/>
          <w:szCs w:val="44"/>
        </w:rPr>
        <w:t xml:space="preserve">Chapter 13: SAP Business Technology Platform (BTP)</w:t>
      </w:r>
    </w:p>
    <w:p>
      <w:pPr>
        <w:pStyle w:val="Heading2"/>
        <w:spacing w:after="120" w:before="300"/>
      </w:pPr>
      <w:r>
        <w:rPr>
          <w:rFonts w:ascii="Calibri" w:cs="Calibri" w:eastAsia="Calibri" w:hAnsi="Calibri"/>
          <w:b/>
          <w:bCs/>
          <w:color w:val="5B2D8E"/>
          <w:sz w:val="36"/>
          <w:szCs w:val="36"/>
        </w:rPr>
        <w:t xml:space="preserve">13.1 BTP Overview</w:t>
      </w:r>
    </w:p>
    <w:p>
      <w:pPr>
        <w:spacing w:after="60" w:before="60"/>
        <w:jc w:val="both"/>
      </w:pPr>
      <w:r>
        <w:rPr>
          <w:rFonts w:ascii="Calibri" w:cs="Calibri" w:eastAsia="Calibri" w:hAnsi="Calibri"/>
          <w:color w:val="4A4A4A"/>
          <w:sz w:val="22"/>
          <w:szCs w:val="22"/>
        </w:rPr>
        <w:t xml:space="preserve">SAP Business Technology Platform (BTP) is SAP's cloud platform for building and extending SAP applications. BTP unifies four key pillars under one commercial framework and enables organizations to integrate, extend, and build on top of SAP and non-SAP applications in a cloud-native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BTP Pillar</w:t>
            </w:r>
          </w:p>
        </w:tc>
        <w:tc>
          <w:tcPr>
            <w:tcW w:type="dxa" w:w="6660"/>
            <w:shd w:fill="5B2D8E" w:color="auto" w:val="clear"/>
          </w:tcPr>
          <w:p>
            <w:r>
              <w:rPr>
                <w:rFonts w:ascii="Calibri" w:cs="Calibri" w:eastAsia="Calibri" w:hAnsi="Calibri"/>
                <w:b/>
                <w:bCs/>
                <w:color w:val="FFFFFF"/>
                <w:sz w:val="20"/>
                <w:szCs w:val="20"/>
              </w:rPr>
              <w:t xml:space="preserve">Key Services</w:t>
            </w:r>
          </w:p>
        </w:tc>
      </w:tr>
      <w:tr>
        <w:tc>
          <w:tcPr>
            <w:tcW w:type="dxa" w:w="2700"/>
            <w:shd w:fill="F3EEF8" w:color="auto" w:val="clear"/>
          </w:tcPr>
          <w:p>
            <w:r>
              <w:rPr>
                <w:rFonts w:ascii="Calibri" w:cs="Calibri" w:eastAsia="Calibri" w:hAnsi="Calibri"/>
                <w:b/>
                <w:bCs/>
                <w:color w:val="5B2D8E"/>
                <w:sz w:val="20"/>
                <w:szCs w:val="20"/>
              </w:rPr>
              <w:t xml:space="preserve">Database &amp; Data Management</w:t>
            </w:r>
          </w:p>
        </w:tc>
        <w:tc>
          <w:tcPr>
            <w:tcW w:type="dxa" w:w="6660"/>
            <w:shd w:fill="F3EEF8" w:color="auto" w:val="clear"/>
          </w:tcPr>
          <w:p>
            <w:r>
              <w:rPr>
                <w:rFonts w:ascii="Calibri" w:cs="Calibri" w:eastAsia="Calibri" w:hAnsi="Calibri"/>
                <w:color w:val="4A4A4A"/>
                <w:sz w:val="20"/>
                <w:szCs w:val="20"/>
              </w:rPr>
              <w:t xml:space="preserve">SAP HANA Cloud; Data Intelligence; Datasphere — analytics-ready data management</w:t>
            </w:r>
          </w:p>
        </w:tc>
      </w:tr>
      <w:tr>
        <w:tc>
          <w:tcPr>
            <w:tcW w:type="dxa" w:w="2700"/>
            <w:shd w:fill="FFFFFF" w:color="auto" w:val="clear"/>
          </w:tcPr>
          <w:p>
            <w:r>
              <w:rPr>
                <w:rFonts w:ascii="Calibri" w:cs="Calibri" w:eastAsia="Calibri" w:hAnsi="Calibri"/>
                <w:b/>
                <w:bCs/>
                <w:color w:val="5B2D8E"/>
                <w:sz w:val="20"/>
                <w:szCs w:val="20"/>
              </w:rPr>
              <w:t xml:space="preserve">Analytics</w:t>
            </w:r>
          </w:p>
        </w:tc>
        <w:tc>
          <w:tcPr>
            <w:tcW w:type="dxa" w:w="6660"/>
            <w:shd w:fill="FFFFFF" w:color="auto" w:val="clear"/>
          </w:tcPr>
          <w:p>
            <w:r>
              <w:rPr>
                <w:rFonts w:ascii="Calibri" w:cs="Calibri" w:eastAsia="Calibri" w:hAnsi="Calibri"/>
                <w:color w:val="4A4A4A"/>
                <w:sz w:val="20"/>
                <w:szCs w:val="20"/>
              </w:rPr>
              <w:t xml:space="preserve">SAP Analytics Cloud (SAC); embedded analytics; planning and predictive</w:t>
            </w:r>
          </w:p>
        </w:tc>
      </w:tr>
      <w:tr>
        <w:tc>
          <w:tcPr>
            <w:tcW w:type="dxa" w:w="2700"/>
            <w:shd w:fill="F3EEF8" w:color="auto" w:val="clear"/>
          </w:tcPr>
          <w:p>
            <w:r>
              <w:rPr>
                <w:rFonts w:ascii="Calibri" w:cs="Calibri" w:eastAsia="Calibri" w:hAnsi="Calibri"/>
                <w:b/>
                <w:bCs/>
                <w:color w:val="5B2D8E"/>
                <w:sz w:val="20"/>
                <w:szCs w:val="20"/>
              </w:rPr>
              <w:t xml:space="preserve">Application Development &amp; Integration</w:t>
            </w:r>
          </w:p>
        </w:tc>
        <w:tc>
          <w:tcPr>
            <w:tcW w:type="dxa" w:w="6660"/>
            <w:shd w:fill="F3EEF8" w:color="auto" w:val="clear"/>
          </w:tcPr>
          <w:p>
            <w:r>
              <w:rPr>
                <w:rFonts w:ascii="Calibri" w:cs="Calibri" w:eastAsia="Calibri" w:hAnsi="Calibri"/>
                <w:color w:val="4A4A4A"/>
                <w:sz w:val="20"/>
                <w:szCs w:val="20"/>
              </w:rPr>
              <w:t xml:space="preserve">Build new apps (CAP framework); workflow; integration via SAP Integration Suite</w:t>
            </w:r>
          </w:p>
        </w:tc>
      </w:tr>
      <w:tr>
        <w:tc>
          <w:tcPr>
            <w:tcW w:type="dxa" w:w="2700"/>
            <w:shd w:fill="FFFFFF" w:color="auto" w:val="clear"/>
          </w:tcPr>
          <w:p>
            <w:r>
              <w:rPr>
                <w:rFonts w:ascii="Calibri" w:cs="Calibri" w:eastAsia="Calibri" w:hAnsi="Calibri"/>
                <w:b/>
                <w:bCs/>
                <w:color w:val="5B2D8E"/>
                <w:sz w:val="20"/>
                <w:szCs w:val="20"/>
              </w:rPr>
              <w:t xml:space="preserve">Artificial Intelligence</w:t>
            </w:r>
          </w:p>
        </w:tc>
        <w:tc>
          <w:tcPr>
            <w:tcW w:type="dxa" w:w="6660"/>
            <w:shd w:fill="FFFFFF" w:color="auto" w:val="clear"/>
          </w:tcPr>
          <w:p>
            <w:r>
              <w:rPr>
                <w:rFonts w:ascii="Calibri" w:cs="Calibri" w:eastAsia="Calibri" w:hAnsi="Calibri"/>
                <w:color w:val="4A4A4A"/>
                <w:sz w:val="20"/>
                <w:szCs w:val="20"/>
              </w:rPr>
              <w:t xml:space="preserve">AI Foundation; generative AI hub; Joule (AI copilot); pre-built AI services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5B2D8E"/>
          <w:sz w:val="36"/>
          <w:szCs w:val="36"/>
        </w:rPr>
        <w:t xml:space="preserve">13.2 SAP Integration Suite</w:t>
      </w:r>
    </w:p>
    <w:p>
      <w:pPr>
        <w:spacing w:after="60" w:before="60"/>
        <w:jc w:val="both"/>
      </w:pPr>
      <w:r>
        <w:rPr>
          <w:rFonts w:ascii="Calibri" w:cs="Calibri" w:eastAsia="Calibri" w:hAnsi="Calibri"/>
          <w:color w:val="4A4A4A"/>
          <w:sz w:val="22"/>
          <w:szCs w:val="22"/>
        </w:rPr>
        <w:t xml:space="preserve">The SAP Integration Suite (formerly SAP Cloud Platform Integration / SAP CPI) is the central middleware for connecting SAP systems with each other and with third-party applications. It replaces SAP Process Integration (PI/PO) for cloud-first integration:</w:t>
      </w:r>
    </w:p>
    <w:p>
      <w:pPr>
        <w:pStyle w:val="ListParagraph"/>
        <w:numPr>
          <w:ilvl w:val="0"/>
          <w:numId w:val="2"/>
        </w:numPr>
        <w:spacing w:after="40" w:before="40"/>
      </w:pPr>
      <w:r>
        <w:rPr>
          <w:rFonts w:ascii="Calibri" w:cs="Calibri" w:eastAsia="Calibri" w:hAnsi="Calibri"/>
          <w:color w:val="4A4A4A"/>
          <w:sz w:val="22"/>
          <w:szCs w:val="22"/>
        </w:rPr>
        <w:t xml:space="preserve">Cloud Integration (CPI): Develop and run integration flows (iFlows); pre-built content for SAP-to-SAP scenarios</w:t>
      </w:r>
    </w:p>
    <w:p>
      <w:pPr>
        <w:pStyle w:val="ListParagraph"/>
        <w:numPr>
          <w:ilvl w:val="0"/>
          <w:numId w:val="2"/>
        </w:numPr>
        <w:spacing w:after="40" w:before="40"/>
      </w:pPr>
      <w:r>
        <w:rPr>
          <w:rFonts w:ascii="Calibri" w:cs="Calibri" w:eastAsia="Calibri" w:hAnsi="Calibri"/>
          <w:color w:val="4A4A4A"/>
          <w:sz w:val="22"/>
          <w:szCs w:val="22"/>
        </w:rPr>
        <w:t xml:space="preserve">API Management: Create, publish, and manage APIs; developer portal; analytics; security policies</w:t>
      </w:r>
    </w:p>
    <w:p>
      <w:pPr>
        <w:pStyle w:val="ListParagraph"/>
        <w:numPr>
          <w:ilvl w:val="0"/>
          <w:numId w:val="2"/>
        </w:numPr>
        <w:spacing w:after="40" w:before="40"/>
      </w:pPr>
      <w:r>
        <w:rPr>
          <w:rFonts w:ascii="Calibri" w:cs="Calibri" w:eastAsia="Calibri" w:hAnsi="Calibri"/>
          <w:color w:val="4A4A4A"/>
          <w:sz w:val="22"/>
          <w:szCs w:val="22"/>
        </w:rPr>
        <w:t xml:space="preserve">Open Connectors: 170+ pre-built connectors to non-SAP cloud applications (Salesforce, ServiceNow, etc.)</w:t>
      </w:r>
    </w:p>
    <w:p>
      <w:pPr>
        <w:pStyle w:val="ListParagraph"/>
        <w:numPr>
          <w:ilvl w:val="0"/>
          <w:numId w:val="2"/>
        </w:numPr>
        <w:spacing w:after="40" w:before="40"/>
      </w:pPr>
      <w:r>
        <w:rPr>
          <w:rFonts w:ascii="Calibri" w:cs="Calibri" w:eastAsia="Calibri" w:hAnsi="Calibri"/>
          <w:color w:val="4A4A4A"/>
          <w:sz w:val="22"/>
          <w:szCs w:val="22"/>
        </w:rPr>
        <w:t xml:space="preserve">Integration Advisor: AI-powered mapping assistance; industry standard message guidelines</w:t>
      </w:r>
    </w:p>
    <w:p>
      <w:pPr>
        <w:pStyle w:val="ListParagraph"/>
        <w:numPr>
          <w:ilvl w:val="0"/>
          <w:numId w:val="2"/>
        </w:numPr>
        <w:spacing w:after="40" w:before="40"/>
      </w:pPr>
      <w:r>
        <w:rPr>
          <w:rFonts w:ascii="Calibri" w:cs="Calibri" w:eastAsia="Calibri" w:hAnsi="Calibri"/>
          <w:color w:val="4A4A4A"/>
          <w:sz w:val="22"/>
          <w:szCs w:val="22"/>
        </w:rPr>
        <w:t xml:space="preserve">Trading Partner Management: EDI; B2B connectivity; AS2, SFTP, EDIFACT, X12 protocols</w:t>
      </w:r>
    </w:p>
    <w:p>
      <w:pPr>
        <w:spacing w:after="0" w:before="0"/>
      </w:pPr>
      <w:r>
        <w:rPr>
          <w:sz w:val="100"/>
          <w:szCs w:val="100"/>
        </w:rPr>
        <w:t xml:space="preserve"> </w:t>
      </w:r>
    </w:p>
    <w:p>
      <w:pPr>
        <w:pStyle w:val="Heading2"/>
        <w:spacing w:after="120" w:before="300"/>
      </w:pPr>
      <w:r>
        <w:rPr>
          <w:rFonts w:ascii="Calibri" w:cs="Calibri" w:eastAsia="Calibri" w:hAnsi="Calibri"/>
          <w:b/>
          <w:bCs/>
          <w:color w:val="5B2D8E"/>
          <w:sz w:val="36"/>
          <w:szCs w:val="36"/>
        </w:rPr>
        <w:t xml:space="preserve">13.3 SAP CAP Framework</w:t>
      </w:r>
    </w:p>
    <w:p>
      <w:pPr>
        <w:spacing w:after="60" w:before="60"/>
        <w:jc w:val="both"/>
      </w:pPr>
      <w:r>
        <w:rPr>
          <w:rFonts w:ascii="Calibri" w:cs="Calibri" w:eastAsia="Calibri" w:hAnsi="Calibri"/>
          <w:color w:val="4A4A4A"/>
          <w:sz w:val="22"/>
          <w:szCs w:val="22"/>
        </w:rPr>
        <w:t xml:space="preserve">The Cloud Application Programming (CAP) model is SAP's framework for building enterprise-grade services and applications on BTP. CAP provides a high-level abstraction that handles much of the boilerplate for SAP applications:</w:t>
      </w:r>
    </w:p>
    <w:p>
      <w:pPr>
        <w:pStyle w:val="ListParagraph"/>
        <w:numPr>
          <w:ilvl w:val="0"/>
          <w:numId w:val="2"/>
        </w:numPr>
        <w:spacing w:after="40" w:before="40"/>
      </w:pPr>
      <w:r>
        <w:rPr>
          <w:rFonts w:ascii="Calibri" w:cs="Calibri" w:eastAsia="Calibri" w:hAnsi="Calibri"/>
          <w:color w:val="4A4A4A"/>
          <w:sz w:val="22"/>
          <w:szCs w:val="22"/>
        </w:rPr>
        <w:t xml:space="preserve">CDS (Core Data Services): Define data models and services declaratively; generates OData APIs automatically</w:t>
      </w:r>
    </w:p>
    <w:p>
      <w:pPr>
        <w:pStyle w:val="ListParagraph"/>
        <w:numPr>
          <w:ilvl w:val="0"/>
          <w:numId w:val="2"/>
        </w:numPr>
        <w:spacing w:after="40" w:before="40"/>
      </w:pPr>
      <w:r>
        <w:rPr>
          <w:rFonts w:ascii="Calibri" w:cs="Calibri" w:eastAsia="Calibri" w:hAnsi="Calibri"/>
          <w:color w:val="4A4A4A"/>
          <w:sz w:val="22"/>
          <w:szCs w:val="22"/>
        </w:rPr>
        <w:t xml:space="preserve">Node.js and Java runtimes: CAP supports both; auto-provisions DB, CRUD, filtering, paging</w:t>
      </w:r>
    </w:p>
    <w:p>
      <w:pPr>
        <w:pStyle w:val="ListParagraph"/>
        <w:numPr>
          <w:ilvl w:val="0"/>
          <w:numId w:val="2"/>
        </w:numPr>
        <w:spacing w:after="40" w:before="40"/>
      </w:pPr>
      <w:r>
        <w:rPr>
          <w:rFonts w:ascii="Calibri" w:cs="Calibri" w:eastAsia="Calibri" w:hAnsi="Calibri"/>
          <w:color w:val="4A4A4A"/>
          <w:sz w:val="22"/>
          <w:szCs w:val="22"/>
        </w:rPr>
        <w:t xml:space="preserve">SAP HANA Cloud integration: Automatic schema deployment from CDS models to HANA</w:t>
      </w:r>
    </w:p>
    <w:p>
      <w:pPr>
        <w:pStyle w:val="ListParagraph"/>
        <w:numPr>
          <w:ilvl w:val="0"/>
          <w:numId w:val="2"/>
        </w:numPr>
        <w:spacing w:after="40" w:before="40"/>
      </w:pPr>
      <w:r>
        <w:rPr>
          <w:rFonts w:ascii="Calibri" w:cs="Calibri" w:eastAsia="Calibri" w:hAnsi="Calibri"/>
          <w:color w:val="4A4A4A"/>
          <w:sz w:val="22"/>
          <w:szCs w:val="22"/>
        </w:rPr>
        <w:t xml:space="preserve">Authentication via XSUAA: BTP authentication service; JWT tokens; role-based access control</w:t>
      </w:r>
    </w:p>
    <w:p>
      <w:pPr>
        <w:pStyle w:val="ListParagraph"/>
        <w:numPr>
          <w:ilvl w:val="0"/>
          <w:numId w:val="2"/>
        </w:numPr>
        <w:spacing w:after="40" w:before="40"/>
      </w:pPr>
      <w:r>
        <w:rPr>
          <w:rFonts w:ascii="Calibri" w:cs="Calibri" w:eastAsia="Calibri" w:hAnsi="Calibri"/>
          <w:color w:val="4A4A4A"/>
          <w:sz w:val="22"/>
          <w:szCs w:val="22"/>
        </w:rPr>
        <w:t xml:space="preserve">Deployment to BTP Cloud Foundry or Kyma (Kubernetes)</w:t>
      </w:r>
    </w:p>
    <w:p>
      <w:r>
        <w:br w:type="page"/>
      </w:r>
    </w:p>
    <w:p>
      <w:pPr>
        <w:pStyle w:val="Heading1"/>
        <w:spacing w:after="120" w:before="400"/>
      </w:pPr>
      <w:r>
        <w:rPr>
          <w:rFonts w:ascii="Calibri" w:cs="Calibri" w:eastAsia="Calibri" w:hAnsi="Calibri"/>
          <w:b/>
          <w:bCs/>
          <w:color w:val="5B2D8E"/>
          <w:sz w:val="44"/>
          <w:szCs w:val="44"/>
        </w:rPr>
        <w:t xml:space="preserve">Chapter 14: SAP Fiori &amp; UX Design</w:t>
      </w:r>
    </w:p>
    <w:p>
      <w:pPr>
        <w:pStyle w:val="Heading2"/>
        <w:spacing w:after="120" w:before="300"/>
      </w:pPr>
      <w:r>
        <w:rPr>
          <w:rFonts w:ascii="Calibri" w:cs="Calibri" w:eastAsia="Calibri" w:hAnsi="Calibri"/>
          <w:b/>
          <w:bCs/>
          <w:color w:val="5B2D8E"/>
          <w:sz w:val="36"/>
          <w:szCs w:val="36"/>
        </w:rPr>
        <w:t xml:space="preserve">14.1 SAP Fiori Overview</w:t>
      </w:r>
    </w:p>
    <w:p>
      <w:pPr>
        <w:spacing w:after="60" w:before="60"/>
        <w:jc w:val="both"/>
      </w:pPr>
      <w:r>
        <w:rPr>
          <w:rFonts w:ascii="Calibri" w:cs="Calibri" w:eastAsia="Calibri" w:hAnsi="Calibri"/>
          <w:color w:val="4A4A4A"/>
          <w:sz w:val="22"/>
          <w:szCs w:val="22"/>
        </w:rPr>
        <w:t xml:space="preserve">SAP Fiori is SAP's design system and UX framework, providing a consistent, role-based, and device-agnostic user experience across SAP applications. Fiori apps are web-based (HTML5/SAPUI5) and run in a browser, replacing traditional SAP GUI transactions for end-users.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Component</w:t>
            </w:r>
          </w:p>
        </w:tc>
        <w:tc>
          <w:tcPr>
            <w:tcW w:type="dxa" w:w="6660"/>
            <w:shd w:fill="5B2D8E"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Fiori Launchpad</w:t>
            </w:r>
          </w:p>
        </w:tc>
        <w:tc>
          <w:tcPr>
            <w:tcW w:type="dxa" w:w="6660"/>
            <w:shd w:fill="F3EEF8" w:color="auto" w:val="clear"/>
          </w:tcPr>
          <w:p>
            <w:r>
              <w:rPr>
                <w:rFonts w:ascii="Calibri" w:cs="Calibri" w:eastAsia="Calibri" w:hAnsi="Calibri"/>
                <w:color w:val="4A4A4A"/>
                <w:sz w:val="20"/>
                <w:szCs w:val="20"/>
              </w:rPr>
              <w:t xml:space="preserve">Entry point for all Fiori apps; tile-based home page; role-based content; notifications</w:t>
            </w:r>
          </w:p>
        </w:tc>
      </w:tr>
      <w:tr>
        <w:tc>
          <w:tcPr>
            <w:tcW w:type="dxa" w:w="2700"/>
            <w:shd w:fill="FFFFFF" w:color="auto" w:val="clear"/>
          </w:tcPr>
          <w:p>
            <w:r>
              <w:rPr>
                <w:rFonts w:ascii="Calibri" w:cs="Calibri" w:eastAsia="Calibri" w:hAnsi="Calibri"/>
                <w:b/>
                <w:bCs/>
                <w:color w:val="5B2D8E"/>
                <w:sz w:val="20"/>
                <w:szCs w:val="20"/>
              </w:rPr>
              <w:t xml:space="preserve">Transactional Apps</w:t>
            </w:r>
          </w:p>
        </w:tc>
        <w:tc>
          <w:tcPr>
            <w:tcW w:type="dxa" w:w="6660"/>
            <w:shd w:fill="FFFFFF" w:color="auto" w:val="clear"/>
          </w:tcPr>
          <w:p>
            <w:r>
              <w:rPr>
                <w:rFonts w:ascii="Calibri" w:cs="Calibri" w:eastAsia="Calibri" w:hAnsi="Calibri"/>
                <w:color w:val="4A4A4A"/>
                <w:sz w:val="20"/>
                <w:szCs w:val="20"/>
              </w:rPr>
              <w:t xml:space="preserve">Equivalent to SAP GUI transactions; create/change/display documents (e.g., Create Purchase Order)</w:t>
            </w:r>
          </w:p>
        </w:tc>
      </w:tr>
      <w:tr>
        <w:tc>
          <w:tcPr>
            <w:tcW w:type="dxa" w:w="2700"/>
            <w:shd w:fill="F3EEF8" w:color="auto" w:val="clear"/>
          </w:tcPr>
          <w:p>
            <w:r>
              <w:rPr>
                <w:rFonts w:ascii="Calibri" w:cs="Calibri" w:eastAsia="Calibri" w:hAnsi="Calibri"/>
                <w:b/>
                <w:bCs/>
                <w:color w:val="5B2D8E"/>
                <w:sz w:val="20"/>
                <w:szCs w:val="20"/>
              </w:rPr>
              <w:t xml:space="preserve">Analytical Apps</w:t>
            </w:r>
          </w:p>
        </w:tc>
        <w:tc>
          <w:tcPr>
            <w:tcW w:type="dxa" w:w="6660"/>
            <w:shd w:fill="F3EEF8" w:color="auto" w:val="clear"/>
          </w:tcPr>
          <w:p>
            <w:r>
              <w:rPr>
                <w:rFonts w:ascii="Calibri" w:cs="Calibri" w:eastAsia="Calibri" w:hAnsi="Calibri"/>
                <w:color w:val="4A4A4A"/>
                <w:sz w:val="20"/>
                <w:szCs w:val="20"/>
              </w:rPr>
              <w:t xml:space="preserve">KPI tiles, overview pages, charts — real-time data from S/4HANA embedded analytics</w:t>
            </w:r>
          </w:p>
        </w:tc>
      </w:tr>
      <w:tr>
        <w:tc>
          <w:tcPr>
            <w:tcW w:type="dxa" w:w="2700"/>
            <w:shd w:fill="FFFFFF" w:color="auto" w:val="clear"/>
          </w:tcPr>
          <w:p>
            <w:r>
              <w:rPr>
                <w:rFonts w:ascii="Calibri" w:cs="Calibri" w:eastAsia="Calibri" w:hAnsi="Calibri"/>
                <w:b/>
                <w:bCs/>
                <w:color w:val="5B2D8E"/>
                <w:sz w:val="20"/>
                <w:szCs w:val="20"/>
              </w:rPr>
              <w:t xml:space="preserve">Fact Sheets</w:t>
            </w:r>
          </w:p>
        </w:tc>
        <w:tc>
          <w:tcPr>
            <w:tcW w:type="dxa" w:w="6660"/>
            <w:shd w:fill="FFFFFF" w:color="auto" w:val="clear"/>
          </w:tcPr>
          <w:p>
            <w:r>
              <w:rPr>
                <w:rFonts w:ascii="Calibri" w:cs="Calibri" w:eastAsia="Calibri" w:hAnsi="Calibri"/>
                <w:color w:val="4A4A4A"/>
                <w:sz w:val="20"/>
                <w:szCs w:val="20"/>
              </w:rPr>
              <w:t xml:space="preserve">Object-level overview: show key attributes and related data for a business object</w:t>
            </w:r>
          </w:p>
        </w:tc>
      </w:tr>
      <w:tr>
        <w:tc>
          <w:tcPr>
            <w:tcW w:type="dxa" w:w="2700"/>
            <w:shd w:fill="F3EEF8" w:color="auto" w:val="clear"/>
          </w:tcPr>
          <w:p>
            <w:r>
              <w:rPr>
                <w:rFonts w:ascii="Calibri" w:cs="Calibri" w:eastAsia="Calibri" w:hAnsi="Calibri"/>
                <w:b/>
                <w:bCs/>
                <w:color w:val="5B2D8E"/>
                <w:sz w:val="20"/>
                <w:szCs w:val="20"/>
              </w:rPr>
              <w:t xml:space="preserve">SAPUI5</w:t>
            </w:r>
          </w:p>
        </w:tc>
        <w:tc>
          <w:tcPr>
            <w:tcW w:type="dxa" w:w="6660"/>
            <w:shd w:fill="F3EEF8" w:color="auto" w:val="clear"/>
          </w:tcPr>
          <w:p>
            <w:r>
              <w:rPr>
                <w:rFonts w:ascii="Calibri" w:cs="Calibri" w:eastAsia="Calibri" w:hAnsi="Calibri"/>
                <w:color w:val="4A4A4A"/>
                <w:sz w:val="20"/>
                <w:szCs w:val="20"/>
              </w:rPr>
              <w:t xml:space="preserve">JavaScript framework; extends OpenUI5; MVC pattern; responsive; accessibility-compliant</w:t>
            </w:r>
          </w:p>
        </w:tc>
      </w:tr>
      <w:tr>
        <w:tc>
          <w:tcPr>
            <w:tcW w:type="dxa" w:w="2700"/>
            <w:shd w:fill="FFFFFF" w:color="auto" w:val="clear"/>
          </w:tcPr>
          <w:p>
            <w:r>
              <w:rPr>
                <w:rFonts w:ascii="Calibri" w:cs="Calibri" w:eastAsia="Calibri" w:hAnsi="Calibri"/>
                <w:b/>
                <w:bCs/>
                <w:color w:val="5B2D8E"/>
                <w:sz w:val="20"/>
                <w:szCs w:val="20"/>
              </w:rPr>
              <w:t xml:space="preserve">Fiori Elements</w:t>
            </w:r>
          </w:p>
        </w:tc>
        <w:tc>
          <w:tcPr>
            <w:tcW w:type="dxa" w:w="6660"/>
            <w:shd w:fill="FFFFFF" w:color="auto" w:val="clear"/>
          </w:tcPr>
          <w:p>
            <w:r>
              <w:rPr>
                <w:rFonts w:ascii="Calibri" w:cs="Calibri" w:eastAsia="Calibri" w:hAnsi="Calibri"/>
                <w:color w:val="4A4A4A"/>
                <w:sz w:val="20"/>
                <w:szCs w:val="20"/>
              </w:rPr>
              <w:t xml:space="preserve">Template-based apps generated from OData/CDS annotations — no UI coding needed</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5B2D8E"/>
          <w:sz w:val="36"/>
          <w:szCs w:val="36"/>
        </w:rPr>
        <w:t xml:space="preserve">14.2 Fiori App Architecture</w:t>
      </w:r>
    </w:p>
    <w:p>
      <w:pPr>
        <w:spacing w:after="60" w:before="60"/>
        <w:jc w:val="both"/>
      </w:pPr>
      <w:r>
        <w:rPr>
          <w:rFonts w:ascii="Calibri" w:cs="Calibri" w:eastAsia="Calibri" w:hAnsi="Calibri"/>
          <w:color w:val="4A4A4A"/>
          <w:sz w:val="22"/>
          <w:szCs w:val="22"/>
        </w:rPr>
        <w:t xml:space="preserve">Modern SAP Fiori apps follow a layered architecture based on OData services exposed from the S/4HANA backend:</w:t>
      </w:r>
    </w:p>
    <w:p>
      <w:pPr>
        <w:pStyle w:val="ListParagraph"/>
        <w:numPr>
          <w:ilvl w:val="0"/>
          <w:numId w:val="2"/>
        </w:numPr>
        <w:spacing w:after="40" w:before="40"/>
      </w:pPr>
      <w:r>
        <w:rPr>
          <w:rFonts w:ascii="Calibri" w:cs="Calibri" w:eastAsia="Calibri" w:hAnsi="Calibri"/>
          <w:color w:val="4A4A4A"/>
          <w:sz w:val="22"/>
          <w:szCs w:val="22"/>
        </w:rPr>
        <w:t xml:space="preserve">CDS View: Defines the data model in ABAP/S/4HANA; annotated with UI, search, and OData metadata</w:t>
      </w:r>
    </w:p>
    <w:p>
      <w:pPr>
        <w:pStyle w:val="ListParagraph"/>
        <w:numPr>
          <w:ilvl w:val="0"/>
          <w:numId w:val="2"/>
        </w:numPr>
        <w:spacing w:after="40" w:before="40"/>
      </w:pPr>
      <w:r>
        <w:rPr>
          <w:rFonts w:ascii="Calibri" w:cs="Calibri" w:eastAsia="Calibri" w:hAnsi="Calibri"/>
          <w:color w:val="4A4A4A"/>
          <w:sz w:val="22"/>
          <w:szCs w:val="22"/>
        </w:rPr>
        <w:t xml:space="preserve">OData Service: Exposed from CDS view via /IWFND/MAINT_SERVICE; REST API consumed by Fiori frontend</w:t>
      </w:r>
    </w:p>
    <w:p>
      <w:pPr>
        <w:pStyle w:val="ListParagraph"/>
        <w:numPr>
          <w:ilvl w:val="0"/>
          <w:numId w:val="2"/>
        </w:numPr>
        <w:spacing w:after="40" w:before="40"/>
      </w:pPr>
      <w:r>
        <w:rPr>
          <w:rFonts w:ascii="Calibri" w:cs="Calibri" w:eastAsia="Calibri" w:hAnsi="Calibri"/>
          <w:color w:val="4A4A4A"/>
          <w:sz w:val="22"/>
          <w:szCs w:val="22"/>
        </w:rPr>
        <w:t xml:space="preserve">SAPUI5 App: Frontend JavaScript application; consumes OData; implements Fiori design guidelines</w:t>
      </w:r>
    </w:p>
    <w:p>
      <w:pPr>
        <w:pStyle w:val="ListParagraph"/>
        <w:numPr>
          <w:ilvl w:val="0"/>
          <w:numId w:val="2"/>
        </w:numPr>
        <w:spacing w:after="40" w:before="40"/>
      </w:pPr>
      <w:r>
        <w:rPr>
          <w:rFonts w:ascii="Calibri" w:cs="Calibri" w:eastAsia="Calibri" w:hAnsi="Calibri"/>
          <w:color w:val="4A4A4A"/>
          <w:sz w:val="22"/>
          <w:szCs w:val="22"/>
        </w:rPr>
        <w:t xml:space="preserve">Fiori Launchpad: Hosts the app as a tile; manages navigation, authentication, and personalization</w:t>
      </w:r>
    </w:p>
    <w:p>
      <w:pPr>
        <w:pStyle w:val="ListParagraph"/>
        <w:numPr>
          <w:ilvl w:val="0"/>
          <w:numId w:val="2"/>
        </w:numPr>
        <w:spacing w:after="40" w:before="40"/>
      </w:pPr>
      <w:r>
        <w:rPr>
          <w:rFonts w:ascii="Calibri" w:cs="Calibri" w:eastAsia="Calibri" w:hAnsi="Calibri"/>
          <w:color w:val="4A4A4A"/>
          <w:sz w:val="22"/>
          <w:szCs w:val="22"/>
        </w:rPr>
        <w:t xml:space="preserve">SAP BTP Frontend Server: In cloud deployments, hosts HTML5 apps; decoupled from ABAP system</w:t>
      </w:r>
    </w:p>
    <w:p>
      <w:r>
        <w:br w:type="page"/>
      </w:r>
    </w:p>
    <w:p>
      <w:pPr>
        <w:pStyle w:val="Heading1"/>
        <w:spacing w:after="120" w:before="400"/>
      </w:pPr>
      <w:r>
        <w:rPr>
          <w:rFonts w:ascii="Calibri" w:cs="Calibri" w:eastAsia="Calibri" w:hAnsi="Calibri"/>
          <w:b/>
          <w:bCs/>
          <w:color w:val="5B2D8E"/>
          <w:sz w:val="44"/>
          <w:szCs w:val="44"/>
        </w:rPr>
        <w:t xml:space="preserve">Chapter 15: SAP Analytics Cloud</w:t>
      </w:r>
    </w:p>
    <w:p>
      <w:pPr>
        <w:pStyle w:val="Heading2"/>
        <w:spacing w:after="120" w:before="300"/>
      </w:pPr>
      <w:r>
        <w:rPr>
          <w:rFonts w:ascii="Calibri" w:cs="Calibri" w:eastAsia="Calibri" w:hAnsi="Calibri"/>
          <w:b/>
          <w:bCs/>
          <w:color w:val="5B2D8E"/>
          <w:sz w:val="36"/>
          <w:szCs w:val="36"/>
        </w:rPr>
        <w:t xml:space="preserve">15.1 SAC Overview</w:t>
      </w:r>
    </w:p>
    <w:p>
      <w:pPr>
        <w:spacing w:after="60" w:before="60"/>
        <w:jc w:val="both"/>
      </w:pPr>
      <w:r>
        <w:rPr>
          <w:rFonts w:ascii="Calibri" w:cs="Calibri" w:eastAsia="Calibri" w:hAnsi="Calibri"/>
          <w:color w:val="4A4A4A"/>
          <w:sz w:val="22"/>
          <w:szCs w:val="22"/>
        </w:rPr>
        <w:t xml:space="preserve">SAP Analytics Cloud (SAC) is SAP's cloud-native BI, planning, and predictive analytics platform. SAC combines business intelligence (reporting and visualization), planning (budgeting and forecasting), and augmented analytics (AI-powered insights) in a single SaaS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Feature</w:t>
            </w:r>
          </w:p>
        </w:tc>
        <w:tc>
          <w:tcPr>
            <w:tcW w:type="dxa" w:w="6660"/>
            <w:shd w:fill="5B2D8E"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Stories</w:t>
            </w:r>
          </w:p>
        </w:tc>
        <w:tc>
          <w:tcPr>
            <w:tcW w:type="dxa" w:w="6660"/>
            <w:shd w:fill="F3EEF8" w:color="auto" w:val="clear"/>
          </w:tcPr>
          <w:p>
            <w:r>
              <w:rPr>
                <w:rFonts w:ascii="Calibri" w:cs="Calibri" w:eastAsia="Calibri" w:hAnsi="Calibri"/>
                <w:color w:val="4A4A4A"/>
                <w:sz w:val="20"/>
                <w:szCs w:val="20"/>
              </w:rPr>
              <w:t xml:space="preserve">Interactive dashboards and reports; charts, tables, geo maps; linked to live data or imported data</w:t>
            </w:r>
          </w:p>
        </w:tc>
      </w:tr>
      <w:tr>
        <w:tc>
          <w:tcPr>
            <w:tcW w:type="dxa" w:w="2700"/>
            <w:shd w:fill="FFFFFF" w:color="auto" w:val="clear"/>
          </w:tcPr>
          <w:p>
            <w:r>
              <w:rPr>
                <w:rFonts w:ascii="Calibri" w:cs="Calibri" w:eastAsia="Calibri" w:hAnsi="Calibri"/>
                <w:b/>
                <w:bCs/>
                <w:color w:val="5B2D8E"/>
                <w:sz w:val="20"/>
                <w:szCs w:val="20"/>
              </w:rPr>
              <w:t xml:space="preserve">Planning Models</w:t>
            </w:r>
          </w:p>
        </w:tc>
        <w:tc>
          <w:tcPr>
            <w:tcW w:type="dxa" w:w="6660"/>
            <w:shd w:fill="FFFFFF" w:color="auto" w:val="clear"/>
          </w:tcPr>
          <w:p>
            <w:r>
              <w:rPr>
                <w:rFonts w:ascii="Calibri" w:cs="Calibri" w:eastAsia="Calibri" w:hAnsi="Calibri"/>
                <w:color w:val="4A4A4A"/>
                <w:sz w:val="20"/>
                <w:szCs w:val="20"/>
              </w:rPr>
              <w:t xml:space="preserve">Financial planning models; versions (actual/budget/forecast); value driver trees; allocation</w:t>
            </w:r>
          </w:p>
        </w:tc>
      </w:tr>
      <w:tr>
        <w:tc>
          <w:tcPr>
            <w:tcW w:type="dxa" w:w="2700"/>
            <w:shd w:fill="F3EEF8" w:color="auto" w:val="clear"/>
          </w:tcPr>
          <w:p>
            <w:r>
              <w:rPr>
                <w:rFonts w:ascii="Calibri" w:cs="Calibri" w:eastAsia="Calibri" w:hAnsi="Calibri"/>
                <w:b/>
                <w:bCs/>
                <w:color w:val="5B2D8E"/>
                <w:sz w:val="20"/>
                <w:szCs w:val="20"/>
              </w:rPr>
              <w:t xml:space="preserve">Multi-Action</w:t>
            </w:r>
          </w:p>
        </w:tc>
        <w:tc>
          <w:tcPr>
            <w:tcW w:type="dxa" w:w="6660"/>
            <w:shd w:fill="F3EEF8" w:color="auto" w:val="clear"/>
          </w:tcPr>
          <w:p>
            <w:r>
              <w:rPr>
                <w:rFonts w:ascii="Calibri" w:cs="Calibri" w:eastAsia="Calibri" w:hAnsi="Calibri"/>
                <w:color w:val="4A4A4A"/>
                <w:sz w:val="20"/>
                <w:szCs w:val="20"/>
              </w:rPr>
              <w:t xml:space="preserve">Automated planning workflows; trigger data actions in sequence; publish/distribute plans</w:t>
            </w:r>
          </w:p>
        </w:tc>
      </w:tr>
      <w:tr>
        <w:tc>
          <w:tcPr>
            <w:tcW w:type="dxa" w:w="2700"/>
            <w:shd w:fill="FFFFFF" w:color="auto" w:val="clear"/>
          </w:tcPr>
          <w:p>
            <w:r>
              <w:rPr>
                <w:rFonts w:ascii="Calibri" w:cs="Calibri" w:eastAsia="Calibri" w:hAnsi="Calibri"/>
                <w:b/>
                <w:bCs/>
                <w:color w:val="5B2D8E"/>
                <w:sz w:val="20"/>
                <w:szCs w:val="20"/>
              </w:rPr>
              <w:t xml:space="preserve">Predictive Analytics</w:t>
            </w:r>
          </w:p>
        </w:tc>
        <w:tc>
          <w:tcPr>
            <w:tcW w:type="dxa" w:w="6660"/>
            <w:shd w:fill="FFFFFF" w:color="auto" w:val="clear"/>
          </w:tcPr>
          <w:p>
            <w:r>
              <w:rPr>
                <w:rFonts w:ascii="Calibri" w:cs="Calibri" w:eastAsia="Calibri" w:hAnsi="Calibri"/>
                <w:color w:val="4A4A4A"/>
                <w:sz w:val="20"/>
                <w:szCs w:val="20"/>
              </w:rPr>
              <w:t xml:space="preserve">Smart Predict — automated ML for classification, regression, time series; no coding needed</w:t>
            </w:r>
          </w:p>
        </w:tc>
      </w:tr>
      <w:tr>
        <w:tc>
          <w:tcPr>
            <w:tcW w:type="dxa" w:w="2700"/>
            <w:shd w:fill="F3EEF8" w:color="auto" w:val="clear"/>
          </w:tcPr>
          <w:p>
            <w:r>
              <w:rPr>
                <w:rFonts w:ascii="Calibri" w:cs="Calibri" w:eastAsia="Calibri" w:hAnsi="Calibri"/>
                <w:b/>
                <w:bCs/>
                <w:color w:val="5B2D8E"/>
                <w:sz w:val="20"/>
                <w:szCs w:val="20"/>
              </w:rPr>
              <w:t xml:space="preserve">SAC for Teams</w:t>
            </w:r>
          </w:p>
        </w:tc>
        <w:tc>
          <w:tcPr>
            <w:tcW w:type="dxa" w:w="6660"/>
            <w:shd w:fill="F3EEF8" w:color="auto" w:val="clear"/>
          </w:tcPr>
          <w:p>
            <w:r>
              <w:rPr>
                <w:rFonts w:ascii="Calibri" w:cs="Calibri" w:eastAsia="Calibri" w:hAnsi="Calibri"/>
                <w:color w:val="4A4A4A"/>
                <w:sz w:val="20"/>
                <w:szCs w:val="20"/>
              </w:rPr>
              <w:t xml:space="preserve">Embed SAC content in Microsoft Teams; share stories; collaborate on plans</w:t>
            </w:r>
          </w:p>
        </w:tc>
      </w:tr>
      <w:tr>
        <w:tc>
          <w:tcPr>
            <w:tcW w:type="dxa" w:w="2700"/>
            <w:shd w:fill="FFFFFF" w:color="auto" w:val="clear"/>
          </w:tcPr>
          <w:p>
            <w:r>
              <w:rPr>
                <w:rFonts w:ascii="Calibri" w:cs="Calibri" w:eastAsia="Calibri" w:hAnsi="Calibri"/>
                <w:b/>
                <w:bCs/>
                <w:color w:val="5B2D8E"/>
                <w:sz w:val="20"/>
                <w:szCs w:val="20"/>
              </w:rPr>
              <w:t xml:space="preserve">Live Connection</w:t>
            </w:r>
          </w:p>
        </w:tc>
        <w:tc>
          <w:tcPr>
            <w:tcW w:type="dxa" w:w="6660"/>
            <w:shd w:fill="FFFFFF" w:color="auto" w:val="clear"/>
          </w:tcPr>
          <w:p>
            <w:r>
              <w:rPr>
                <w:rFonts w:ascii="Calibri" w:cs="Calibri" w:eastAsia="Calibri" w:hAnsi="Calibri"/>
                <w:color w:val="4A4A4A"/>
                <w:sz w:val="20"/>
                <w:szCs w:val="20"/>
              </w:rPr>
              <w:t xml:space="preserve">Real-time connection to S/4HANA; BW/4HANA; HANA views — no data replication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A1A2E" w:color="auto" w:val="clear"/>
          </w:tcPr>
          <w:p>
            <w:pPr>
              <w:spacing w:after="40" w:before="160"/>
            </w:pPr>
            <w:r>
              <w:rPr>
                <w:rFonts w:ascii="Calibri" w:cs="Calibri" w:eastAsia="Calibri" w:hAnsi="Calibri"/>
                <w:b/>
                <w:bCs/>
                <w:color w:val="FFFFFF"/>
                <w:sz w:val="52"/>
                <w:szCs w:val="52"/>
              </w:rPr>
              <w:t xml:space="preserve">PART VI — IMPLEMENTATION &amp; INTEGRATION</w:t>
            </w:r>
          </w:p>
          <w:p>
            <w:pPr>
              <w:spacing w:after="160" w:before="0"/>
            </w:pPr>
            <w:r>
              <w:rPr>
                <w:rFonts w:ascii="Calibri" w:cs="Calibri" w:eastAsia="Calibri" w:hAnsi="Calibri"/>
                <w:color w:val="DDDDDD"/>
                <w:sz w:val="22"/>
                <w:szCs w:val="22"/>
              </w:rPr>
              <w:t xml:space="preserve">Methodology, Integration, and Security</w:t>
            </w:r>
          </w:p>
        </w:tc>
      </w:tr>
    </w:tbl>
    <w:p>
      <w:pPr>
        <w:spacing w:after="0" w:before="0"/>
      </w:pPr>
      <w:r>
        <w:rPr>
          <w:sz w:val="100"/>
          <w:szCs w:val="100"/>
        </w:rPr>
        <w:t xml:space="preserve"> </w:t>
      </w:r>
    </w:p>
    <w:p>
      <w:pPr>
        <w:pStyle w:val="Heading1"/>
        <w:spacing w:after="120" w:before="400"/>
      </w:pPr>
      <w:r>
        <w:rPr>
          <w:rFonts w:ascii="Calibri" w:cs="Calibri" w:eastAsia="Calibri" w:hAnsi="Calibri"/>
          <w:b/>
          <w:bCs/>
          <w:color w:val="5B2D8E"/>
          <w:sz w:val="44"/>
          <w:szCs w:val="44"/>
        </w:rPr>
        <w:t xml:space="preserve">Chapter 16: SAP Activate Methodology</w:t>
      </w:r>
    </w:p>
    <w:p>
      <w:pPr>
        <w:pStyle w:val="Heading2"/>
        <w:spacing w:after="120" w:before="300"/>
      </w:pPr>
      <w:r>
        <w:rPr>
          <w:rFonts w:ascii="Calibri" w:cs="Calibri" w:eastAsia="Calibri" w:hAnsi="Calibri"/>
          <w:b/>
          <w:bCs/>
          <w:color w:val="1565C0"/>
          <w:sz w:val="36"/>
          <w:szCs w:val="36"/>
        </w:rPr>
        <w:t xml:space="preserve">16.1 SAP Activate Overview</w:t>
      </w:r>
    </w:p>
    <w:p>
      <w:pPr>
        <w:spacing w:after="60" w:before="60"/>
        <w:jc w:val="both"/>
      </w:pPr>
      <w:r>
        <w:rPr>
          <w:rFonts w:ascii="Calibri" w:cs="Calibri" w:eastAsia="Calibri" w:hAnsi="Calibri"/>
          <w:color w:val="4A4A4A"/>
          <w:sz w:val="22"/>
          <w:szCs w:val="22"/>
        </w:rPr>
        <w:t xml:space="preserve">SAP Activate is the official methodology for implementing SAP S/4HANA. It combines SAP Best Practices (pre-configured content), guided configuration, and an agile project framework to accelerate implementations. SAP Activate replaced the older ASAP (Accelerated SAP) methodology for S/4HANA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A1A2E" w:color="auto" w:val="clear"/>
          </w:tcPr>
          <w:p>
            <w:r>
              <w:rPr>
                <w:rFonts w:ascii="Calibri" w:cs="Calibri" w:eastAsia="Calibri" w:hAnsi="Calibri"/>
                <w:b/>
                <w:bCs/>
                <w:color w:val="FFFFFF"/>
                <w:sz w:val="20"/>
                <w:szCs w:val="20"/>
              </w:rPr>
              <w:t xml:space="preserve">Phase</w:t>
            </w:r>
          </w:p>
        </w:tc>
        <w:tc>
          <w:tcPr>
            <w:tcW w:type="dxa" w:w="6660"/>
            <w:shd w:fill="1A1A2E" w:color="auto" w:val="clear"/>
          </w:tcPr>
          <w:p>
            <w:r>
              <w:rPr>
                <w:rFonts w:ascii="Calibri" w:cs="Calibri" w:eastAsia="Calibri" w:hAnsi="Calibri"/>
                <w:b/>
                <w:bCs/>
                <w:color w:val="FFFFFF"/>
                <w:sz w:val="20"/>
                <w:szCs w:val="20"/>
              </w:rPr>
              <w:t xml:space="preserve">Key Activities</w:t>
            </w:r>
          </w:p>
        </w:tc>
      </w:tr>
      <w:tr>
        <w:tc>
          <w:tcPr>
            <w:tcW w:type="dxa" w:w="2700"/>
            <w:shd w:fill="F3EEF8" w:color="auto" w:val="clear"/>
          </w:tcPr>
          <w:p>
            <w:r>
              <w:rPr>
                <w:rFonts w:ascii="Calibri" w:cs="Calibri" w:eastAsia="Calibri" w:hAnsi="Calibri"/>
                <w:b/>
                <w:bCs/>
                <w:color w:val="5B2D8E"/>
                <w:sz w:val="20"/>
                <w:szCs w:val="20"/>
              </w:rPr>
              <w:t xml:space="preserve">Discover</w:t>
            </w:r>
          </w:p>
        </w:tc>
        <w:tc>
          <w:tcPr>
            <w:tcW w:type="dxa" w:w="6660"/>
            <w:shd w:fill="F3EEF8" w:color="auto" w:val="clear"/>
          </w:tcPr>
          <w:p>
            <w:r>
              <w:rPr>
                <w:rFonts w:ascii="Calibri" w:cs="Calibri" w:eastAsia="Calibri" w:hAnsi="Calibri"/>
                <w:color w:val="4A4A4A"/>
                <w:sz w:val="20"/>
                <w:szCs w:val="20"/>
              </w:rPr>
              <w:t xml:space="preserve">Scope the project; business case; SAP Best Practices assessment; fit-to-standard analysis; sandbox</w:t>
            </w:r>
          </w:p>
        </w:tc>
      </w:tr>
      <w:tr>
        <w:tc>
          <w:tcPr>
            <w:tcW w:type="dxa" w:w="2700"/>
            <w:shd w:fill="FFFFFF" w:color="auto" w:val="clear"/>
          </w:tcPr>
          <w:p>
            <w:r>
              <w:rPr>
                <w:rFonts w:ascii="Calibri" w:cs="Calibri" w:eastAsia="Calibri" w:hAnsi="Calibri"/>
                <w:b/>
                <w:bCs/>
                <w:color w:val="5B2D8E"/>
                <w:sz w:val="20"/>
                <w:szCs w:val="20"/>
              </w:rPr>
              <w:t xml:space="preserve">Prepare</w:t>
            </w:r>
          </w:p>
        </w:tc>
        <w:tc>
          <w:tcPr>
            <w:tcW w:type="dxa" w:w="6660"/>
            <w:shd w:fill="FFFFFF" w:color="auto" w:val="clear"/>
          </w:tcPr>
          <w:p>
            <w:r>
              <w:rPr>
                <w:rFonts w:ascii="Calibri" w:cs="Calibri" w:eastAsia="Calibri" w:hAnsi="Calibri"/>
                <w:color w:val="4A4A4A"/>
                <w:sz w:val="20"/>
                <w:szCs w:val="20"/>
              </w:rPr>
              <w:t xml:space="preserve">Project planning; team onboarding; infrastructure setup; initial system setup; governance</w:t>
            </w:r>
          </w:p>
        </w:tc>
      </w:tr>
      <w:tr>
        <w:tc>
          <w:tcPr>
            <w:tcW w:type="dxa" w:w="2700"/>
            <w:shd w:fill="F3EEF8" w:color="auto" w:val="clear"/>
          </w:tcPr>
          <w:p>
            <w:r>
              <w:rPr>
                <w:rFonts w:ascii="Calibri" w:cs="Calibri" w:eastAsia="Calibri" w:hAnsi="Calibri"/>
                <w:b/>
                <w:bCs/>
                <w:color w:val="5B2D8E"/>
                <w:sz w:val="20"/>
                <w:szCs w:val="20"/>
              </w:rPr>
              <w:t xml:space="preserve">Explore</w:t>
            </w:r>
          </w:p>
        </w:tc>
        <w:tc>
          <w:tcPr>
            <w:tcW w:type="dxa" w:w="6660"/>
            <w:shd w:fill="F3EEF8" w:color="auto" w:val="clear"/>
          </w:tcPr>
          <w:p>
            <w:r>
              <w:rPr>
                <w:rFonts w:ascii="Calibri" w:cs="Calibri" w:eastAsia="Calibri" w:hAnsi="Calibri"/>
                <w:color w:val="4A4A4A"/>
                <w:sz w:val="20"/>
                <w:szCs w:val="20"/>
              </w:rPr>
              <w:t xml:space="preserve">Fit-to-standard workshops; gap analysis; configuration decisions; backlog grooming; sprint 0</w:t>
            </w:r>
          </w:p>
        </w:tc>
      </w:tr>
      <w:tr>
        <w:tc>
          <w:tcPr>
            <w:tcW w:type="dxa" w:w="2700"/>
            <w:shd w:fill="FFFFFF" w:color="auto" w:val="clear"/>
          </w:tcPr>
          <w:p>
            <w:r>
              <w:rPr>
                <w:rFonts w:ascii="Calibri" w:cs="Calibri" w:eastAsia="Calibri" w:hAnsi="Calibri"/>
                <w:b/>
                <w:bCs/>
                <w:color w:val="5B2D8E"/>
                <w:sz w:val="20"/>
                <w:szCs w:val="20"/>
              </w:rPr>
              <w:t xml:space="preserve">Realize</w:t>
            </w:r>
          </w:p>
        </w:tc>
        <w:tc>
          <w:tcPr>
            <w:tcW w:type="dxa" w:w="6660"/>
            <w:shd w:fill="FFFFFF" w:color="auto" w:val="clear"/>
          </w:tcPr>
          <w:p>
            <w:r>
              <w:rPr>
                <w:rFonts w:ascii="Calibri" w:cs="Calibri" w:eastAsia="Calibri" w:hAnsi="Calibri"/>
                <w:color w:val="4A4A4A"/>
                <w:sz w:val="20"/>
                <w:szCs w:val="20"/>
              </w:rPr>
              <w:t xml:space="preserve">Agile sprints; configuration; development; integration; migration; testing cycles (SIT, UAT)</w:t>
            </w:r>
          </w:p>
        </w:tc>
      </w:tr>
      <w:tr>
        <w:tc>
          <w:tcPr>
            <w:tcW w:type="dxa" w:w="2700"/>
            <w:shd w:fill="F3EEF8" w:color="auto" w:val="clear"/>
          </w:tcPr>
          <w:p>
            <w:r>
              <w:rPr>
                <w:rFonts w:ascii="Calibri" w:cs="Calibri" w:eastAsia="Calibri" w:hAnsi="Calibri"/>
                <w:b/>
                <w:bCs/>
                <w:color w:val="5B2D8E"/>
                <w:sz w:val="20"/>
                <w:szCs w:val="20"/>
              </w:rPr>
              <w:t xml:space="preserve">Deploy</w:t>
            </w:r>
          </w:p>
        </w:tc>
        <w:tc>
          <w:tcPr>
            <w:tcW w:type="dxa" w:w="6660"/>
            <w:shd w:fill="F3EEF8" w:color="auto" w:val="clear"/>
          </w:tcPr>
          <w:p>
            <w:r>
              <w:rPr>
                <w:rFonts w:ascii="Calibri" w:cs="Calibri" w:eastAsia="Calibri" w:hAnsi="Calibri"/>
                <w:color w:val="4A4A4A"/>
                <w:sz w:val="20"/>
                <w:szCs w:val="20"/>
              </w:rPr>
              <w:t xml:space="preserve">Cutover planning and execution; go-live; hypercare; production support; knowledge transfer</w:t>
            </w:r>
          </w:p>
        </w:tc>
      </w:tr>
      <w:tr>
        <w:tc>
          <w:tcPr>
            <w:tcW w:type="dxa" w:w="2700"/>
            <w:shd w:fill="FFFFFF" w:color="auto" w:val="clear"/>
          </w:tcPr>
          <w:p>
            <w:r>
              <w:rPr>
                <w:rFonts w:ascii="Calibri" w:cs="Calibri" w:eastAsia="Calibri" w:hAnsi="Calibri"/>
                <w:b/>
                <w:bCs/>
                <w:color w:val="5B2D8E"/>
                <w:sz w:val="20"/>
                <w:szCs w:val="20"/>
              </w:rPr>
              <w:t xml:space="preserve">Run</w:t>
            </w:r>
          </w:p>
        </w:tc>
        <w:tc>
          <w:tcPr>
            <w:tcW w:type="dxa" w:w="6660"/>
            <w:shd w:fill="FFFFFF" w:color="auto" w:val="clear"/>
          </w:tcPr>
          <w:p>
            <w:r>
              <w:rPr>
                <w:rFonts w:ascii="Calibri" w:cs="Calibri" w:eastAsia="Calibri" w:hAnsi="Calibri"/>
                <w:color w:val="4A4A4A"/>
                <w:sz w:val="20"/>
                <w:szCs w:val="20"/>
              </w:rPr>
              <w:t xml:space="preserve">Ongoing operations; continuous improvement; adoption; upgrade planning; innovation adoption</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16.2 SAP Best Practices</w:t>
      </w:r>
    </w:p>
    <w:p>
      <w:pPr>
        <w:spacing w:after="60" w:before="60"/>
        <w:jc w:val="both"/>
      </w:pPr>
      <w:r>
        <w:rPr>
          <w:rFonts w:ascii="Calibri" w:cs="Calibri" w:eastAsia="Calibri" w:hAnsi="Calibri"/>
          <w:color w:val="4A4A4A"/>
          <w:sz w:val="22"/>
          <w:szCs w:val="22"/>
        </w:rPr>
        <w:t xml:space="preserve">SAP Best Practices are pre-built, ready-to-run business processes that come with S/4HANA. They include configuration, test scripts, user guides, and process documentation. Using Best Practices reduces implementation effort by up to 70% compared to building from scratch:</w:t>
      </w:r>
    </w:p>
    <w:p>
      <w:pPr>
        <w:pStyle w:val="ListParagraph"/>
        <w:numPr>
          <w:ilvl w:val="0"/>
          <w:numId w:val="2"/>
        </w:numPr>
        <w:spacing w:after="40" w:before="40"/>
      </w:pPr>
      <w:r>
        <w:rPr>
          <w:rFonts w:ascii="Calibri" w:cs="Calibri" w:eastAsia="Calibri" w:hAnsi="Calibri"/>
          <w:color w:val="4A4A4A"/>
          <w:sz w:val="22"/>
          <w:szCs w:val="22"/>
        </w:rPr>
        <w:t xml:space="preserve">Scope Items: Individual business processes (e.g., J78 = Procurement of Direct Materials; BEI = Invoice Processing)</w:t>
      </w:r>
    </w:p>
    <w:p>
      <w:pPr>
        <w:pStyle w:val="ListParagraph"/>
        <w:numPr>
          <w:ilvl w:val="0"/>
          <w:numId w:val="2"/>
        </w:numPr>
        <w:spacing w:after="40" w:before="40"/>
      </w:pPr>
      <w:r>
        <w:rPr>
          <w:rFonts w:ascii="Calibri" w:cs="Calibri" w:eastAsia="Calibri" w:hAnsi="Calibri"/>
          <w:color w:val="4A4A4A"/>
          <w:sz w:val="22"/>
          <w:szCs w:val="22"/>
        </w:rPr>
        <w:t xml:space="preserve">Fit-to-Standard: Adopt SAP Best Practices as-is rather than configuring custom processes</w:t>
      </w:r>
    </w:p>
    <w:p>
      <w:pPr>
        <w:pStyle w:val="ListParagraph"/>
        <w:numPr>
          <w:ilvl w:val="0"/>
          <w:numId w:val="2"/>
        </w:numPr>
        <w:spacing w:after="40" w:before="40"/>
      </w:pPr>
      <w:r>
        <w:rPr>
          <w:rFonts w:ascii="Calibri" w:cs="Calibri" w:eastAsia="Calibri" w:hAnsi="Calibri"/>
          <w:color w:val="4A4A4A"/>
          <w:sz w:val="22"/>
          <w:szCs w:val="22"/>
        </w:rPr>
        <w:t xml:space="preserve">Delta Configuration: Only configure processes where Best Practices don't fit business needs</w:t>
      </w:r>
    </w:p>
    <w:p>
      <w:pPr>
        <w:pStyle w:val="ListParagraph"/>
        <w:numPr>
          <w:ilvl w:val="0"/>
          <w:numId w:val="2"/>
        </w:numPr>
        <w:spacing w:after="40" w:before="40"/>
      </w:pPr>
      <w:r>
        <w:rPr>
          <w:rFonts w:ascii="Calibri" w:cs="Calibri" w:eastAsia="Calibri" w:hAnsi="Calibri"/>
          <w:color w:val="4A4A4A"/>
          <w:sz w:val="22"/>
          <w:szCs w:val="22"/>
        </w:rPr>
        <w:t xml:space="preserve">Business Scenario Recommendations: AI-powered scope recommendations based on industry and company size</w:t>
      </w:r>
    </w:p>
    <w:p>
      <w:r>
        <w:br w:type="page"/>
      </w:r>
    </w:p>
    <w:p>
      <w:pPr>
        <w:pStyle w:val="Heading1"/>
        <w:spacing w:after="120" w:before="400"/>
      </w:pPr>
      <w:r>
        <w:rPr>
          <w:rFonts w:ascii="Calibri" w:cs="Calibri" w:eastAsia="Calibri" w:hAnsi="Calibri"/>
          <w:b/>
          <w:bCs/>
          <w:color w:val="5B2D8E"/>
          <w:sz w:val="44"/>
          <w:szCs w:val="44"/>
        </w:rPr>
        <w:t xml:space="preserve">Chapter 17: SAP Integration Suite</w:t>
      </w:r>
    </w:p>
    <w:p>
      <w:pPr>
        <w:pStyle w:val="Heading2"/>
        <w:spacing w:after="120" w:before="300"/>
      </w:pPr>
      <w:r>
        <w:rPr>
          <w:rFonts w:ascii="Calibri" w:cs="Calibri" w:eastAsia="Calibri" w:hAnsi="Calibri"/>
          <w:b/>
          <w:bCs/>
          <w:color w:val="1565C0"/>
          <w:sz w:val="36"/>
          <w:szCs w:val="36"/>
        </w:rPr>
        <w:t xml:space="preserve">17.1 Integration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565C0" w:color="auto" w:val="clear"/>
          </w:tcPr>
          <w:p>
            <w:r>
              <w:rPr>
                <w:rFonts w:ascii="Calibri" w:cs="Calibri" w:eastAsia="Calibri" w:hAnsi="Calibri"/>
                <w:b/>
                <w:bCs/>
                <w:color w:val="FFFFFF"/>
                <w:sz w:val="20"/>
                <w:szCs w:val="20"/>
              </w:rPr>
              <w:t xml:space="preserve">Pattern</w:t>
            </w:r>
          </w:p>
        </w:tc>
        <w:tc>
          <w:tcPr>
            <w:tcW w:type="dxa" w:w="6660"/>
            <w:shd w:fill="1565C0" w:color="auto" w:val="clear"/>
          </w:tcPr>
          <w:p>
            <w:r>
              <w:rPr>
                <w:rFonts w:ascii="Calibri" w:cs="Calibri" w:eastAsia="Calibri" w:hAnsi="Calibri"/>
                <w:b/>
                <w:bCs/>
                <w:color w:val="FFFFFF"/>
                <w:sz w:val="20"/>
                <w:szCs w:val="20"/>
              </w:rPr>
              <w:t xml:space="preserve">Description</w:t>
            </w:r>
          </w:p>
        </w:tc>
      </w:tr>
      <w:tr>
        <w:tc>
          <w:tcPr>
            <w:tcW w:type="dxa" w:w="2700"/>
            <w:shd w:fill="F3EEF8" w:color="auto" w:val="clear"/>
          </w:tcPr>
          <w:p>
            <w:r>
              <w:rPr>
                <w:rFonts w:ascii="Calibri" w:cs="Calibri" w:eastAsia="Calibri" w:hAnsi="Calibri"/>
                <w:b/>
                <w:bCs/>
                <w:color w:val="5B2D8E"/>
                <w:sz w:val="20"/>
                <w:szCs w:val="20"/>
              </w:rPr>
              <w:t xml:space="preserve">Point-to-Point</w:t>
            </w:r>
          </w:p>
        </w:tc>
        <w:tc>
          <w:tcPr>
            <w:tcW w:type="dxa" w:w="6660"/>
            <w:shd w:fill="F3EEF8" w:color="auto" w:val="clear"/>
          </w:tcPr>
          <w:p>
            <w:r>
              <w:rPr>
                <w:rFonts w:ascii="Calibri" w:cs="Calibri" w:eastAsia="Calibri" w:hAnsi="Calibri"/>
                <w:color w:val="4A4A4A"/>
                <w:sz w:val="20"/>
                <w:szCs w:val="20"/>
              </w:rPr>
              <w:t xml:space="preserve">Direct connection between two systems; simple but unmanageable at scale; avoid for enterprise</w:t>
            </w:r>
          </w:p>
        </w:tc>
      </w:tr>
      <w:tr>
        <w:tc>
          <w:tcPr>
            <w:tcW w:type="dxa" w:w="2700"/>
            <w:shd w:fill="FFFFFF" w:color="auto" w:val="clear"/>
          </w:tcPr>
          <w:p>
            <w:r>
              <w:rPr>
                <w:rFonts w:ascii="Calibri" w:cs="Calibri" w:eastAsia="Calibri" w:hAnsi="Calibri"/>
                <w:b/>
                <w:bCs/>
                <w:color w:val="5B2D8E"/>
                <w:sz w:val="20"/>
                <w:szCs w:val="20"/>
              </w:rPr>
              <w:t xml:space="preserve">Hub-and-Spoke (ESB)</w:t>
            </w:r>
          </w:p>
        </w:tc>
        <w:tc>
          <w:tcPr>
            <w:tcW w:type="dxa" w:w="6660"/>
            <w:shd w:fill="FFFFFF" w:color="auto" w:val="clear"/>
          </w:tcPr>
          <w:p>
            <w:r>
              <w:rPr>
                <w:rFonts w:ascii="Calibri" w:cs="Calibri" w:eastAsia="Calibri" w:hAnsi="Calibri"/>
                <w:color w:val="4A4A4A"/>
                <w:sz w:val="20"/>
                <w:szCs w:val="20"/>
              </w:rPr>
              <w:t xml:space="preserve">Central integration hub (SAP Integration Suite/PI); all connections through middleware</w:t>
            </w:r>
          </w:p>
        </w:tc>
      </w:tr>
      <w:tr>
        <w:tc>
          <w:tcPr>
            <w:tcW w:type="dxa" w:w="2700"/>
            <w:shd w:fill="F3EEF8" w:color="auto" w:val="clear"/>
          </w:tcPr>
          <w:p>
            <w:r>
              <w:rPr>
                <w:rFonts w:ascii="Calibri" w:cs="Calibri" w:eastAsia="Calibri" w:hAnsi="Calibri"/>
                <w:b/>
                <w:bCs/>
                <w:color w:val="5B2D8E"/>
                <w:sz w:val="20"/>
                <w:szCs w:val="20"/>
              </w:rPr>
              <w:t xml:space="preserve">Message Queue</w:t>
            </w:r>
          </w:p>
        </w:tc>
        <w:tc>
          <w:tcPr>
            <w:tcW w:type="dxa" w:w="6660"/>
            <w:shd w:fill="F3EEF8" w:color="auto" w:val="clear"/>
          </w:tcPr>
          <w:p>
            <w:r>
              <w:rPr>
                <w:rFonts w:ascii="Calibri" w:cs="Calibri" w:eastAsia="Calibri" w:hAnsi="Calibri"/>
                <w:color w:val="4A4A4A"/>
                <w:sz w:val="20"/>
                <w:szCs w:val="20"/>
              </w:rPr>
              <w:t xml:space="preserve">Asynchronous messaging; SAP Advanced Event Mesh; guaranteed delivery; decouples systems</w:t>
            </w:r>
          </w:p>
        </w:tc>
      </w:tr>
      <w:tr>
        <w:tc>
          <w:tcPr>
            <w:tcW w:type="dxa" w:w="2700"/>
            <w:shd w:fill="FFFFFF" w:color="auto" w:val="clear"/>
          </w:tcPr>
          <w:p>
            <w:r>
              <w:rPr>
                <w:rFonts w:ascii="Calibri" w:cs="Calibri" w:eastAsia="Calibri" w:hAnsi="Calibri"/>
                <w:b/>
                <w:bCs/>
                <w:color w:val="5B2D8E"/>
                <w:sz w:val="20"/>
                <w:szCs w:val="20"/>
              </w:rPr>
              <w:t xml:space="preserve">API-First</w:t>
            </w:r>
          </w:p>
        </w:tc>
        <w:tc>
          <w:tcPr>
            <w:tcW w:type="dxa" w:w="6660"/>
            <w:shd w:fill="FFFFFF" w:color="auto" w:val="clear"/>
          </w:tcPr>
          <w:p>
            <w:r>
              <w:rPr>
                <w:rFonts w:ascii="Calibri" w:cs="Calibri" w:eastAsia="Calibri" w:hAnsi="Calibri"/>
                <w:color w:val="4A4A4A"/>
                <w:sz w:val="20"/>
                <w:szCs w:val="20"/>
              </w:rPr>
              <w:t xml:space="preserve">REST APIs as primary integration channel; SAP API Business Hub; managed via API Management</w:t>
            </w:r>
          </w:p>
        </w:tc>
      </w:tr>
      <w:tr>
        <w:tc>
          <w:tcPr>
            <w:tcW w:type="dxa" w:w="2700"/>
            <w:shd w:fill="F3EEF8" w:color="auto" w:val="clear"/>
          </w:tcPr>
          <w:p>
            <w:r>
              <w:rPr>
                <w:rFonts w:ascii="Calibri" w:cs="Calibri" w:eastAsia="Calibri" w:hAnsi="Calibri"/>
                <w:b/>
                <w:bCs/>
                <w:color w:val="5B2D8E"/>
                <w:sz w:val="20"/>
                <w:szCs w:val="20"/>
              </w:rPr>
              <w:t xml:space="preserve">Event-Driven</w:t>
            </w:r>
          </w:p>
        </w:tc>
        <w:tc>
          <w:tcPr>
            <w:tcW w:type="dxa" w:w="6660"/>
            <w:shd w:fill="F3EEF8" w:color="auto" w:val="clear"/>
          </w:tcPr>
          <w:p>
            <w:r>
              <w:rPr>
                <w:rFonts w:ascii="Calibri" w:cs="Calibri" w:eastAsia="Calibri" w:hAnsi="Calibri"/>
                <w:color w:val="4A4A4A"/>
                <w:sz w:val="20"/>
                <w:szCs w:val="20"/>
              </w:rPr>
              <w:t xml:space="preserve">SAP Event Mesh; business events trigger integrations; S/4HANA event catalog (BREL)</w:t>
            </w:r>
          </w:p>
        </w:tc>
      </w:tr>
      <w:tr>
        <w:tc>
          <w:tcPr>
            <w:tcW w:type="dxa" w:w="2700"/>
            <w:shd w:fill="FFFFFF" w:color="auto" w:val="clear"/>
          </w:tcPr>
          <w:p>
            <w:r>
              <w:rPr>
                <w:rFonts w:ascii="Calibri" w:cs="Calibri" w:eastAsia="Calibri" w:hAnsi="Calibri"/>
                <w:b/>
                <w:bCs/>
                <w:color w:val="5B2D8E"/>
                <w:sz w:val="20"/>
                <w:szCs w:val="20"/>
              </w:rPr>
              <w:t xml:space="preserve">EDI/B2B</w:t>
            </w:r>
          </w:p>
        </w:tc>
        <w:tc>
          <w:tcPr>
            <w:tcW w:type="dxa" w:w="6660"/>
            <w:shd w:fill="FFFFFF" w:color="auto" w:val="clear"/>
          </w:tcPr>
          <w:p>
            <w:r>
              <w:rPr>
                <w:rFonts w:ascii="Calibri" w:cs="Calibri" w:eastAsia="Calibri" w:hAnsi="Calibri"/>
                <w:color w:val="4A4A4A"/>
                <w:sz w:val="20"/>
                <w:szCs w:val="20"/>
              </w:rPr>
              <w:t xml:space="preserve">Electronic Data Interchange; AS2, SFTP; EDIFACT, X12 standards; Trading Partner Management</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17.2 iDoc — Intermediate Document</w:t>
      </w:r>
    </w:p>
    <w:p>
      <w:pPr>
        <w:spacing w:after="60" w:before="60"/>
        <w:jc w:val="both"/>
      </w:pPr>
      <w:r>
        <w:rPr>
          <w:rFonts w:ascii="Calibri" w:cs="Calibri" w:eastAsia="Calibri" w:hAnsi="Calibri"/>
          <w:color w:val="4A4A4A"/>
          <w:sz w:val="22"/>
          <w:szCs w:val="22"/>
        </w:rPr>
        <w:t xml:space="preserve">IDocs (Intermediate Documents) are SAP's native data exchange format for inter-system communication. They are XML-like documents with a standard structure used for ALE (Application Link Enabling) and EDI:</w:t>
      </w:r>
    </w:p>
    <w:p>
      <w:pPr>
        <w:pStyle w:val="ListParagraph"/>
        <w:numPr>
          <w:ilvl w:val="0"/>
          <w:numId w:val="2"/>
        </w:numPr>
        <w:spacing w:after="40" w:before="40"/>
      </w:pPr>
      <w:r>
        <w:rPr>
          <w:rFonts w:ascii="Calibri" w:cs="Calibri" w:eastAsia="Calibri" w:hAnsi="Calibri"/>
          <w:color w:val="4A4A4A"/>
          <w:sz w:val="22"/>
          <w:szCs w:val="22"/>
        </w:rPr>
        <w:t xml:space="preserve">Control Record: Header with sender/receiver system, message type, IDoc type, direction</w:t>
      </w:r>
    </w:p>
    <w:p>
      <w:pPr>
        <w:pStyle w:val="ListParagraph"/>
        <w:numPr>
          <w:ilvl w:val="0"/>
          <w:numId w:val="2"/>
        </w:numPr>
        <w:spacing w:after="40" w:before="40"/>
      </w:pPr>
      <w:r>
        <w:rPr>
          <w:rFonts w:ascii="Calibri" w:cs="Calibri" w:eastAsia="Calibri" w:hAnsi="Calibri"/>
          <w:color w:val="4A4A4A"/>
          <w:sz w:val="22"/>
          <w:szCs w:val="22"/>
        </w:rPr>
        <w:t xml:space="preserve">Data Records: Segment-structured payload data (e.g., E1MARAM for material master data)</w:t>
      </w:r>
    </w:p>
    <w:p>
      <w:pPr>
        <w:pStyle w:val="ListParagraph"/>
        <w:numPr>
          <w:ilvl w:val="0"/>
          <w:numId w:val="2"/>
        </w:numPr>
        <w:spacing w:after="40" w:before="40"/>
      </w:pPr>
      <w:r>
        <w:rPr>
          <w:rFonts w:ascii="Calibri" w:cs="Calibri" w:eastAsia="Calibri" w:hAnsi="Calibri"/>
          <w:color w:val="4A4A4A"/>
          <w:sz w:val="22"/>
          <w:szCs w:val="22"/>
        </w:rPr>
        <w:t xml:space="preserve">Status Records: Processing status history — each step of inbound/outbound processing logged</w:t>
      </w:r>
    </w:p>
    <w:p>
      <w:pPr>
        <w:pStyle w:val="ListParagraph"/>
        <w:numPr>
          <w:ilvl w:val="0"/>
          <w:numId w:val="2"/>
        </w:numPr>
        <w:spacing w:after="40" w:before="40"/>
      </w:pPr>
      <w:r>
        <w:rPr>
          <w:rFonts w:ascii="Calibri" w:cs="Calibri" w:eastAsia="Calibri" w:hAnsi="Calibri"/>
          <w:color w:val="4A4A4A"/>
          <w:sz w:val="22"/>
          <w:szCs w:val="22"/>
        </w:rPr>
        <w:t xml:space="preserve">Message Type (MESTYP): Business process type, e.g., ORDERS (purchase order), INVOIC (invoice), MATMAS (material master)</w:t>
      </w:r>
    </w:p>
    <w:p>
      <w:pPr>
        <w:pStyle w:val="ListParagraph"/>
        <w:numPr>
          <w:ilvl w:val="0"/>
          <w:numId w:val="2"/>
        </w:numPr>
        <w:spacing w:after="40" w:before="40"/>
      </w:pPr>
      <w:r>
        <w:rPr>
          <w:rFonts w:ascii="Calibri" w:cs="Calibri" w:eastAsia="Calibri" w:hAnsi="Calibri"/>
          <w:color w:val="4A4A4A"/>
          <w:sz w:val="22"/>
          <w:szCs w:val="22"/>
        </w:rPr>
        <w:t xml:space="preserve">WE20/Partner Profile: Configuration of IDoc exchange per trading partner/system</w:t>
      </w:r>
    </w:p>
    <w:p>
      <w:r>
        <w:br w:type="page"/>
      </w:r>
    </w:p>
    <w:p>
      <w:pPr>
        <w:pStyle w:val="Heading1"/>
        <w:spacing w:after="120" w:before="400"/>
      </w:pPr>
      <w:r>
        <w:rPr>
          <w:rFonts w:ascii="Calibri" w:cs="Calibri" w:eastAsia="Calibri" w:hAnsi="Calibri"/>
          <w:b/>
          <w:bCs/>
          <w:color w:val="5B2D8E"/>
          <w:sz w:val="44"/>
          <w:szCs w:val="44"/>
        </w:rPr>
        <w:t xml:space="preserve">Chapter 18: SAP Security &amp; Compliance</w:t>
      </w:r>
    </w:p>
    <w:p>
      <w:pPr>
        <w:pStyle w:val="Heading2"/>
        <w:spacing w:after="120" w:before="300"/>
      </w:pPr>
      <w:r>
        <w:rPr>
          <w:rFonts w:ascii="Calibri" w:cs="Calibri" w:eastAsia="Calibri" w:hAnsi="Calibri"/>
          <w:b/>
          <w:bCs/>
          <w:color w:val="1565C0"/>
          <w:sz w:val="36"/>
          <w:szCs w:val="36"/>
        </w:rPr>
        <w:t xml:space="preserve">18.1 SAP GRC (Governance, Risk &amp; Compliance)</w:t>
      </w:r>
    </w:p>
    <w:p>
      <w:pPr>
        <w:spacing w:after="60" w:before="60"/>
        <w:jc w:val="both"/>
      </w:pPr>
      <w:r>
        <w:rPr>
          <w:rFonts w:ascii="Calibri" w:cs="Calibri" w:eastAsia="Calibri" w:hAnsi="Calibri"/>
          <w:color w:val="4A4A4A"/>
          <w:sz w:val="22"/>
          <w:szCs w:val="22"/>
        </w:rPr>
        <w:t xml:space="preserve">SAP Governance, Risk, and Compliance (GRC) is a suite of tools for managing compliance risk across SAP environments. The core component is Access Control, which automates user provisioning and SoD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A1A2E" w:color="auto" w:val="clear"/>
          </w:tcPr>
          <w:p>
            <w:r>
              <w:rPr>
                <w:rFonts w:ascii="Calibri" w:cs="Calibri" w:eastAsia="Calibri" w:hAnsi="Calibri"/>
                <w:b/>
                <w:bCs/>
                <w:color w:val="FFFFFF"/>
                <w:sz w:val="20"/>
                <w:szCs w:val="20"/>
              </w:rPr>
              <w:t xml:space="preserve">GRC Component</w:t>
            </w:r>
          </w:p>
        </w:tc>
        <w:tc>
          <w:tcPr>
            <w:tcW w:type="dxa" w:w="6660"/>
            <w:shd w:fill="1A1A2E" w:color="auto" w:val="clear"/>
          </w:tcPr>
          <w:p>
            <w:r>
              <w:rPr>
                <w:rFonts w:ascii="Calibri" w:cs="Calibri" w:eastAsia="Calibri" w:hAnsi="Calibri"/>
                <w:b/>
                <w:bCs/>
                <w:color w:val="FFFFFF"/>
                <w:sz w:val="20"/>
                <w:szCs w:val="20"/>
              </w:rPr>
              <w:t xml:space="preserve">Function</w:t>
            </w:r>
          </w:p>
        </w:tc>
      </w:tr>
      <w:tr>
        <w:tc>
          <w:tcPr>
            <w:tcW w:type="dxa" w:w="2700"/>
            <w:shd w:fill="F3EEF8" w:color="auto" w:val="clear"/>
          </w:tcPr>
          <w:p>
            <w:r>
              <w:rPr>
                <w:rFonts w:ascii="Calibri" w:cs="Calibri" w:eastAsia="Calibri" w:hAnsi="Calibri"/>
                <w:b/>
                <w:bCs/>
                <w:color w:val="5B2D8E"/>
                <w:sz w:val="20"/>
                <w:szCs w:val="20"/>
              </w:rPr>
              <w:t xml:space="preserve">Access Control (AC)</w:t>
            </w:r>
          </w:p>
        </w:tc>
        <w:tc>
          <w:tcPr>
            <w:tcW w:type="dxa" w:w="6660"/>
            <w:shd w:fill="F3EEF8" w:color="auto" w:val="clear"/>
          </w:tcPr>
          <w:p>
            <w:r>
              <w:rPr>
                <w:rFonts w:ascii="Calibri" w:cs="Calibri" w:eastAsia="Calibri" w:hAnsi="Calibri"/>
                <w:color w:val="4A4A4A"/>
                <w:sz w:val="20"/>
                <w:szCs w:val="20"/>
              </w:rPr>
              <w:t xml:space="preserve">User access request workflows; SoD conflict detection; role management; emergency access management (FireFighter)</w:t>
            </w:r>
          </w:p>
        </w:tc>
      </w:tr>
      <w:tr>
        <w:tc>
          <w:tcPr>
            <w:tcW w:type="dxa" w:w="2700"/>
            <w:shd w:fill="FFFFFF" w:color="auto" w:val="clear"/>
          </w:tcPr>
          <w:p>
            <w:r>
              <w:rPr>
                <w:rFonts w:ascii="Calibri" w:cs="Calibri" w:eastAsia="Calibri" w:hAnsi="Calibri"/>
                <w:b/>
                <w:bCs/>
                <w:color w:val="5B2D8E"/>
                <w:sz w:val="20"/>
                <w:szCs w:val="20"/>
              </w:rPr>
              <w:t xml:space="preserve">Process Control (PC)</w:t>
            </w:r>
          </w:p>
        </w:tc>
        <w:tc>
          <w:tcPr>
            <w:tcW w:type="dxa" w:w="6660"/>
            <w:shd w:fill="FFFFFF" w:color="auto" w:val="clear"/>
          </w:tcPr>
          <w:p>
            <w:r>
              <w:rPr>
                <w:rFonts w:ascii="Calibri" w:cs="Calibri" w:eastAsia="Calibri" w:hAnsi="Calibri"/>
                <w:color w:val="4A4A4A"/>
                <w:sz w:val="20"/>
                <w:szCs w:val="20"/>
              </w:rPr>
              <w:t xml:space="preserve">Internal control documentation; automated control monitoring; SOX compliance testing</w:t>
            </w:r>
          </w:p>
        </w:tc>
      </w:tr>
      <w:tr>
        <w:tc>
          <w:tcPr>
            <w:tcW w:type="dxa" w:w="2700"/>
            <w:shd w:fill="F3EEF8" w:color="auto" w:val="clear"/>
          </w:tcPr>
          <w:p>
            <w:r>
              <w:rPr>
                <w:rFonts w:ascii="Calibri" w:cs="Calibri" w:eastAsia="Calibri" w:hAnsi="Calibri"/>
                <w:b/>
                <w:bCs/>
                <w:color w:val="5B2D8E"/>
                <w:sz w:val="20"/>
                <w:szCs w:val="20"/>
              </w:rPr>
              <w:t xml:space="preserve">Risk Management (RM)</w:t>
            </w:r>
          </w:p>
        </w:tc>
        <w:tc>
          <w:tcPr>
            <w:tcW w:type="dxa" w:w="6660"/>
            <w:shd w:fill="F3EEF8" w:color="auto" w:val="clear"/>
          </w:tcPr>
          <w:p>
            <w:r>
              <w:rPr>
                <w:rFonts w:ascii="Calibri" w:cs="Calibri" w:eastAsia="Calibri" w:hAnsi="Calibri"/>
                <w:color w:val="4A4A4A"/>
                <w:sz w:val="20"/>
                <w:szCs w:val="20"/>
              </w:rPr>
              <w:t xml:space="preserve">Enterprise risk register; risk scenarios; monitoring; risk-adjusted performance</w:t>
            </w:r>
          </w:p>
        </w:tc>
      </w:tr>
      <w:tr>
        <w:tc>
          <w:tcPr>
            <w:tcW w:type="dxa" w:w="2700"/>
            <w:shd w:fill="FFFFFF" w:color="auto" w:val="clear"/>
          </w:tcPr>
          <w:p>
            <w:r>
              <w:rPr>
                <w:rFonts w:ascii="Calibri" w:cs="Calibri" w:eastAsia="Calibri" w:hAnsi="Calibri"/>
                <w:b/>
                <w:bCs/>
                <w:color w:val="5B2D8E"/>
                <w:sz w:val="20"/>
                <w:szCs w:val="20"/>
              </w:rPr>
              <w:t xml:space="preserve">SAP Audit Management</w:t>
            </w:r>
          </w:p>
        </w:tc>
        <w:tc>
          <w:tcPr>
            <w:tcW w:type="dxa" w:w="6660"/>
            <w:shd w:fill="FFFFFF" w:color="auto" w:val="clear"/>
          </w:tcPr>
          <w:p>
            <w:r>
              <w:rPr>
                <w:rFonts w:ascii="Calibri" w:cs="Calibri" w:eastAsia="Calibri" w:hAnsi="Calibri"/>
                <w:color w:val="4A4A4A"/>
                <w:sz w:val="20"/>
                <w:szCs w:val="20"/>
              </w:rPr>
              <w:t xml:space="preserve">Audit planning; fieldwork; issue tracking; integration with GRC findings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18.2 SAP Cybersecurity</w:t>
      </w:r>
    </w:p>
    <w:p>
      <w:pPr>
        <w:spacing w:after="60" w:before="60"/>
        <w:jc w:val="both"/>
      </w:pPr>
      <w:r>
        <w:rPr>
          <w:rFonts w:ascii="Calibri" w:cs="Calibri" w:eastAsia="Calibri" w:hAnsi="Calibri"/>
          <w:color w:val="4A4A4A"/>
          <w:sz w:val="22"/>
          <w:szCs w:val="22"/>
        </w:rPr>
        <w:t xml:space="preserve">Securing SAP systems requires multiple layers of protection, from network to application:</w:t>
      </w:r>
    </w:p>
    <w:p>
      <w:pPr>
        <w:pStyle w:val="ListParagraph"/>
        <w:numPr>
          <w:ilvl w:val="0"/>
          <w:numId w:val="2"/>
        </w:numPr>
        <w:spacing w:after="40" w:before="40"/>
      </w:pPr>
      <w:r>
        <w:rPr>
          <w:rFonts w:ascii="Calibri" w:cs="Calibri" w:eastAsia="Calibri" w:hAnsi="Calibri"/>
          <w:color w:val="4A4A4A"/>
          <w:sz w:val="22"/>
          <w:szCs w:val="22"/>
        </w:rPr>
        <w:t xml:space="preserve">Network Security: RFC connections secured; unused RFC destinations removed; firewall rules for ports 3200-3299, 8000, 443</w:t>
      </w:r>
    </w:p>
    <w:p>
      <w:pPr>
        <w:pStyle w:val="ListParagraph"/>
        <w:numPr>
          <w:ilvl w:val="0"/>
          <w:numId w:val="2"/>
        </w:numPr>
        <w:spacing w:after="40" w:before="40"/>
      </w:pPr>
      <w:r>
        <w:rPr>
          <w:rFonts w:ascii="Calibri" w:cs="Calibri" w:eastAsia="Calibri" w:hAnsi="Calibri"/>
          <w:color w:val="4A4A4A"/>
          <w:sz w:val="22"/>
          <w:szCs w:val="22"/>
        </w:rPr>
        <w:t xml:space="preserve">Password Policy: Profile parameter auth/password_* controls; minimum length; lockout after failed attempts; complexity</w:t>
      </w:r>
    </w:p>
    <w:p>
      <w:pPr>
        <w:pStyle w:val="ListParagraph"/>
        <w:numPr>
          <w:ilvl w:val="0"/>
          <w:numId w:val="2"/>
        </w:numPr>
        <w:spacing w:after="40" w:before="40"/>
      </w:pPr>
      <w:r>
        <w:rPr>
          <w:rFonts w:ascii="Calibri" w:cs="Calibri" w:eastAsia="Calibri" w:hAnsi="Calibri"/>
          <w:color w:val="4A4A4A"/>
          <w:sz w:val="22"/>
          <w:szCs w:val="22"/>
        </w:rPr>
        <w:t xml:space="preserve">Secure Communications: SNC (Secure Network Communications) for GUI-to-application server; TLS for web; HTTPS for Fiori/APIs</w:t>
      </w:r>
    </w:p>
    <w:p>
      <w:pPr>
        <w:pStyle w:val="ListParagraph"/>
        <w:numPr>
          <w:ilvl w:val="0"/>
          <w:numId w:val="2"/>
        </w:numPr>
        <w:spacing w:after="40" w:before="40"/>
      </w:pPr>
      <w:r>
        <w:rPr>
          <w:rFonts w:ascii="Calibri" w:cs="Calibri" w:eastAsia="Calibri" w:hAnsi="Calibri"/>
          <w:color w:val="4A4A4A"/>
          <w:sz w:val="22"/>
          <w:szCs w:val="22"/>
        </w:rPr>
        <w:t xml:space="preserve">SAP Solution Manager: Security Optimization Service (SOS) — automated vulnerability scanner; baseline checks</w:t>
      </w:r>
    </w:p>
    <w:p>
      <w:pPr>
        <w:pStyle w:val="ListParagraph"/>
        <w:numPr>
          <w:ilvl w:val="0"/>
          <w:numId w:val="2"/>
        </w:numPr>
        <w:spacing w:after="40" w:before="40"/>
      </w:pPr>
      <w:r>
        <w:rPr>
          <w:rFonts w:ascii="Calibri" w:cs="Calibri" w:eastAsia="Calibri" w:hAnsi="Calibri"/>
          <w:color w:val="4A4A4A"/>
          <w:sz w:val="22"/>
          <w:szCs w:val="22"/>
        </w:rPr>
        <w:t xml:space="preserve">OS/DB Security: OS user separation; HANA auditing; OS-level encryption; backup encryption</w:t>
      </w:r>
    </w:p>
    <w:p>
      <w:pPr>
        <w:pStyle w:val="ListParagraph"/>
        <w:numPr>
          <w:ilvl w:val="0"/>
          <w:numId w:val="2"/>
        </w:numPr>
        <w:spacing w:after="40" w:before="40"/>
      </w:pPr>
      <w:r>
        <w:rPr>
          <w:rFonts w:ascii="Calibri" w:cs="Calibri" w:eastAsia="Calibri" w:hAnsi="Calibri"/>
          <w:color w:val="4A4A4A"/>
          <w:sz w:val="22"/>
          <w:szCs w:val="22"/>
        </w:rPr>
        <w:t xml:space="preserve">SAP EarlyWatch Alert: Monthly automated health and security check report from SAP</w:t>
      </w:r>
    </w:p>
    <w:p>
      <w:pPr>
        <w:spacing w:after="0" w:before="0"/>
      </w:pPr>
      <w:r>
        <w:rPr>
          <w:sz w:val="100"/>
          <w:szCs w:val="100"/>
        </w:rPr>
        <w:t xml:space="preserve"> </w:t>
      </w:r>
    </w:p>
    <w:p>
      <w:pPr>
        <w:spacing w:before="200"/>
        <w:jc w:val="center"/>
      </w:pPr>
      <w:r>
        <w:rPr>
          <w:rFonts w:ascii="Calibri" w:cs="Calibri" w:eastAsia="Calibri" w:hAnsi="Calibri"/>
          <w:i/>
          <w:iCs/>
          <w:color w:val="888888"/>
          <w:sz w:val="14"/>
          <w:szCs w:val="14"/>
        </w:rPr>
        <w:t xml:space="preserve">© 2025 RapidAI Tech™  |  SAP Enterprise Systems Training Handbook  |  For internal training use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A1A2E" w:color="auto" w:val="clear"/>
          </w:tcPr>
          <w:p>
            <w:pPr>
              <w:spacing w:after="40" w:before="160"/>
            </w:pPr>
            <w:r>
              <w:rPr>
                <w:rFonts w:ascii="Calibri" w:cs="Calibri" w:eastAsia="Calibri" w:hAnsi="Calibri"/>
                <w:b/>
                <w:bCs/>
                <w:color w:val="FFFFFF"/>
                <w:sz w:val="52"/>
                <w:szCs w:val="52"/>
              </w:rPr>
              <w:t xml:space="preserve">APPENDIX A — SAP TRANSACTION CODES</w:t>
            </w:r>
          </w:p>
          <w:p>
            <w:pPr>
              <w:spacing w:after="160" w:before="0"/>
            </w:pPr>
            <w:r>
              <w:rPr>
                <w:rFonts w:ascii="Calibri" w:cs="Calibri" w:eastAsia="Calibri" w:hAnsi="Calibri"/>
                <w:color w:val="DDDDDD"/>
                <w:sz w:val="22"/>
                <w:szCs w:val="22"/>
              </w:rPr>
              <w:t xml:space="preserve">Quick Navigation Reference</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5B2D8E"/>
          <w:sz w:val="36"/>
          <w:szCs w:val="36"/>
        </w:rPr>
        <w:t xml:space="preserve">Financial Accounting (FI)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5B2D8E" w:color="auto" w:val="clear"/>
          </w:tcPr>
          <w:p>
            <w:r>
              <w:rPr>
                <w:rFonts w:ascii="Calibri" w:cs="Calibri" w:eastAsia="Calibri" w:hAnsi="Calibri"/>
                <w:b/>
                <w:bCs/>
                <w:color w:val="FFFFFF"/>
                <w:sz w:val="18"/>
                <w:szCs w:val="18"/>
              </w:rPr>
              <w:t xml:space="preserve">T-Code</w:t>
            </w:r>
          </w:p>
        </w:tc>
        <w:tc>
          <w:tcPr>
            <w:tcW w:type="dxa" w:w="3780"/>
            <w:shd w:fill="5B2D8E" w:color="auto" w:val="clear"/>
          </w:tcPr>
          <w:p>
            <w:r>
              <w:rPr>
                <w:rFonts w:ascii="Calibri" w:cs="Calibri" w:eastAsia="Calibri" w:hAnsi="Calibri"/>
                <w:b/>
                <w:bCs/>
                <w:color w:val="FFFFFF"/>
                <w:sz w:val="18"/>
                <w:szCs w:val="18"/>
              </w:rPr>
              <w:t xml:space="preserve">Description</w:t>
            </w:r>
          </w:p>
        </w:tc>
        <w:tc>
          <w:tcPr>
            <w:tcW w:type="dxa" w:w="3780"/>
            <w:shd w:fill="5B2D8E" w:color="auto" w:val="clear"/>
          </w:tcPr>
          <w:p>
            <w:r>
              <w:rPr>
                <w:rFonts w:ascii="Calibri" w:cs="Calibri" w:eastAsia="Calibri" w:hAnsi="Calibri"/>
                <w:b/>
                <w:bCs/>
                <w:color w:val="FFFFFF"/>
                <w:sz w:val="18"/>
                <w:szCs w:val="18"/>
              </w:rPr>
              <w:t xml:space="preserve">Module</w:t>
            </w:r>
          </w:p>
        </w:tc>
      </w:tr>
      <w:tr>
        <w:tc>
          <w:tcPr>
            <w:tcW w:type="dxa" w:w="1800"/>
            <w:shd w:fill="F3EEF8" w:color="auto" w:val="clear"/>
          </w:tcPr>
          <w:p>
            <w:r>
              <w:rPr>
                <w:rFonts w:ascii="Calibri" w:cs="Calibri" w:eastAsia="Calibri" w:hAnsi="Calibri"/>
                <w:b/>
                <w:bCs/>
                <w:color w:val="5B2D8E"/>
                <w:sz w:val="18"/>
                <w:szCs w:val="18"/>
              </w:rPr>
              <w:t xml:space="preserve">FB01</w:t>
            </w:r>
          </w:p>
        </w:tc>
        <w:tc>
          <w:tcPr>
            <w:tcW w:type="dxa" w:w="3780"/>
            <w:shd w:fill="F3EEF8" w:color="auto" w:val="clear"/>
          </w:tcPr>
          <w:p>
            <w:r>
              <w:rPr>
                <w:rFonts w:ascii="Calibri" w:cs="Calibri" w:eastAsia="Calibri" w:hAnsi="Calibri"/>
                <w:color w:val="4A4A4A"/>
                <w:sz w:val="18"/>
                <w:szCs w:val="18"/>
              </w:rPr>
              <w:t xml:space="preserve">Post Document (FI)</w:t>
            </w:r>
          </w:p>
        </w:tc>
        <w:tc>
          <w:tcPr>
            <w:tcW w:type="dxa" w:w="3780"/>
            <w:shd w:fill="F3EEF8" w:color="auto" w:val="clear"/>
          </w:tcPr>
          <w:p>
            <w:r>
              <w:rPr>
                <w:rFonts w:ascii="Calibri" w:cs="Calibri" w:eastAsia="Calibri" w:hAnsi="Calibri"/>
                <w:color w:val="4A4A4A"/>
                <w:sz w:val="18"/>
                <w:szCs w:val="18"/>
              </w:rPr>
              <w:t xml:space="preserve">General FI posting</w:t>
            </w:r>
          </w:p>
        </w:tc>
      </w:tr>
      <w:tr>
        <w:tc>
          <w:tcPr>
            <w:tcW w:type="dxa" w:w="1800"/>
            <w:shd w:fill="FFFFFF" w:color="auto" w:val="clear"/>
          </w:tcPr>
          <w:p>
            <w:r>
              <w:rPr>
                <w:rFonts w:ascii="Calibri" w:cs="Calibri" w:eastAsia="Calibri" w:hAnsi="Calibri"/>
                <w:b/>
                <w:bCs/>
                <w:color w:val="5B2D8E"/>
                <w:sz w:val="18"/>
                <w:szCs w:val="18"/>
              </w:rPr>
              <w:t xml:space="preserve">FB60</w:t>
            </w:r>
          </w:p>
        </w:tc>
        <w:tc>
          <w:tcPr>
            <w:tcW w:type="dxa" w:w="3780"/>
            <w:shd w:fill="FFFFFF" w:color="auto" w:val="clear"/>
          </w:tcPr>
          <w:p>
            <w:r>
              <w:rPr>
                <w:rFonts w:ascii="Calibri" w:cs="Calibri" w:eastAsia="Calibri" w:hAnsi="Calibri"/>
                <w:color w:val="4A4A4A"/>
                <w:sz w:val="18"/>
                <w:szCs w:val="18"/>
              </w:rPr>
              <w:t xml:space="preserve">Enter Vendor Invoice</w:t>
            </w:r>
          </w:p>
        </w:tc>
        <w:tc>
          <w:tcPr>
            <w:tcW w:type="dxa" w:w="3780"/>
            <w:shd w:fill="FFFFFF" w:color="auto" w:val="clear"/>
          </w:tcPr>
          <w:p>
            <w:r>
              <w:rPr>
                <w:rFonts w:ascii="Calibri" w:cs="Calibri" w:eastAsia="Calibri" w:hAnsi="Calibri"/>
                <w:color w:val="4A4A4A"/>
                <w:sz w:val="18"/>
                <w:szCs w:val="18"/>
              </w:rPr>
              <w:t xml:space="preserve">AP invoice entry</w:t>
            </w:r>
          </w:p>
        </w:tc>
      </w:tr>
      <w:tr>
        <w:tc>
          <w:tcPr>
            <w:tcW w:type="dxa" w:w="1800"/>
            <w:shd w:fill="F3EEF8" w:color="auto" w:val="clear"/>
          </w:tcPr>
          <w:p>
            <w:r>
              <w:rPr>
                <w:rFonts w:ascii="Calibri" w:cs="Calibri" w:eastAsia="Calibri" w:hAnsi="Calibri"/>
                <w:b/>
                <w:bCs/>
                <w:color w:val="5B2D8E"/>
                <w:sz w:val="18"/>
                <w:szCs w:val="18"/>
              </w:rPr>
              <w:t xml:space="preserve">FB70</w:t>
            </w:r>
          </w:p>
        </w:tc>
        <w:tc>
          <w:tcPr>
            <w:tcW w:type="dxa" w:w="3780"/>
            <w:shd w:fill="F3EEF8" w:color="auto" w:val="clear"/>
          </w:tcPr>
          <w:p>
            <w:r>
              <w:rPr>
                <w:rFonts w:ascii="Calibri" w:cs="Calibri" w:eastAsia="Calibri" w:hAnsi="Calibri"/>
                <w:color w:val="4A4A4A"/>
                <w:sz w:val="18"/>
                <w:szCs w:val="18"/>
              </w:rPr>
              <w:t xml:space="preserve">Enter Customer Invoice</w:t>
            </w:r>
          </w:p>
        </w:tc>
        <w:tc>
          <w:tcPr>
            <w:tcW w:type="dxa" w:w="3780"/>
            <w:shd w:fill="F3EEF8" w:color="auto" w:val="clear"/>
          </w:tcPr>
          <w:p>
            <w:r>
              <w:rPr>
                <w:rFonts w:ascii="Calibri" w:cs="Calibri" w:eastAsia="Calibri" w:hAnsi="Calibri"/>
                <w:color w:val="4A4A4A"/>
                <w:sz w:val="18"/>
                <w:szCs w:val="18"/>
              </w:rPr>
              <w:t xml:space="preserve">AR invoice entry</w:t>
            </w:r>
          </w:p>
        </w:tc>
      </w:tr>
      <w:tr>
        <w:tc>
          <w:tcPr>
            <w:tcW w:type="dxa" w:w="1800"/>
            <w:shd w:fill="FFFFFF" w:color="auto" w:val="clear"/>
          </w:tcPr>
          <w:p>
            <w:r>
              <w:rPr>
                <w:rFonts w:ascii="Calibri" w:cs="Calibri" w:eastAsia="Calibri" w:hAnsi="Calibri"/>
                <w:b/>
                <w:bCs/>
                <w:color w:val="5B2D8E"/>
                <w:sz w:val="18"/>
                <w:szCs w:val="18"/>
              </w:rPr>
              <w:t xml:space="preserve">F-28</w:t>
            </w:r>
          </w:p>
        </w:tc>
        <w:tc>
          <w:tcPr>
            <w:tcW w:type="dxa" w:w="3780"/>
            <w:shd w:fill="FFFFFF" w:color="auto" w:val="clear"/>
          </w:tcPr>
          <w:p>
            <w:r>
              <w:rPr>
                <w:rFonts w:ascii="Calibri" w:cs="Calibri" w:eastAsia="Calibri" w:hAnsi="Calibri"/>
                <w:color w:val="4A4A4A"/>
                <w:sz w:val="18"/>
                <w:szCs w:val="18"/>
              </w:rPr>
              <w:t xml:space="preserve">Post Incoming Payment</w:t>
            </w:r>
          </w:p>
        </w:tc>
        <w:tc>
          <w:tcPr>
            <w:tcW w:type="dxa" w:w="3780"/>
            <w:shd w:fill="FFFFFF" w:color="auto" w:val="clear"/>
          </w:tcPr>
          <w:p>
            <w:r>
              <w:rPr>
                <w:rFonts w:ascii="Calibri" w:cs="Calibri" w:eastAsia="Calibri" w:hAnsi="Calibri"/>
                <w:color w:val="4A4A4A"/>
                <w:sz w:val="18"/>
                <w:szCs w:val="18"/>
              </w:rPr>
              <w:t xml:space="preserve">AR payment posting</w:t>
            </w:r>
          </w:p>
        </w:tc>
      </w:tr>
      <w:tr>
        <w:tc>
          <w:tcPr>
            <w:tcW w:type="dxa" w:w="1800"/>
            <w:shd w:fill="F3EEF8" w:color="auto" w:val="clear"/>
          </w:tcPr>
          <w:p>
            <w:r>
              <w:rPr>
                <w:rFonts w:ascii="Calibri" w:cs="Calibri" w:eastAsia="Calibri" w:hAnsi="Calibri"/>
                <w:b/>
                <w:bCs/>
                <w:color w:val="5B2D8E"/>
                <w:sz w:val="18"/>
                <w:szCs w:val="18"/>
              </w:rPr>
              <w:t xml:space="preserve">F-44</w:t>
            </w:r>
          </w:p>
        </w:tc>
        <w:tc>
          <w:tcPr>
            <w:tcW w:type="dxa" w:w="3780"/>
            <w:shd w:fill="F3EEF8" w:color="auto" w:val="clear"/>
          </w:tcPr>
          <w:p>
            <w:r>
              <w:rPr>
                <w:rFonts w:ascii="Calibri" w:cs="Calibri" w:eastAsia="Calibri" w:hAnsi="Calibri"/>
                <w:color w:val="4A4A4A"/>
                <w:sz w:val="18"/>
                <w:szCs w:val="18"/>
              </w:rPr>
              <w:t xml:space="preserve">Clear Vendor Account</w:t>
            </w:r>
          </w:p>
        </w:tc>
        <w:tc>
          <w:tcPr>
            <w:tcW w:type="dxa" w:w="3780"/>
            <w:shd w:fill="F3EEF8" w:color="auto" w:val="clear"/>
          </w:tcPr>
          <w:p>
            <w:r>
              <w:rPr>
                <w:rFonts w:ascii="Calibri" w:cs="Calibri" w:eastAsia="Calibri" w:hAnsi="Calibri"/>
                <w:color w:val="4A4A4A"/>
                <w:sz w:val="18"/>
                <w:szCs w:val="18"/>
              </w:rPr>
              <w:t xml:space="preserve">AP manual clearing</w:t>
            </w:r>
          </w:p>
        </w:tc>
      </w:tr>
      <w:tr>
        <w:tc>
          <w:tcPr>
            <w:tcW w:type="dxa" w:w="1800"/>
            <w:shd w:fill="FFFFFF" w:color="auto" w:val="clear"/>
          </w:tcPr>
          <w:p>
            <w:r>
              <w:rPr>
                <w:rFonts w:ascii="Calibri" w:cs="Calibri" w:eastAsia="Calibri" w:hAnsi="Calibri"/>
                <w:b/>
                <w:bCs/>
                <w:color w:val="5B2D8E"/>
                <w:sz w:val="18"/>
                <w:szCs w:val="18"/>
              </w:rPr>
              <w:t xml:space="preserve">F110</w:t>
            </w:r>
          </w:p>
        </w:tc>
        <w:tc>
          <w:tcPr>
            <w:tcW w:type="dxa" w:w="3780"/>
            <w:shd w:fill="FFFFFF" w:color="auto" w:val="clear"/>
          </w:tcPr>
          <w:p>
            <w:r>
              <w:rPr>
                <w:rFonts w:ascii="Calibri" w:cs="Calibri" w:eastAsia="Calibri" w:hAnsi="Calibri"/>
                <w:color w:val="4A4A4A"/>
                <w:sz w:val="18"/>
                <w:szCs w:val="18"/>
              </w:rPr>
              <w:t xml:space="preserve">Automatic Payment Program</w:t>
            </w:r>
          </w:p>
        </w:tc>
        <w:tc>
          <w:tcPr>
            <w:tcW w:type="dxa" w:w="3780"/>
            <w:shd w:fill="FFFFFF" w:color="auto" w:val="clear"/>
          </w:tcPr>
          <w:p>
            <w:r>
              <w:rPr>
                <w:rFonts w:ascii="Calibri" w:cs="Calibri" w:eastAsia="Calibri" w:hAnsi="Calibri"/>
                <w:color w:val="4A4A4A"/>
                <w:sz w:val="18"/>
                <w:szCs w:val="18"/>
              </w:rPr>
              <w:t xml:space="preserve">AP payment run</w:t>
            </w:r>
          </w:p>
        </w:tc>
      </w:tr>
      <w:tr>
        <w:tc>
          <w:tcPr>
            <w:tcW w:type="dxa" w:w="1800"/>
            <w:shd w:fill="F3EEF8" w:color="auto" w:val="clear"/>
          </w:tcPr>
          <w:p>
            <w:r>
              <w:rPr>
                <w:rFonts w:ascii="Calibri" w:cs="Calibri" w:eastAsia="Calibri" w:hAnsi="Calibri"/>
                <w:b/>
                <w:bCs/>
                <w:color w:val="5B2D8E"/>
                <w:sz w:val="18"/>
                <w:szCs w:val="18"/>
              </w:rPr>
              <w:t xml:space="preserve">F150</w:t>
            </w:r>
          </w:p>
        </w:tc>
        <w:tc>
          <w:tcPr>
            <w:tcW w:type="dxa" w:w="3780"/>
            <w:shd w:fill="F3EEF8" w:color="auto" w:val="clear"/>
          </w:tcPr>
          <w:p>
            <w:r>
              <w:rPr>
                <w:rFonts w:ascii="Calibri" w:cs="Calibri" w:eastAsia="Calibri" w:hAnsi="Calibri"/>
                <w:color w:val="4A4A4A"/>
                <w:sz w:val="18"/>
                <w:szCs w:val="18"/>
              </w:rPr>
              <w:t xml:space="preserve">Dunning Program</w:t>
            </w:r>
          </w:p>
        </w:tc>
        <w:tc>
          <w:tcPr>
            <w:tcW w:type="dxa" w:w="3780"/>
            <w:shd w:fill="F3EEF8" w:color="auto" w:val="clear"/>
          </w:tcPr>
          <w:p>
            <w:r>
              <w:rPr>
                <w:rFonts w:ascii="Calibri" w:cs="Calibri" w:eastAsia="Calibri" w:hAnsi="Calibri"/>
                <w:color w:val="4A4A4A"/>
                <w:sz w:val="18"/>
                <w:szCs w:val="18"/>
              </w:rPr>
              <w:t xml:space="preserve">AR dunning run</w:t>
            </w:r>
          </w:p>
        </w:tc>
      </w:tr>
      <w:tr>
        <w:tc>
          <w:tcPr>
            <w:tcW w:type="dxa" w:w="1800"/>
            <w:shd w:fill="FFFFFF" w:color="auto" w:val="clear"/>
          </w:tcPr>
          <w:p>
            <w:r>
              <w:rPr>
                <w:rFonts w:ascii="Calibri" w:cs="Calibri" w:eastAsia="Calibri" w:hAnsi="Calibri"/>
                <w:b/>
                <w:bCs/>
                <w:color w:val="5B2D8E"/>
                <w:sz w:val="18"/>
                <w:szCs w:val="18"/>
              </w:rPr>
              <w:t xml:space="preserve">FS10N</w:t>
            </w:r>
          </w:p>
        </w:tc>
        <w:tc>
          <w:tcPr>
            <w:tcW w:type="dxa" w:w="3780"/>
            <w:shd w:fill="FFFFFF" w:color="auto" w:val="clear"/>
          </w:tcPr>
          <w:p>
            <w:r>
              <w:rPr>
                <w:rFonts w:ascii="Calibri" w:cs="Calibri" w:eastAsia="Calibri" w:hAnsi="Calibri"/>
                <w:color w:val="4A4A4A"/>
                <w:sz w:val="18"/>
                <w:szCs w:val="18"/>
              </w:rPr>
              <w:t xml:space="preserve">G/L Account Balance</w:t>
            </w:r>
          </w:p>
        </w:tc>
        <w:tc>
          <w:tcPr>
            <w:tcW w:type="dxa" w:w="3780"/>
            <w:shd w:fill="FFFFFF" w:color="auto" w:val="clear"/>
          </w:tcPr>
          <w:p>
            <w:r>
              <w:rPr>
                <w:rFonts w:ascii="Calibri" w:cs="Calibri" w:eastAsia="Calibri" w:hAnsi="Calibri"/>
                <w:color w:val="4A4A4A"/>
                <w:sz w:val="18"/>
                <w:szCs w:val="18"/>
              </w:rPr>
              <w:t xml:space="preserve">GL reporting</w:t>
            </w:r>
          </w:p>
        </w:tc>
      </w:tr>
      <w:tr>
        <w:tc>
          <w:tcPr>
            <w:tcW w:type="dxa" w:w="1800"/>
            <w:shd w:fill="F3EEF8" w:color="auto" w:val="clear"/>
          </w:tcPr>
          <w:p>
            <w:r>
              <w:rPr>
                <w:rFonts w:ascii="Calibri" w:cs="Calibri" w:eastAsia="Calibri" w:hAnsi="Calibri"/>
                <w:b/>
                <w:bCs/>
                <w:color w:val="5B2D8E"/>
                <w:sz w:val="18"/>
                <w:szCs w:val="18"/>
              </w:rPr>
              <w:t xml:space="preserve">FBL1N</w:t>
            </w:r>
          </w:p>
        </w:tc>
        <w:tc>
          <w:tcPr>
            <w:tcW w:type="dxa" w:w="3780"/>
            <w:shd w:fill="F3EEF8" w:color="auto" w:val="clear"/>
          </w:tcPr>
          <w:p>
            <w:r>
              <w:rPr>
                <w:rFonts w:ascii="Calibri" w:cs="Calibri" w:eastAsia="Calibri" w:hAnsi="Calibri"/>
                <w:color w:val="4A4A4A"/>
                <w:sz w:val="18"/>
                <w:szCs w:val="18"/>
              </w:rPr>
              <w:t xml:space="preserve">Vendor Line Items</w:t>
            </w:r>
          </w:p>
        </w:tc>
        <w:tc>
          <w:tcPr>
            <w:tcW w:type="dxa" w:w="3780"/>
            <w:shd w:fill="F3EEF8" w:color="auto" w:val="clear"/>
          </w:tcPr>
          <w:p>
            <w:r>
              <w:rPr>
                <w:rFonts w:ascii="Calibri" w:cs="Calibri" w:eastAsia="Calibri" w:hAnsi="Calibri"/>
                <w:color w:val="4A4A4A"/>
                <w:sz w:val="18"/>
                <w:szCs w:val="18"/>
              </w:rPr>
              <w:t xml:space="preserve">AP open items</w:t>
            </w:r>
          </w:p>
        </w:tc>
      </w:tr>
      <w:tr>
        <w:tc>
          <w:tcPr>
            <w:tcW w:type="dxa" w:w="1800"/>
            <w:shd w:fill="FFFFFF" w:color="auto" w:val="clear"/>
          </w:tcPr>
          <w:p>
            <w:r>
              <w:rPr>
                <w:rFonts w:ascii="Calibri" w:cs="Calibri" w:eastAsia="Calibri" w:hAnsi="Calibri"/>
                <w:b/>
                <w:bCs/>
                <w:color w:val="5B2D8E"/>
                <w:sz w:val="18"/>
                <w:szCs w:val="18"/>
              </w:rPr>
              <w:t xml:space="preserve">FBL5N</w:t>
            </w:r>
          </w:p>
        </w:tc>
        <w:tc>
          <w:tcPr>
            <w:tcW w:type="dxa" w:w="3780"/>
            <w:shd w:fill="FFFFFF" w:color="auto" w:val="clear"/>
          </w:tcPr>
          <w:p>
            <w:r>
              <w:rPr>
                <w:rFonts w:ascii="Calibri" w:cs="Calibri" w:eastAsia="Calibri" w:hAnsi="Calibri"/>
                <w:color w:val="4A4A4A"/>
                <w:sz w:val="18"/>
                <w:szCs w:val="18"/>
              </w:rPr>
              <w:t xml:space="preserve">Customer Line Items</w:t>
            </w:r>
          </w:p>
        </w:tc>
        <w:tc>
          <w:tcPr>
            <w:tcW w:type="dxa" w:w="3780"/>
            <w:shd w:fill="FFFFFF" w:color="auto" w:val="clear"/>
          </w:tcPr>
          <w:p>
            <w:r>
              <w:rPr>
                <w:rFonts w:ascii="Calibri" w:cs="Calibri" w:eastAsia="Calibri" w:hAnsi="Calibri"/>
                <w:color w:val="4A4A4A"/>
                <w:sz w:val="18"/>
                <w:szCs w:val="18"/>
              </w:rPr>
              <w:t xml:space="preserve">AR open items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1565C0"/>
          <w:sz w:val="36"/>
          <w:szCs w:val="36"/>
        </w:rPr>
        <w:t xml:space="preserve">Controlling (CO)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1565C0" w:color="auto" w:val="clear"/>
          </w:tcPr>
          <w:p>
            <w:r>
              <w:rPr>
                <w:rFonts w:ascii="Calibri" w:cs="Calibri" w:eastAsia="Calibri" w:hAnsi="Calibri"/>
                <w:b/>
                <w:bCs/>
                <w:color w:val="FFFFFF"/>
                <w:sz w:val="18"/>
                <w:szCs w:val="18"/>
              </w:rPr>
              <w:t xml:space="preserve">T-Code</w:t>
            </w:r>
          </w:p>
        </w:tc>
        <w:tc>
          <w:tcPr>
            <w:tcW w:type="dxa" w:w="3780"/>
            <w:shd w:fill="1565C0" w:color="auto" w:val="clear"/>
          </w:tcPr>
          <w:p>
            <w:r>
              <w:rPr>
                <w:rFonts w:ascii="Calibri" w:cs="Calibri" w:eastAsia="Calibri" w:hAnsi="Calibri"/>
                <w:b/>
                <w:bCs/>
                <w:color w:val="FFFFFF"/>
                <w:sz w:val="18"/>
                <w:szCs w:val="18"/>
              </w:rPr>
              <w:t xml:space="preserve">Description</w:t>
            </w:r>
          </w:p>
        </w:tc>
        <w:tc>
          <w:tcPr>
            <w:tcW w:type="dxa" w:w="3780"/>
            <w:shd w:fill="1565C0" w:color="auto" w:val="clear"/>
          </w:tcPr>
          <w:p>
            <w:r>
              <w:rPr>
                <w:rFonts w:ascii="Calibri" w:cs="Calibri" w:eastAsia="Calibri" w:hAnsi="Calibri"/>
                <w:b/>
                <w:bCs/>
                <w:color w:val="FFFFFF"/>
                <w:sz w:val="18"/>
                <w:szCs w:val="18"/>
              </w:rPr>
              <w:t xml:space="preserve">Module</w:t>
            </w:r>
          </w:p>
        </w:tc>
      </w:tr>
      <w:tr>
        <w:tc>
          <w:tcPr>
            <w:tcW w:type="dxa" w:w="1800"/>
            <w:shd w:fill="F3EEF8" w:color="auto" w:val="clear"/>
          </w:tcPr>
          <w:p>
            <w:r>
              <w:rPr>
                <w:rFonts w:ascii="Calibri" w:cs="Calibri" w:eastAsia="Calibri" w:hAnsi="Calibri"/>
                <w:b/>
                <w:bCs/>
                <w:color w:val="5B2D8E"/>
                <w:sz w:val="18"/>
                <w:szCs w:val="18"/>
              </w:rPr>
              <w:t xml:space="preserve">KS01</w:t>
            </w:r>
          </w:p>
        </w:tc>
        <w:tc>
          <w:tcPr>
            <w:tcW w:type="dxa" w:w="3780"/>
            <w:shd w:fill="F3EEF8" w:color="auto" w:val="clear"/>
          </w:tcPr>
          <w:p>
            <w:r>
              <w:rPr>
                <w:rFonts w:ascii="Calibri" w:cs="Calibri" w:eastAsia="Calibri" w:hAnsi="Calibri"/>
                <w:color w:val="4A4A4A"/>
                <w:sz w:val="18"/>
                <w:szCs w:val="18"/>
              </w:rPr>
              <w:t xml:space="preserve">Create Cost Center</w:t>
            </w:r>
          </w:p>
        </w:tc>
        <w:tc>
          <w:tcPr>
            <w:tcW w:type="dxa" w:w="3780"/>
            <w:shd w:fill="F3EEF8" w:color="auto" w:val="clear"/>
          </w:tcPr>
          <w:p>
            <w:r>
              <w:rPr>
                <w:rFonts w:ascii="Calibri" w:cs="Calibri" w:eastAsia="Calibri" w:hAnsi="Calibri"/>
                <w:color w:val="4A4A4A"/>
                <w:sz w:val="18"/>
                <w:szCs w:val="18"/>
              </w:rPr>
              <w:t xml:space="preserve">CO-CCA master data</w:t>
            </w:r>
          </w:p>
        </w:tc>
      </w:tr>
      <w:tr>
        <w:tc>
          <w:tcPr>
            <w:tcW w:type="dxa" w:w="1800"/>
            <w:shd w:fill="FFFFFF" w:color="auto" w:val="clear"/>
          </w:tcPr>
          <w:p>
            <w:r>
              <w:rPr>
                <w:rFonts w:ascii="Calibri" w:cs="Calibri" w:eastAsia="Calibri" w:hAnsi="Calibri"/>
                <w:b/>
                <w:bCs/>
                <w:color w:val="5B2D8E"/>
                <w:sz w:val="18"/>
                <w:szCs w:val="18"/>
              </w:rPr>
              <w:t xml:space="preserve">KO01</w:t>
            </w:r>
          </w:p>
        </w:tc>
        <w:tc>
          <w:tcPr>
            <w:tcW w:type="dxa" w:w="3780"/>
            <w:shd w:fill="FFFFFF" w:color="auto" w:val="clear"/>
          </w:tcPr>
          <w:p>
            <w:r>
              <w:rPr>
                <w:rFonts w:ascii="Calibri" w:cs="Calibri" w:eastAsia="Calibri" w:hAnsi="Calibri"/>
                <w:color w:val="4A4A4A"/>
                <w:sz w:val="18"/>
                <w:szCs w:val="18"/>
              </w:rPr>
              <w:t xml:space="preserve">Create Internal Order</w:t>
            </w:r>
          </w:p>
        </w:tc>
        <w:tc>
          <w:tcPr>
            <w:tcW w:type="dxa" w:w="3780"/>
            <w:shd w:fill="FFFFFF" w:color="auto" w:val="clear"/>
          </w:tcPr>
          <w:p>
            <w:r>
              <w:rPr>
                <w:rFonts w:ascii="Calibri" w:cs="Calibri" w:eastAsia="Calibri" w:hAnsi="Calibri"/>
                <w:color w:val="4A4A4A"/>
                <w:sz w:val="18"/>
                <w:szCs w:val="18"/>
              </w:rPr>
              <w:t xml:space="preserve">CO-IO master data</w:t>
            </w:r>
          </w:p>
        </w:tc>
      </w:tr>
      <w:tr>
        <w:tc>
          <w:tcPr>
            <w:tcW w:type="dxa" w:w="1800"/>
            <w:shd w:fill="F3EEF8" w:color="auto" w:val="clear"/>
          </w:tcPr>
          <w:p>
            <w:r>
              <w:rPr>
                <w:rFonts w:ascii="Calibri" w:cs="Calibri" w:eastAsia="Calibri" w:hAnsi="Calibri"/>
                <w:b/>
                <w:bCs/>
                <w:color w:val="5B2D8E"/>
                <w:sz w:val="18"/>
                <w:szCs w:val="18"/>
              </w:rPr>
              <w:t xml:space="preserve">CJE0</w:t>
            </w:r>
          </w:p>
        </w:tc>
        <w:tc>
          <w:tcPr>
            <w:tcW w:type="dxa" w:w="3780"/>
            <w:shd w:fill="F3EEF8" w:color="auto" w:val="clear"/>
          </w:tcPr>
          <w:p>
            <w:r>
              <w:rPr>
                <w:rFonts w:ascii="Calibri" w:cs="Calibri" w:eastAsia="Calibri" w:hAnsi="Calibri"/>
                <w:color w:val="4A4A4A"/>
                <w:sz w:val="18"/>
                <w:szCs w:val="18"/>
              </w:rPr>
              <w:t xml:space="preserve">Project Info System</w:t>
            </w:r>
          </w:p>
        </w:tc>
        <w:tc>
          <w:tcPr>
            <w:tcW w:type="dxa" w:w="3780"/>
            <w:shd w:fill="F3EEF8" w:color="auto" w:val="clear"/>
          </w:tcPr>
          <w:p>
            <w:r>
              <w:rPr>
                <w:rFonts w:ascii="Calibri" w:cs="Calibri" w:eastAsia="Calibri" w:hAnsi="Calibri"/>
                <w:color w:val="4A4A4A"/>
                <w:sz w:val="18"/>
                <w:szCs w:val="18"/>
              </w:rPr>
              <w:t xml:space="preserve">CO-PS reporting</w:t>
            </w:r>
          </w:p>
        </w:tc>
      </w:tr>
      <w:tr>
        <w:tc>
          <w:tcPr>
            <w:tcW w:type="dxa" w:w="1800"/>
            <w:shd w:fill="FFFFFF" w:color="auto" w:val="clear"/>
          </w:tcPr>
          <w:p>
            <w:r>
              <w:rPr>
                <w:rFonts w:ascii="Calibri" w:cs="Calibri" w:eastAsia="Calibri" w:hAnsi="Calibri"/>
                <w:b/>
                <w:bCs/>
                <w:color w:val="5B2D8E"/>
                <w:sz w:val="18"/>
                <w:szCs w:val="18"/>
              </w:rPr>
              <w:t xml:space="preserve">KE30</w:t>
            </w:r>
          </w:p>
        </w:tc>
        <w:tc>
          <w:tcPr>
            <w:tcW w:type="dxa" w:w="3780"/>
            <w:shd w:fill="FFFFFF" w:color="auto" w:val="clear"/>
          </w:tcPr>
          <w:p>
            <w:r>
              <w:rPr>
                <w:rFonts w:ascii="Calibri" w:cs="Calibri" w:eastAsia="Calibri" w:hAnsi="Calibri"/>
                <w:color w:val="4A4A4A"/>
                <w:sz w:val="18"/>
                <w:szCs w:val="18"/>
              </w:rPr>
              <w:t xml:space="preserve">Profitability Report</w:t>
            </w:r>
          </w:p>
        </w:tc>
        <w:tc>
          <w:tcPr>
            <w:tcW w:type="dxa" w:w="3780"/>
            <w:shd w:fill="FFFFFF" w:color="auto" w:val="clear"/>
          </w:tcPr>
          <w:p>
            <w:r>
              <w:rPr>
                <w:rFonts w:ascii="Calibri" w:cs="Calibri" w:eastAsia="Calibri" w:hAnsi="Calibri"/>
                <w:color w:val="4A4A4A"/>
                <w:sz w:val="18"/>
                <w:szCs w:val="18"/>
              </w:rPr>
              <w:t xml:space="preserve">CO-PA analysis</w:t>
            </w:r>
          </w:p>
        </w:tc>
      </w:tr>
      <w:tr>
        <w:tc>
          <w:tcPr>
            <w:tcW w:type="dxa" w:w="1800"/>
            <w:shd w:fill="F3EEF8" w:color="auto" w:val="clear"/>
          </w:tcPr>
          <w:p>
            <w:r>
              <w:rPr>
                <w:rFonts w:ascii="Calibri" w:cs="Calibri" w:eastAsia="Calibri" w:hAnsi="Calibri"/>
                <w:b/>
                <w:bCs/>
                <w:color w:val="5B2D8E"/>
                <w:sz w:val="18"/>
                <w:szCs w:val="18"/>
              </w:rPr>
              <w:t xml:space="preserve">KKB0</w:t>
            </w:r>
          </w:p>
        </w:tc>
        <w:tc>
          <w:tcPr>
            <w:tcW w:type="dxa" w:w="3780"/>
            <w:shd w:fill="F3EEF8" w:color="auto" w:val="clear"/>
          </w:tcPr>
          <w:p>
            <w:r>
              <w:rPr>
                <w:rFonts w:ascii="Calibri" w:cs="Calibri" w:eastAsia="Calibri" w:hAnsi="Calibri"/>
                <w:color w:val="4A4A4A"/>
                <w:sz w:val="18"/>
                <w:szCs w:val="18"/>
              </w:rPr>
              <w:t xml:space="preserve">Product Cost Report</w:t>
            </w:r>
          </w:p>
        </w:tc>
        <w:tc>
          <w:tcPr>
            <w:tcW w:type="dxa" w:w="3780"/>
            <w:shd w:fill="F3EEF8" w:color="auto" w:val="clear"/>
          </w:tcPr>
          <w:p>
            <w:r>
              <w:rPr>
                <w:rFonts w:ascii="Calibri" w:cs="Calibri" w:eastAsia="Calibri" w:hAnsi="Calibri"/>
                <w:color w:val="4A4A4A"/>
                <w:sz w:val="18"/>
                <w:szCs w:val="18"/>
              </w:rPr>
              <w:t xml:space="preserve">CO-PC analysis</w:t>
            </w:r>
          </w:p>
        </w:tc>
      </w:tr>
      <w:tr>
        <w:tc>
          <w:tcPr>
            <w:tcW w:type="dxa" w:w="1800"/>
            <w:shd w:fill="FFFFFF" w:color="auto" w:val="clear"/>
          </w:tcPr>
          <w:p>
            <w:r>
              <w:rPr>
                <w:rFonts w:ascii="Calibri" w:cs="Calibri" w:eastAsia="Calibri" w:hAnsi="Calibri"/>
                <w:b/>
                <w:bCs/>
                <w:color w:val="5B2D8E"/>
                <w:sz w:val="18"/>
                <w:szCs w:val="18"/>
              </w:rPr>
              <w:t xml:space="preserve">KKML</w:t>
            </w:r>
          </w:p>
        </w:tc>
        <w:tc>
          <w:tcPr>
            <w:tcW w:type="dxa" w:w="3780"/>
            <w:shd w:fill="FFFFFF" w:color="auto" w:val="clear"/>
          </w:tcPr>
          <w:p>
            <w:r>
              <w:rPr>
                <w:rFonts w:ascii="Calibri" w:cs="Calibri" w:eastAsia="Calibri" w:hAnsi="Calibri"/>
                <w:color w:val="4A4A4A"/>
                <w:sz w:val="18"/>
                <w:szCs w:val="18"/>
              </w:rPr>
              <w:t xml:space="preserve">Material Ledger Prices</w:t>
            </w:r>
          </w:p>
        </w:tc>
        <w:tc>
          <w:tcPr>
            <w:tcW w:type="dxa" w:w="3780"/>
            <w:shd w:fill="FFFFFF" w:color="auto" w:val="clear"/>
          </w:tcPr>
          <w:p>
            <w:r>
              <w:rPr>
                <w:rFonts w:ascii="Calibri" w:cs="Calibri" w:eastAsia="Calibri" w:hAnsi="Calibri"/>
                <w:color w:val="4A4A4A"/>
                <w:sz w:val="18"/>
                <w:szCs w:val="18"/>
              </w:rPr>
              <w:t xml:space="preserve">CO-PC/ML</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2E7D32"/>
          <w:sz w:val="36"/>
          <w:szCs w:val="36"/>
        </w:rPr>
        <w:t xml:space="preserve">Materials Management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2E7D32" w:color="auto" w:val="clear"/>
          </w:tcPr>
          <w:p>
            <w:r>
              <w:rPr>
                <w:rFonts w:ascii="Calibri" w:cs="Calibri" w:eastAsia="Calibri" w:hAnsi="Calibri"/>
                <w:b/>
                <w:bCs/>
                <w:color w:val="FFFFFF"/>
                <w:sz w:val="18"/>
                <w:szCs w:val="18"/>
              </w:rPr>
              <w:t xml:space="preserve">T-Code</w:t>
            </w:r>
          </w:p>
        </w:tc>
        <w:tc>
          <w:tcPr>
            <w:tcW w:type="dxa" w:w="3780"/>
            <w:shd w:fill="2E7D32" w:color="auto" w:val="clear"/>
          </w:tcPr>
          <w:p>
            <w:r>
              <w:rPr>
                <w:rFonts w:ascii="Calibri" w:cs="Calibri" w:eastAsia="Calibri" w:hAnsi="Calibri"/>
                <w:b/>
                <w:bCs/>
                <w:color w:val="FFFFFF"/>
                <w:sz w:val="18"/>
                <w:szCs w:val="18"/>
              </w:rPr>
              <w:t xml:space="preserve">Description</w:t>
            </w:r>
          </w:p>
        </w:tc>
        <w:tc>
          <w:tcPr>
            <w:tcW w:type="dxa" w:w="3780"/>
            <w:shd w:fill="2E7D32" w:color="auto" w:val="clear"/>
          </w:tcPr>
          <w:p>
            <w:r>
              <w:rPr>
                <w:rFonts w:ascii="Calibri" w:cs="Calibri" w:eastAsia="Calibri" w:hAnsi="Calibri"/>
                <w:b/>
                <w:bCs/>
                <w:color w:val="FFFFFF"/>
                <w:sz w:val="18"/>
                <w:szCs w:val="18"/>
              </w:rPr>
              <w:t xml:space="preserve">Module</w:t>
            </w:r>
          </w:p>
        </w:tc>
      </w:tr>
      <w:tr>
        <w:tc>
          <w:tcPr>
            <w:tcW w:type="dxa" w:w="1800"/>
            <w:shd w:fill="F3EEF8" w:color="auto" w:val="clear"/>
          </w:tcPr>
          <w:p>
            <w:r>
              <w:rPr>
                <w:rFonts w:ascii="Calibri" w:cs="Calibri" w:eastAsia="Calibri" w:hAnsi="Calibri"/>
                <w:b/>
                <w:bCs/>
                <w:color w:val="5B2D8E"/>
                <w:sz w:val="18"/>
                <w:szCs w:val="18"/>
              </w:rPr>
              <w:t xml:space="preserve">ME21N</w:t>
            </w:r>
          </w:p>
        </w:tc>
        <w:tc>
          <w:tcPr>
            <w:tcW w:type="dxa" w:w="3780"/>
            <w:shd w:fill="F3EEF8" w:color="auto" w:val="clear"/>
          </w:tcPr>
          <w:p>
            <w:r>
              <w:rPr>
                <w:rFonts w:ascii="Calibri" w:cs="Calibri" w:eastAsia="Calibri" w:hAnsi="Calibri"/>
                <w:color w:val="4A4A4A"/>
                <w:sz w:val="18"/>
                <w:szCs w:val="18"/>
              </w:rPr>
              <w:t xml:space="preserve">Create Purchase Order</w:t>
            </w:r>
          </w:p>
        </w:tc>
        <w:tc>
          <w:tcPr>
            <w:tcW w:type="dxa" w:w="3780"/>
            <w:shd w:fill="F3EEF8" w:color="auto" w:val="clear"/>
          </w:tcPr>
          <w:p>
            <w:r>
              <w:rPr>
                <w:rFonts w:ascii="Calibri" w:cs="Calibri" w:eastAsia="Calibri" w:hAnsi="Calibri"/>
                <w:color w:val="4A4A4A"/>
                <w:sz w:val="18"/>
                <w:szCs w:val="18"/>
              </w:rPr>
              <w:t xml:space="preserve">MM-PUR</w:t>
            </w:r>
          </w:p>
        </w:tc>
      </w:tr>
      <w:tr>
        <w:tc>
          <w:tcPr>
            <w:tcW w:type="dxa" w:w="1800"/>
            <w:shd w:fill="FFFFFF" w:color="auto" w:val="clear"/>
          </w:tcPr>
          <w:p>
            <w:r>
              <w:rPr>
                <w:rFonts w:ascii="Calibri" w:cs="Calibri" w:eastAsia="Calibri" w:hAnsi="Calibri"/>
                <w:b/>
                <w:bCs/>
                <w:color w:val="5B2D8E"/>
                <w:sz w:val="18"/>
                <w:szCs w:val="18"/>
              </w:rPr>
              <w:t xml:space="preserve">ME51N</w:t>
            </w:r>
          </w:p>
        </w:tc>
        <w:tc>
          <w:tcPr>
            <w:tcW w:type="dxa" w:w="3780"/>
            <w:shd w:fill="FFFFFF" w:color="auto" w:val="clear"/>
          </w:tcPr>
          <w:p>
            <w:r>
              <w:rPr>
                <w:rFonts w:ascii="Calibri" w:cs="Calibri" w:eastAsia="Calibri" w:hAnsi="Calibri"/>
                <w:color w:val="4A4A4A"/>
                <w:sz w:val="18"/>
                <w:szCs w:val="18"/>
              </w:rPr>
              <w:t xml:space="preserve">Create Purchase Requisition</w:t>
            </w:r>
          </w:p>
        </w:tc>
        <w:tc>
          <w:tcPr>
            <w:tcW w:type="dxa" w:w="3780"/>
            <w:shd w:fill="FFFFFF" w:color="auto" w:val="clear"/>
          </w:tcPr>
          <w:p>
            <w:r>
              <w:rPr>
                <w:rFonts w:ascii="Calibri" w:cs="Calibri" w:eastAsia="Calibri" w:hAnsi="Calibri"/>
                <w:color w:val="4A4A4A"/>
                <w:sz w:val="18"/>
                <w:szCs w:val="18"/>
              </w:rPr>
              <w:t xml:space="preserve">MM-PUR</w:t>
            </w:r>
          </w:p>
        </w:tc>
      </w:tr>
      <w:tr>
        <w:tc>
          <w:tcPr>
            <w:tcW w:type="dxa" w:w="1800"/>
            <w:shd w:fill="F3EEF8" w:color="auto" w:val="clear"/>
          </w:tcPr>
          <w:p>
            <w:r>
              <w:rPr>
                <w:rFonts w:ascii="Calibri" w:cs="Calibri" w:eastAsia="Calibri" w:hAnsi="Calibri"/>
                <w:b/>
                <w:bCs/>
                <w:color w:val="5B2D8E"/>
                <w:sz w:val="18"/>
                <w:szCs w:val="18"/>
              </w:rPr>
              <w:t xml:space="preserve">MIGO</w:t>
            </w:r>
          </w:p>
        </w:tc>
        <w:tc>
          <w:tcPr>
            <w:tcW w:type="dxa" w:w="3780"/>
            <w:shd w:fill="F3EEF8" w:color="auto" w:val="clear"/>
          </w:tcPr>
          <w:p>
            <w:r>
              <w:rPr>
                <w:rFonts w:ascii="Calibri" w:cs="Calibri" w:eastAsia="Calibri" w:hAnsi="Calibri"/>
                <w:color w:val="4A4A4A"/>
                <w:sz w:val="18"/>
                <w:szCs w:val="18"/>
              </w:rPr>
              <w:t xml:space="preserve">Goods Movement (GR/GI)</w:t>
            </w:r>
          </w:p>
        </w:tc>
        <w:tc>
          <w:tcPr>
            <w:tcW w:type="dxa" w:w="3780"/>
            <w:shd w:fill="F3EEF8" w:color="auto" w:val="clear"/>
          </w:tcPr>
          <w:p>
            <w:r>
              <w:rPr>
                <w:rFonts w:ascii="Calibri" w:cs="Calibri" w:eastAsia="Calibri" w:hAnsi="Calibri"/>
                <w:color w:val="4A4A4A"/>
                <w:sz w:val="18"/>
                <w:szCs w:val="18"/>
              </w:rPr>
              <w:t xml:space="preserve">MM-IM</w:t>
            </w:r>
          </w:p>
        </w:tc>
      </w:tr>
      <w:tr>
        <w:tc>
          <w:tcPr>
            <w:tcW w:type="dxa" w:w="1800"/>
            <w:shd w:fill="FFFFFF" w:color="auto" w:val="clear"/>
          </w:tcPr>
          <w:p>
            <w:r>
              <w:rPr>
                <w:rFonts w:ascii="Calibri" w:cs="Calibri" w:eastAsia="Calibri" w:hAnsi="Calibri"/>
                <w:b/>
                <w:bCs/>
                <w:color w:val="5B2D8E"/>
                <w:sz w:val="18"/>
                <w:szCs w:val="18"/>
              </w:rPr>
              <w:t xml:space="preserve">MIRO</w:t>
            </w:r>
          </w:p>
        </w:tc>
        <w:tc>
          <w:tcPr>
            <w:tcW w:type="dxa" w:w="3780"/>
            <w:shd w:fill="FFFFFF" w:color="auto" w:val="clear"/>
          </w:tcPr>
          <w:p>
            <w:r>
              <w:rPr>
                <w:rFonts w:ascii="Calibri" w:cs="Calibri" w:eastAsia="Calibri" w:hAnsi="Calibri"/>
                <w:color w:val="4A4A4A"/>
                <w:sz w:val="18"/>
                <w:szCs w:val="18"/>
              </w:rPr>
              <w:t xml:space="preserve">Enter Vendor Invoice</w:t>
            </w:r>
          </w:p>
        </w:tc>
        <w:tc>
          <w:tcPr>
            <w:tcW w:type="dxa" w:w="3780"/>
            <w:shd w:fill="FFFFFF" w:color="auto" w:val="clear"/>
          </w:tcPr>
          <w:p>
            <w:r>
              <w:rPr>
                <w:rFonts w:ascii="Calibri" w:cs="Calibri" w:eastAsia="Calibri" w:hAnsi="Calibri"/>
                <w:color w:val="4A4A4A"/>
                <w:sz w:val="18"/>
                <w:szCs w:val="18"/>
              </w:rPr>
              <w:t xml:space="preserve">MM-IV</w:t>
            </w:r>
          </w:p>
        </w:tc>
      </w:tr>
      <w:tr>
        <w:tc>
          <w:tcPr>
            <w:tcW w:type="dxa" w:w="1800"/>
            <w:shd w:fill="F3EEF8" w:color="auto" w:val="clear"/>
          </w:tcPr>
          <w:p>
            <w:r>
              <w:rPr>
                <w:rFonts w:ascii="Calibri" w:cs="Calibri" w:eastAsia="Calibri" w:hAnsi="Calibri"/>
                <w:b/>
                <w:bCs/>
                <w:color w:val="5B2D8E"/>
                <w:sz w:val="18"/>
                <w:szCs w:val="18"/>
              </w:rPr>
              <w:t xml:space="preserve">MM01</w:t>
            </w:r>
          </w:p>
        </w:tc>
        <w:tc>
          <w:tcPr>
            <w:tcW w:type="dxa" w:w="3780"/>
            <w:shd w:fill="F3EEF8" w:color="auto" w:val="clear"/>
          </w:tcPr>
          <w:p>
            <w:r>
              <w:rPr>
                <w:rFonts w:ascii="Calibri" w:cs="Calibri" w:eastAsia="Calibri" w:hAnsi="Calibri"/>
                <w:color w:val="4A4A4A"/>
                <w:sz w:val="18"/>
                <w:szCs w:val="18"/>
              </w:rPr>
              <w:t xml:space="preserve">Create Material Master</w:t>
            </w:r>
          </w:p>
        </w:tc>
        <w:tc>
          <w:tcPr>
            <w:tcW w:type="dxa" w:w="3780"/>
            <w:shd w:fill="F3EEF8" w:color="auto" w:val="clear"/>
          </w:tcPr>
          <w:p>
            <w:r>
              <w:rPr>
                <w:rFonts w:ascii="Calibri" w:cs="Calibri" w:eastAsia="Calibri" w:hAnsi="Calibri"/>
                <w:color w:val="4A4A4A"/>
                <w:sz w:val="18"/>
                <w:szCs w:val="18"/>
              </w:rPr>
              <w:t xml:space="preserve">MM Master Data</w:t>
            </w:r>
          </w:p>
        </w:tc>
      </w:tr>
      <w:tr>
        <w:tc>
          <w:tcPr>
            <w:tcW w:type="dxa" w:w="1800"/>
            <w:shd w:fill="FFFFFF" w:color="auto" w:val="clear"/>
          </w:tcPr>
          <w:p>
            <w:r>
              <w:rPr>
                <w:rFonts w:ascii="Calibri" w:cs="Calibri" w:eastAsia="Calibri" w:hAnsi="Calibri"/>
                <w:b/>
                <w:bCs/>
                <w:color w:val="5B2D8E"/>
                <w:sz w:val="18"/>
                <w:szCs w:val="18"/>
              </w:rPr>
              <w:t xml:space="preserve">MB52</w:t>
            </w:r>
          </w:p>
        </w:tc>
        <w:tc>
          <w:tcPr>
            <w:tcW w:type="dxa" w:w="3780"/>
            <w:shd w:fill="FFFFFF" w:color="auto" w:val="clear"/>
          </w:tcPr>
          <w:p>
            <w:r>
              <w:rPr>
                <w:rFonts w:ascii="Calibri" w:cs="Calibri" w:eastAsia="Calibri" w:hAnsi="Calibri"/>
                <w:color w:val="4A4A4A"/>
                <w:sz w:val="18"/>
                <w:szCs w:val="18"/>
              </w:rPr>
              <w:t xml:space="preserve">Warehouse Stocks Report</w:t>
            </w:r>
          </w:p>
        </w:tc>
        <w:tc>
          <w:tcPr>
            <w:tcW w:type="dxa" w:w="3780"/>
            <w:shd w:fill="FFFFFF" w:color="auto" w:val="clear"/>
          </w:tcPr>
          <w:p>
            <w:r>
              <w:rPr>
                <w:rFonts w:ascii="Calibri" w:cs="Calibri" w:eastAsia="Calibri" w:hAnsi="Calibri"/>
                <w:color w:val="4A4A4A"/>
                <w:sz w:val="18"/>
                <w:szCs w:val="18"/>
              </w:rPr>
              <w:t xml:space="preserve">MM-IM reporting</w:t>
            </w:r>
          </w:p>
        </w:tc>
      </w:tr>
      <w:tr>
        <w:tc>
          <w:tcPr>
            <w:tcW w:type="dxa" w:w="1800"/>
            <w:shd w:fill="F3EEF8" w:color="auto" w:val="clear"/>
          </w:tcPr>
          <w:p>
            <w:r>
              <w:rPr>
                <w:rFonts w:ascii="Calibri" w:cs="Calibri" w:eastAsia="Calibri" w:hAnsi="Calibri"/>
                <w:b/>
                <w:bCs/>
                <w:color w:val="5B2D8E"/>
                <w:sz w:val="18"/>
                <w:szCs w:val="18"/>
              </w:rPr>
              <w:t xml:space="preserve">ME2M</w:t>
            </w:r>
          </w:p>
        </w:tc>
        <w:tc>
          <w:tcPr>
            <w:tcW w:type="dxa" w:w="3780"/>
            <w:shd w:fill="F3EEF8" w:color="auto" w:val="clear"/>
          </w:tcPr>
          <w:p>
            <w:r>
              <w:rPr>
                <w:rFonts w:ascii="Calibri" w:cs="Calibri" w:eastAsia="Calibri" w:hAnsi="Calibri"/>
                <w:color w:val="4A4A4A"/>
                <w:sz w:val="18"/>
                <w:szCs w:val="18"/>
              </w:rPr>
              <w:t xml:space="preserve">PO by Material</w:t>
            </w:r>
          </w:p>
        </w:tc>
        <w:tc>
          <w:tcPr>
            <w:tcW w:type="dxa" w:w="3780"/>
            <w:shd w:fill="F3EEF8" w:color="auto" w:val="clear"/>
          </w:tcPr>
          <w:p>
            <w:r>
              <w:rPr>
                <w:rFonts w:ascii="Calibri" w:cs="Calibri" w:eastAsia="Calibri" w:hAnsi="Calibri"/>
                <w:color w:val="4A4A4A"/>
                <w:sz w:val="18"/>
                <w:szCs w:val="18"/>
              </w:rPr>
              <w:t xml:space="preserve">MM-PUR reporting</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2E7D32"/>
          <w:sz w:val="36"/>
          <w:szCs w:val="36"/>
        </w:rPr>
        <w:t xml:space="preserve">Sales &amp; Distribution (SD)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2E7D32" w:color="auto" w:val="clear"/>
          </w:tcPr>
          <w:p>
            <w:r>
              <w:rPr>
                <w:rFonts w:ascii="Calibri" w:cs="Calibri" w:eastAsia="Calibri" w:hAnsi="Calibri"/>
                <w:b/>
                <w:bCs/>
                <w:color w:val="FFFFFF"/>
                <w:sz w:val="18"/>
                <w:szCs w:val="18"/>
              </w:rPr>
              <w:t xml:space="preserve">T-Code</w:t>
            </w:r>
          </w:p>
        </w:tc>
        <w:tc>
          <w:tcPr>
            <w:tcW w:type="dxa" w:w="3780"/>
            <w:shd w:fill="2E7D32" w:color="auto" w:val="clear"/>
          </w:tcPr>
          <w:p>
            <w:r>
              <w:rPr>
                <w:rFonts w:ascii="Calibri" w:cs="Calibri" w:eastAsia="Calibri" w:hAnsi="Calibri"/>
                <w:b/>
                <w:bCs/>
                <w:color w:val="FFFFFF"/>
                <w:sz w:val="18"/>
                <w:szCs w:val="18"/>
              </w:rPr>
              <w:t xml:space="preserve">Description</w:t>
            </w:r>
          </w:p>
        </w:tc>
        <w:tc>
          <w:tcPr>
            <w:tcW w:type="dxa" w:w="3780"/>
            <w:shd w:fill="2E7D32" w:color="auto" w:val="clear"/>
          </w:tcPr>
          <w:p>
            <w:r>
              <w:rPr>
                <w:rFonts w:ascii="Calibri" w:cs="Calibri" w:eastAsia="Calibri" w:hAnsi="Calibri"/>
                <w:b/>
                <w:bCs/>
                <w:color w:val="FFFFFF"/>
                <w:sz w:val="18"/>
                <w:szCs w:val="18"/>
              </w:rPr>
              <w:t xml:space="preserve">Module</w:t>
            </w:r>
          </w:p>
        </w:tc>
      </w:tr>
      <w:tr>
        <w:tc>
          <w:tcPr>
            <w:tcW w:type="dxa" w:w="1800"/>
            <w:shd w:fill="F3EEF8" w:color="auto" w:val="clear"/>
          </w:tcPr>
          <w:p>
            <w:r>
              <w:rPr>
                <w:rFonts w:ascii="Calibri" w:cs="Calibri" w:eastAsia="Calibri" w:hAnsi="Calibri"/>
                <w:b/>
                <w:bCs/>
                <w:color w:val="5B2D8E"/>
                <w:sz w:val="18"/>
                <w:szCs w:val="18"/>
              </w:rPr>
              <w:t xml:space="preserve">VA01</w:t>
            </w:r>
          </w:p>
        </w:tc>
        <w:tc>
          <w:tcPr>
            <w:tcW w:type="dxa" w:w="3780"/>
            <w:shd w:fill="F3EEF8" w:color="auto" w:val="clear"/>
          </w:tcPr>
          <w:p>
            <w:r>
              <w:rPr>
                <w:rFonts w:ascii="Calibri" w:cs="Calibri" w:eastAsia="Calibri" w:hAnsi="Calibri"/>
                <w:color w:val="4A4A4A"/>
                <w:sz w:val="18"/>
                <w:szCs w:val="18"/>
              </w:rPr>
              <w:t xml:space="preserve">Create Sales Order</w:t>
            </w:r>
          </w:p>
        </w:tc>
        <w:tc>
          <w:tcPr>
            <w:tcW w:type="dxa" w:w="3780"/>
            <w:shd w:fill="F3EEF8" w:color="auto" w:val="clear"/>
          </w:tcPr>
          <w:p>
            <w:r>
              <w:rPr>
                <w:rFonts w:ascii="Calibri" w:cs="Calibri" w:eastAsia="Calibri" w:hAnsi="Calibri"/>
                <w:color w:val="4A4A4A"/>
                <w:sz w:val="18"/>
                <w:szCs w:val="18"/>
              </w:rPr>
              <w:t xml:space="preserve">SD-SLS</w:t>
            </w:r>
          </w:p>
        </w:tc>
      </w:tr>
      <w:tr>
        <w:tc>
          <w:tcPr>
            <w:tcW w:type="dxa" w:w="1800"/>
            <w:shd w:fill="FFFFFF" w:color="auto" w:val="clear"/>
          </w:tcPr>
          <w:p>
            <w:r>
              <w:rPr>
                <w:rFonts w:ascii="Calibri" w:cs="Calibri" w:eastAsia="Calibri" w:hAnsi="Calibri"/>
                <w:b/>
                <w:bCs/>
                <w:color w:val="5B2D8E"/>
                <w:sz w:val="18"/>
                <w:szCs w:val="18"/>
              </w:rPr>
              <w:t xml:space="preserve">VA02</w:t>
            </w:r>
          </w:p>
        </w:tc>
        <w:tc>
          <w:tcPr>
            <w:tcW w:type="dxa" w:w="3780"/>
            <w:shd w:fill="FFFFFF" w:color="auto" w:val="clear"/>
          </w:tcPr>
          <w:p>
            <w:r>
              <w:rPr>
                <w:rFonts w:ascii="Calibri" w:cs="Calibri" w:eastAsia="Calibri" w:hAnsi="Calibri"/>
                <w:color w:val="4A4A4A"/>
                <w:sz w:val="18"/>
                <w:szCs w:val="18"/>
              </w:rPr>
              <w:t xml:space="preserve">Change Sales Order</w:t>
            </w:r>
          </w:p>
        </w:tc>
        <w:tc>
          <w:tcPr>
            <w:tcW w:type="dxa" w:w="3780"/>
            <w:shd w:fill="FFFFFF" w:color="auto" w:val="clear"/>
          </w:tcPr>
          <w:p>
            <w:r>
              <w:rPr>
                <w:rFonts w:ascii="Calibri" w:cs="Calibri" w:eastAsia="Calibri" w:hAnsi="Calibri"/>
                <w:color w:val="4A4A4A"/>
                <w:sz w:val="18"/>
                <w:szCs w:val="18"/>
              </w:rPr>
              <w:t xml:space="preserve">SD-SLS</w:t>
            </w:r>
          </w:p>
        </w:tc>
      </w:tr>
      <w:tr>
        <w:tc>
          <w:tcPr>
            <w:tcW w:type="dxa" w:w="1800"/>
            <w:shd w:fill="F3EEF8" w:color="auto" w:val="clear"/>
          </w:tcPr>
          <w:p>
            <w:r>
              <w:rPr>
                <w:rFonts w:ascii="Calibri" w:cs="Calibri" w:eastAsia="Calibri" w:hAnsi="Calibri"/>
                <w:b/>
                <w:bCs/>
                <w:color w:val="5B2D8E"/>
                <w:sz w:val="18"/>
                <w:szCs w:val="18"/>
              </w:rPr>
              <w:t xml:space="preserve">VL01N</w:t>
            </w:r>
          </w:p>
        </w:tc>
        <w:tc>
          <w:tcPr>
            <w:tcW w:type="dxa" w:w="3780"/>
            <w:shd w:fill="F3EEF8" w:color="auto" w:val="clear"/>
          </w:tcPr>
          <w:p>
            <w:r>
              <w:rPr>
                <w:rFonts w:ascii="Calibri" w:cs="Calibri" w:eastAsia="Calibri" w:hAnsi="Calibri"/>
                <w:color w:val="4A4A4A"/>
                <w:sz w:val="18"/>
                <w:szCs w:val="18"/>
              </w:rPr>
              <w:t xml:space="preserve">Create Outbound Delivery</w:t>
            </w:r>
          </w:p>
        </w:tc>
        <w:tc>
          <w:tcPr>
            <w:tcW w:type="dxa" w:w="3780"/>
            <w:shd w:fill="F3EEF8" w:color="auto" w:val="clear"/>
          </w:tcPr>
          <w:p>
            <w:r>
              <w:rPr>
                <w:rFonts w:ascii="Calibri" w:cs="Calibri" w:eastAsia="Calibri" w:hAnsi="Calibri"/>
                <w:color w:val="4A4A4A"/>
                <w:sz w:val="18"/>
                <w:szCs w:val="18"/>
              </w:rPr>
              <w:t xml:space="preserve">SD-SHP</w:t>
            </w:r>
          </w:p>
        </w:tc>
      </w:tr>
      <w:tr>
        <w:tc>
          <w:tcPr>
            <w:tcW w:type="dxa" w:w="1800"/>
            <w:shd w:fill="FFFFFF" w:color="auto" w:val="clear"/>
          </w:tcPr>
          <w:p>
            <w:r>
              <w:rPr>
                <w:rFonts w:ascii="Calibri" w:cs="Calibri" w:eastAsia="Calibri" w:hAnsi="Calibri"/>
                <w:b/>
                <w:bCs/>
                <w:color w:val="5B2D8E"/>
                <w:sz w:val="18"/>
                <w:szCs w:val="18"/>
              </w:rPr>
              <w:t xml:space="preserve">VF01</w:t>
            </w:r>
          </w:p>
        </w:tc>
        <w:tc>
          <w:tcPr>
            <w:tcW w:type="dxa" w:w="3780"/>
            <w:shd w:fill="FFFFFF" w:color="auto" w:val="clear"/>
          </w:tcPr>
          <w:p>
            <w:r>
              <w:rPr>
                <w:rFonts w:ascii="Calibri" w:cs="Calibri" w:eastAsia="Calibri" w:hAnsi="Calibri"/>
                <w:color w:val="4A4A4A"/>
                <w:sz w:val="18"/>
                <w:szCs w:val="18"/>
              </w:rPr>
              <w:t xml:space="preserve">Create Billing Document</w:t>
            </w:r>
          </w:p>
        </w:tc>
        <w:tc>
          <w:tcPr>
            <w:tcW w:type="dxa" w:w="3780"/>
            <w:shd w:fill="FFFFFF" w:color="auto" w:val="clear"/>
          </w:tcPr>
          <w:p>
            <w:r>
              <w:rPr>
                <w:rFonts w:ascii="Calibri" w:cs="Calibri" w:eastAsia="Calibri" w:hAnsi="Calibri"/>
                <w:color w:val="4A4A4A"/>
                <w:sz w:val="18"/>
                <w:szCs w:val="18"/>
              </w:rPr>
              <w:t xml:space="preserve">SD-BIL</w:t>
            </w:r>
          </w:p>
        </w:tc>
      </w:tr>
      <w:tr>
        <w:tc>
          <w:tcPr>
            <w:tcW w:type="dxa" w:w="1800"/>
            <w:shd w:fill="F3EEF8" w:color="auto" w:val="clear"/>
          </w:tcPr>
          <w:p>
            <w:r>
              <w:rPr>
                <w:rFonts w:ascii="Calibri" w:cs="Calibri" w:eastAsia="Calibri" w:hAnsi="Calibri"/>
                <w:b/>
                <w:bCs/>
                <w:color w:val="5B2D8E"/>
                <w:sz w:val="18"/>
                <w:szCs w:val="18"/>
              </w:rPr>
              <w:t xml:space="preserve">VK11</w:t>
            </w:r>
          </w:p>
        </w:tc>
        <w:tc>
          <w:tcPr>
            <w:tcW w:type="dxa" w:w="3780"/>
            <w:shd w:fill="F3EEF8" w:color="auto" w:val="clear"/>
          </w:tcPr>
          <w:p>
            <w:r>
              <w:rPr>
                <w:rFonts w:ascii="Calibri" w:cs="Calibri" w:eastAsia="Calibri" w:hAnsi="Calibri"/>
                <w:color w:val="4A4A4A"/>
                <w:sz w:val="18"/>
                <w:szCs w:val="18"/>
              </w:rPr>
              <w:t xml:space="preserve">Create Condition Record</w:t>
            </w:r>
          </w:p>
        </w:tc>
        <w:tc>
          <w:tcPr>
            <w:tcW w:type="dxa" w:w="3780"/>
            <w:shd w:fill="F3EEF8" w:color="auto" w:val="clear"/>
          </w:tcPr>
          <w:p>
            <w:r>
              <w:rPr>
                <w:rFonts w:ascii="Calibri" w:cs="Calibri" w:eastAsia="Calibri" w:hAnsi="Calibri"/>
                <w:color w:val="4A4A4A"/>
                <w:sz w:val="18"/>
                <w:szCs w:val="18"/>
              </w:rPr>
              <w:t xml:space="preserve">SD Pricing</w:t>
            </w:r>
          </w:p>
        </w:tc>
      </w:tr>
      <w:tr>
        <w:tc>
          <w:tcPr>
            <w:tcW w:type="dxa" w:w="1800"/>
            <w:shd w:fill="FFFFFF" w:color="auto" w:val="clear"/>
          </w:tcPr>
          <w:p>
            <w:r>
              <w:rPr>
                <w:rFonts w:ascii="Calibri" w:cs="Calibri" w:eastAsia="Calibri" w:hAnsi="Calibri"/>
                <w:b/>
                <w:bCs/>
                <w:color w:val="5B2D8E"/>
                <w:sz w:val="18"/>
                <w:szCs w:val="18"/>
              </w:rPr>
              <w:t xml:space="preserve">V/04</w:t>
            </w:r>
          </w:p>
        </w:tc>
        <w:tc>
          <w:tcPr>
            <w:tcW w:type="dxa" w:w="3780"/>
            <w:shd w:fill="FFFFFF" w:color="auto" w:val="clear"/>
          </w:tcPr>
          <w:p>
            <w:r>
              <w:rPr>
                <w:rFonts w:ascii="Calibri" w:cs="Calibri" w:eastAsia="Calibri" w:hAnsi="Calibri"/>
                <w:color w:val="4A4A4A"/>
                <w:sz w:val="18"/>
                <w:szCs w:val="18"/>
              </w:rPr>
              <w:t xml:space="preserve">Pricing Analysis</w:t>
            </w:r>
          </w:p>
        </w:tc>
        <w:tc>
          <w:tcPr>
            <w:tcW w:type="dxa" w:w="3780"/>
            <w:shd w:fill="FFFFFF" w:color="auto" w:val="clear"/>
          </w:tcPr>
          <w:p>
            <w:r>
              <w:rPr>
                <w:rFonts w:ascii="Calibri" w:cs="Calibri" w:eastAsia="Calibri" w:hAnsi="Calibri"/>
                <w:color w:val="4A4A4A"/>
                <w:sz w:val="18"/>
                <w:szCs w:val="18"/>
              </w:rPr>
              <w:t xml:space="preserve">SD-BF diagnostics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5B2D8E" w:color="auto" w:val="clear"/>
          </w:tcPr>
          <w:p>
            <w:pPr>
              <w:spacing w:after="40" w:before="160"/>
            </w:pPr>
            <w:r>
              <w:rPr>
                <w:rFonts w:ascii="Calibri" w:cs="Calibri" w:eastAsia="Calibri" w:hAnsi="Calibri"/>
                <w:b/>
                <w:bCs/>
                <w:color w:val="FFFFFF"/>
                <w:sz w:val="52"/>
                <w:szCs w:val="52"/>
              </w:rPr>
              <w:t xml:space="preserve">APPENDIX B — SAP GLOSSARY</w:t>
            </w:r>
          </w:p>
          <w:p>
            <w:pPr>
              <w:spacing w:after="160" w:before="0"/>
            </w:pPr>
            <w:r>
              <w:rPr>
                <w:rFonts w:ascii="Calibri" w:cs="Calibri" w:eastAsia="Calibri" w:hAnsi="Calibri"/>
                <w:color w:val="DDDDDD"/>
                <w:sz w:val="22"/>
                <w:szCs w:val="22"/>
              </w:rPr>
              <w:t xml:space="preserve">Key Terms and Abbreviations</w:t>
            </w:r>
          </w:p>
        </w:tc>
      </w:tr>
    </w:tbl>
    <w:p>
      <w:pPr>
        <w:spacing w:after="0" w:before="0"/>
      </w:pPr>
      <w:r>
        <w:rPr>
          <w:sz w:val="100"/>
          <w:szCs w:val="10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5B2D8E" w:color="auto" w:val="clear"/>
          </w:tcPr>
          <w:p>
            <w:r>
              <w:rPr>
                <w:rFonts w:ascii="Calibri" w:cs="Calibri" w:eastAsia="Calibri" w:hAnsi="Calibri"/>
                <w:b/>
                <w:bCs/>
                <w:color w:val="FFFFFF"/>
                <w:sz w:val="20"/>
                <w:szCs w:val="20"/>
              </w:rPr>
              <w:t xml:space="preserve">Term</w:t>
            </w:r>
          </w:p>
        </w:tc>
        <w:tc>
          <w:tcPr>
            <w:tcW w:type="dxa" w:w="6660"/>
            <w:shd w:fill="5B2D8E" w:color="auto" w:val="clear"/>
          </w:tcPr>
          <w:p>
            <w:r>
              <w:rPr>
                <w:rFonts w:ascii="Calibri" w:cs="Calibri" w:eastAsia="Calibri" w:hAnsi="Calibri"/>
                <w:b/>
                <w:bCs/>
                <w:color w:val="FFFFFF"/>
                <w:sz w:val="20"/>
                <w:szCs w:val="20"/>
              </w:rPr>
              <w:t xml:space="preserve">Definition</w:t>
            </w:r>
          </w:p>
        </w:tc>
      </w:tr>
      <w:tr>
        <w:tc>
          <w:tcPr>
            <w:tcW w:type="dxa" w:w="2700"/>
            <w:shd w:fill="F3EEF8" w:color="auto" w:val="clear"/>
          </w:tcPr>
          <w:p>
            <w:r>
              <w:rPr>
                <w:rFonts w:ascii="Calibri" w:cs="Calibri" w:eastAsia="Calibri" w:hAnsi="Calibri"/>
                <w:b/>
                <w:bCs/>
                <w:color w:val="5B2D8E"/>
                <w:sz w:val="20"/>
                <w:szCs w:val="20"/>
              </w:rPr>
              <w:t xml:space="preserve">ALE</w:t>
            </w:r>
          </w:p>
        </w:tc>
        <w:tc>
          <w:tcPr>
            <w:tcW w:type="dxa" w:w="6660"/>
            <w:shd w:fill="F3EEF8" w:color="auto" w:val="clear"/>
          </w:tcPr>
          <w:p>
            <w:r>
              <w:rPr>
                <w:rFonts w:ascii="Calibri" w:cs="Calibri" w:eastAsia="Calibri" w:hAnsi="Calibri"/>
                <w:color w:val="4A4A4A"/>
                <w:sz w:val="20"/>
                <w:szCs w:val="20"/>
              </w:rPr>
              <w:t xml:space="preserve">Application Link Enabling — master data and transactional data exchange between SAP systems via IDocs</w:t>
            </w:r>
          </w:p>
        </w:tc>
      </w:tr>
      <w:tr>
        <w:tc>
          <w:tcPr>
            <w:tcW w:type="dxa" w:w="2700"/>
            <w:shd w:fill="FFFFFF" w:color="auto" w:val="clear"/>
          </w:tcPr>
          <w:p>
            <w:r>
              <w:rPr>
                <w:rFonts w:ascii="Calibri" w:cs="Calibri" w:eastAsia="Calibri" w:hAnsi="Calibri"/>
                <w:b/>
                <w:bCs/>
                <w:color w:val="5B2D8E"/>
                <w:sz w:val="20"/>
                <w:szCs w:val="20"/>
              </w:rPr>
              <w:t xml:space="preserve">BAPI</w:t>
            </w:r>
          </w:p>
        </w:tc>
        <w:tc>
          <w:tcPr>
            <w:tcW w:type="dxa" w:w="6660"/>
            <w:shd w:fill="FFFFFF" w:color="auto" w:val="clear"/>
          </w:tcPr>
          <w:p>
            <w:r>
              <w:rPr>
                <w:rFonts w:ascii="Calibri" w:cs="Calibri" w:eastAsia="Calibri" w:hAnsi="Calibri"/>
                <w:color w:val="4A4A4A"/>
                <w:sz w:val="20"/>
                <w:szCs w:val="20"/>
              </w:rPr>
              <w:t xml:space="preserve">Business Application Programming Interface — standard SAP function module for external integration</w:t>
            </w:r>
          </w:p>
        </w:tc>
      </w:tr>
      <w:tr>
        <w:tc>
          <w:tcPr>
            <w:tcW w:type="dxa" w:w="2700"/>
            <w:shd w:fill="F3EEF8" w:color="auto" w:val="clear"/>
          </w:tcPr>
          <w:p>
            <w:r>
              <w:rPr>
                <w:rFonts w:ascii="Calibri" w:cs="Calibri" w:eastAsia="Calibri" w:hAnsi="Calibri"/>
                <w:b/>
                <w:bCs/>
                <w:color w:val="5B2D8E"/>
                <w:sz w:val="20"/>
                <w:szCs w:val="20"/>
              </w:rPr>
              <w:t xml:space="preserve">BEx</w:t>
            </w:r>
          </w:p>
        </w:tc>
        <w:tc>
          <w:tcPr>
            <w:tcW w:type="dxa" w:w="6660"/>
            <w:shd w:fill="F3EEF8" w:color="auto" w:val="clear"/>
          </w:tcPr>
          <w:p>
            <w:r>
              <w:rPr>
                <w:rFonts w:ascii="Calibri" w:cs="Calibri" w:eastAsia="Calibri" w:hAnsi="Calibri"/>
                <w:color w:val="4A4A4A"/>
                <w:sz w:val="20"/>
                <w:szCs w:val="20"/>
              </w:rPr>
              <w:t xml:space="preserve">Business Explorer — SAP BW reporting tool; BEx Analyzer runs in Excel; BEx Query Designer</w:t>
            </w:r>
          </w:p>
        </w:tc>
      </w:tr>
      <w:tr>
        <w:tc>
          <w:tcPr>
            <w:tcW w:type="dxa" w:w="2700"/>
            <w:shd w:fill="FFFFFF" w:color="auto" w:val="clear"/>
          </w:tcPr>
          <w:p>
            <w:r>
              <w:rPr>
                <w:rFonts w:ascii="Calibri" w:cs="Calibri" w:eastAsia="Calibri" w:hAnsi="Calibri"/>
                <w:b/>
                <w:bCs/>
                <w:color w:val="5B2D8E"/>
                <w:sz w:val="20"/>
                <w:szCs w:val="20"/>
              </w:rPr>
              <w:t xml:space="preserve">CDS</w:t>
            </w:r>
          </w:p>
        </w:tc>
        <w:tc>
          <w:tcPr>
            <w:tcW w:type="dxa" w:w="6660"/>
            <w:shd w:fill="FFFFFF" w:color="auto" w:val="clear"/>
          </w:tcPr>
          <w:p>
            <w:r>
              <w:rPr>
                <w:rFonts w:ascii="Calibri" w:cs="Calibri" w:eastAsia="Calibri" w:hAnsi="Calibri"/>
                <w:color w:val="4A4A4A"/>
                <w:sz w:val="20"/>
                <w:szCs w:val="20"/>
              </w:rPr>
              <w:t xml:space="preserve">Core Data Services — SQL-based data modeling in SAP ABAP; foundation for Fiori and analytics</w:t>
            </w:r>
          </w:p>
        </w:tc>
      </w:tr>
      <w:tr>
        <w:tc>
          <w:tcPr>
            <w:tcW w:type="dxa" w:w="2700"/>
            <w:shd w:fill="F3EEF8" w:color="auto" w:val="clear"/>
          </w:tcPr>
          <w:p>
            <w:r>
              <w:rPr>
                <w:rFonts w:ascii="Calibri" w:cs="Calibri" w:eastAsia="Calibri" w:hAnsi="Calibri"/>
                <w:b/>
                <w:bCs/>
                <w:color w:val="5B2D8E"/>
                <w:sz w:val="20"/>
                <w:szCs w:val="20"/>
              </w:rPr>
              <w:t xml:space="preserve">CTS</w:t>
            </w:r>
          </w:p>
        </w:tc>
        <w:tc>
          <w:tcPr>
            <w:tcW w:type="dxa" w:w="6660"/>
            <w:shd w:fill="F3EEF8" w:color="auto" w:val="clear"/>
          </w:tcPr>
          <w:p>
            <w:r>
              <w:rPr>
                <w:rFonts w:ascii="Calibri" w:cs="Calibri" w:eastAsia="Calibri" w:hAnsi="Calibri"/>
                <w:color w:val="4A4A4A"/>
                <w:sz w:val="20"/>
                <w:szCs w:val="20"/>
              </w:rPr>
              <w:t xml:space="preserve">Change and Transport System — moves development and configuration between SAP landscapes</w:t>
            </w:r>
          </w:p>
        </w:tc>
      </w:tr>
      <w:tr>
        <w:tc>
          <w:tcPr>
            <w:tcW w:type="dxa" w:w="2700"/>
            <w:shd w:fill="FFFFFF" w:color="auto" w:val="clear"/>
          </w:tcPr>
          <w:p>
            <w:r>
              <w:rPr>
                <w:rFonts w:ascii="Calibri" w:cs="Calibri" w:eastAsia="Calibri" w:hAnsi="Calibri"/>
                <w:b/>
                <w:bCs/>
                <w:color w:val="5B2D8E"/>
                <w:sz w:val="20"/>
                <w:szCs w:val="20"/>
              </w:rPr>
              <w:t xml:space="preserve">ECC</w:t>
            </w:r>
          </w:p>
        </w:tc>
        <w:tc>
          <w:tcPr>
            <w:tcW w:type="dxa" w:w="6660"/>
            <w:shd w:fill="FFFFFF" w:color="auto" w:val="clear"/>
          </w:tcPr>
          <w:p>
            <w:r>
              <w:rPr>
                <w:rFonts w:ascii="Calibri" w:cs="Calibri" w:eastAsia="Calibri" w:hAnsi="Calibri"/>
                <w:color w:val="4A4A4A"/>
                <w:sz w:val="20"/>
                <w:szCs w:val="20"/>
              </w:rPr>
              <w:t xml:space="preserve">ERP Central Component — legacy SAP ERP system (predecessor to S/4HANA)</w:t>
            </w:r>
          </w:p>
        </w:tc>
      </w:tr>
      <w:tr>
        <w:tc>
          <w:tcPr>
            <w:tcW w:type="dxa" w:w="2700"/>
            <w:shd w:fill="F3EEF8" w:color="auto" w:val="clear"/>
          </w:tcPr>
          <w:p>
            <w:r>
              <w:rPr>
                <w:rFonts w:ascii="Calibri" w:cs="Calibri" w:eastAsia="Calibri" w:hAnsi="Calibri"/>
                <w:b/>
                <w:bCs/>
                <w:color w:val="5B2D8E"/>
                <w:sz w:val="20"/>
                <w:szCs w:val="20"/>
              </w:rPr>
              <w:t xml:space="preserve">HANA</w:t>
            </w:r>
          </w:p>
        </w:tc>
        <w:tc>
          <w:tcPr>
            <w:tcW w:type="dxa" w:w="6660"/>
            <w:shd w:fill="F3EEF8" w:color="auto" w:val="clear"/>
          </w:tcPr>
          <w:p>
            <w:r>
              <w:rPr>
                <w:rFonts w:ascii="Calibri" w:cs="Calibri" w:eastAsia="Calibri" w:hAnsi="Calibri"/>
                <w:color w:val="4A4A4A"/>
                <w:sz w:val="20"/>
                <w:szCs w:val="20"/>
              </w:rPr>
              <w:t xml:space="preserve">High-performance ANalytic Appliance — SAP's in-memory database platform</w:t>
            </w:r>
          </w:p>
        </w:tc>
      </w:tr>
      <w:tr>
        <w:tc>
          <w:tcPr>
            <w:tcW w:type="dxa" w:w="2700"/>
            <w:shd w:fill="FFFFFF" w:color="auto" w:val="clear"/>
          </w:tcPr>
          <w:p>
            <w:r>
              <w:rPr>
                <w:rFonts w:ascii="Calibri" w:cs="Calibri" w:eastAsia="Calibri" w:hAnsi="Calibri"/>
                <w:b/>
                <w:bCs/>
                <w:color w:val="5B2D8E"/>
                <w:sz w:val="20"/>
                <w:szCs w:val="20"/>
              </w:rPr>
              <w:t xml:space="preserve">IDoc</w:t>
            </w:r>
          </w:p>
        </w:tc>
        <w:tc>
          <w:tcPr>
            <w:tcW w:type="dxa" w:w="6660"/>
            <w:shd w:fill="FFFFFF" w:color="auto" w:val="clear"/>
          </w:tcPr>
          <w:p>
            <w:r>
              <w:rPr>
                <w:rFonts w:ascii="Calibri" w:cs="Calibri" w:eastAsia="Calibri" w:hAnsi="Calibri"/>
                <w:color w:val="4A4A4A"/>
                <w:sz w:val="20"/>
                <w:szCs w:val="20"/>
              </w:rPr>
              <w:t xml:space="preserve">Intermediate Document — SAP's standard data exchange format for EDI and ALE integrations</w:t>
            </w:r>
          </w:p>
        </w:tc>
      </w:tr>
      <w:tr>
        <w:tc>
          <w:tcPr>
            <w:tcW w:type="dxa" w:w="2700"/>
            <w:shd w:fill="F3EEF8" w:color="auto" w:val="clear"/>
          </w:tcPr>
          <w:p>
            <w:r>
              <w:rPr>
                <w:rFonts w:ascii="Calibri" w:cs="Calibri" w:eastAsia="Calibri" w:hAnsi="Calibri"/>
                <w:b/>
                <w:bCs/>
                <w:color w:val="5B2D8E"/>
                <w:sz w:val="20"/>
                <w:szCs w:val="20"/>
              </w:rPr>
              <w:t xml:space="preserve">IMG</w:t>
            </w:r>
          </w:p>
        </w:tc>
        <w:tc>
          <w:tcPr>
            <w:tcW w:type="dxa" w:w="6660"/>
            <w:shd w:fill="F3EEF8" w:color="auto" w:val="clear"/>
          </w:tcPr>
          <w:p>
            <w:r>
              <w:rPr>
                <w:rFonts w:ascii="Calibri" w:cs="Calibri" w:eastAsia="Calibri" w:hAnsi="Calibri"/>
                <w:color w:val="4A4A4A"/>
                <w:sz w:val="20"/>
                <w:szCs w:val="20"/>
              </w:rPr>
              <w:t xml:space="preserve">Implementation Guide — configuration menu accessed via SPRO; organizes all Customizing activities</w:t>
            </w:r>
          </w:p>
        </w:tc>
      </w:tr>
      <w:tr>
        <w:tc>
          <w:tcPr>
            <w:tcW w:type="dxa" w:w="2700"/>
            <w:shd w:fill="FFFFFF" w:color="auto" w:val="clear"/>
          </w:tcPr>
          <w:p>
            <w:r>
              <w:rPr>
                <w:rFonts w:ascii="Calibri" w:cs="Calibri" w:eastAsia="Calibri" w:hAnsi="Calibri"/>
                <w:b/>
                <w:bCs/>
                <w:color w:val="5B2D8E"/>
                <w:sz w:val="20"/>
                <w:szCs w:val="20"/>
              </w:rPr>
              <w:t xml:space="preserve">MRP</w:t>
            </w:r>
          </w:p>
        </w:tc>
        <w:tc>
          <w:tcPr>
            <w:tcW w:type="dxa" w:w="6660"/>
            <w:shd w:fill="FFFFFF" w:color="auto" w:val="clear"/>
          </w:tcPr>
          <w:p>
            <w:r>
              <w:rPr>
                <w:rFonts w:ascii="Calibri" w:cs="Calibri" w:eastAsia="Calibri" w:hAnsi="Calibri"/>
                <w:color w:val="4A4A4A"/>
                <w:sz w:val="20"/>
                <w:szCs w:val="20"/>
              </w:rPr>
              <w:t xml:space="preserve">Material Requirements Planning — automated calculation of material needs from demand signals</w:t>
            </w:r>
          </w:p>
        </w:tc>
      </w:tr>
      <w:tr>
        <w:tc>
          <w:tcPr>
            <w:tcW w:type="dxa" w:w="2700"/>
            <w:shd w:fill="F3EEF8" w:color="auto" w:val="clear"/>
          </w:tcPr>
          <w:p>
            <w:r>
              <w:rPr>
                <w:rFonts w:ascii="Calibri" w:cs="Calibri" w:eastAsia="Calibri" w:hAnsi="Calibri"/>
                <w:b/>
                <w:bCs/>
                <w:color w:val="5B2D8E"/>
                <w:sz w:val="20"/>
                <w:szCs w:val="20"/>
              </w:rPr>
              <w:t xml:space="preserve">OData</w:t>
            </w:r>
          </w:p>
        </w:tc>
        <w:tc>
          <w:tcPr>
            <w:tcW w:type="dxa" w:w="6660"/>
            <w:shd w:fill="F3EEF8" w:color="auto" w:val="clear"/>
          </w:tcPr>
          <w:p>
            <w:r>
              <w:rPr>
                <w:rFonts w:ascii="Calibri" w:cs="Calibri" w:eastAsia="Calibri" w:hAnsi="Calibri"/>
                <w:color w:val="4A4A4A"/>
                <w:sz w:val="20"/>
                <w:szCs w:val="20"/>
              </w:rPr>
              <w:t xml:space="preserve">Open Data Protocol — REST-based protocol for exposing SAP data; used by Fiori apps</w:t>
            </w:r>
          </w:p>
        </w:tc>
      </w:tr>
      <w:tr>
        <w:tc>
          <w:tcPr>
            <w:tcW w:type="dxa" w:w="2700"/>
            <w:shd w:fill="FFFFFF" w:color="auto" w:val="clear"/>
          </w:tcPr>
          <w:p>
            <w:r>
              <w:rPr>
                <w:rFonts w:ascii="Calibri" w:cs="Calibri" w:eastAsia="Calibri" w:hAnsi="Calibri"/>
                <w:b/>
                <w:bCs/>
                <w:color w:val="5B2D8E"/>
                <w:sz w:val="20"/>
                <w:szCs w:val="20"/>
              </w:rPr>
              <w:t xml:space="preserve">RFC</w:t>
            </w:r>
          </w:p>
        </w:tc>
        <w:tc>
          <w:tcPr>
            <w:tcW w:type="dxa" w:w="6660"/>
            <w:shd w:fill="FFFFFF" w:color="auto" w:val="clear"/>
          </w:tcPr>
          <w:p>
            <w:r>
              <w:rPr>
                <w:rFonts w:ascii="Calibri" w:cs="Calibri" w:eastAsia="Calibri" w:hAnsi="Calibri"/>
                <w:color w:val="4A4A4A"/>
                <w:sz w:val="20"/>
                <w:szCs w:val="20"/>
              </w:rPr>
              <w:t xml:space="preserve">Remote Function Call — SAP protocol for calling function modules across systems</w:t>
            </w:r>
          </w:p>
        </w:tc>
      </w:tr>
      <w:tr>
        <w:tc>
          <w:tcPr>
            <w:tcW w:type="dxa" w:w="2700"/>
            <w:shd w:fill="F3EEF8" w:color="auto" w:val="clear"/>
          </w:tcPr>
          <w:p>
            <w:r>
              <w:rPr>
                <w:rFonts w:ascii="Calibri" w:cs="Calibri" w:eastAsia="Calibri" w:hAnsi="Calibri"/>
                <w:b/>
                <w:bCs/>
                <w:color w:val="5B2D8E"/>
                <w:sz w:val="20"/>
                <w:szCs w:val="20"/>
              </w:rPr>
              <w:t xml:space="preserve">SoD</w:t>
            </w:r>
          </w:p>
        </w:tc>
        <w:tc>
          <w:tcPr>
            <w:tcW w:type="dxa" w:w="6660"/>
            <w:shd w:fill="F3EEF8" w:color="auto" w:val="clear"/>
          </w:tcPr>
          <w:p>
            <w:r>
              <w:rPr>
                <w:rFonts w:ascii="Calibri" w:cs="Calibri" w:eastAsia="Calibri" w:hAnsi="Calibri"/>
                <w:color w:val="4A4A4A"/>
                <w:sz w:val="20"/>
                <w:szCs w:val="20"/>
              </w:rPr>
              <w:t xml:space="preserve">Segregation of Duties — control principle preventing one person from having conflicting access</w:t>
            </w:r>
          </w:p>
        </w:tc>
      </w:tr>
      <w:tr>
        <w:tc>
          <w:tcPr>
            <w:tcW w:type="dxa" w:w="2700"/>
            <w:shd w:fill="FFFFFF" w:color="auto" w:val="clear"/>
          </w:tcPr>
          <w:p>
            <w:r>
              <w:rPr>
                <w:rFonts w:ascii="Calibri" w:cs="Calibri" w:eastAsia="Calibri" w:hAnsi="Calibri"/>
                <w:b/>
                <w:bCs/>
                <w:color w:val="5B2D8E"/>
                <w:sz w:val="20"/>
                <w:szCs w:val="20"/>
              </w:rPr>
              <w:t xml:space="preserve">SPRO</w:t>
            </w:r>
          </w:p>
        </w:tc>
        <w:tc>
          <w:tcPr>
            <w:tcW w:type="dxa" w:w="6660"/>
            <w:shd w:fill="FFFFFF" w:color="auto" w:val="clear"/>
          </w:tcPr>
          <w:p>
            <w:r>
              <w:rPr>
                <w:rFonts w:ascii="Calibri" w:cs="Calibri" w:eastAsia="Calibri" w:hAnsi="Calibri"/>
                <w:color w:val="4A4A4A"/>
                <w:sz w:val="20"/>
                <w:szCs w:val="20"/>
              </w:rPr>
              <w:t xml:space="preserve">SAP Project Reference Object — transaction to access the Implementation Guide (Customizing)</w:t>
            </w:r>
          </w:p>
        </w:tc>
      </w:tr>
      <w:tr>
        <w:tc>
          <w:tcPr>
            <w:tcW w:type="dxa" w:w="2700"/>
            <w:shd w:fill="F3EEF8" w:color="auto" w:val="clear"/>
          </w:tcPr>
          <w:p>
            <w:r>
              <w:rPr>
                <w:rFonts w:ascii="Calibri" w:cs="Calibri" w:eastAsia="Calibri" w:hAnsi="Calibri"/>
                <w:b/>
                <w:bCs/>
                <w:color w:val="5B2D8E"/>
                <w:sz w:val="20"/>
                <w:szCs w:val="20"/>
              </w:rPr>
              <w:t xml:space="preserve">STMS</w:t>
            </w:r>
          </w:p>
        </w:tc>
        <w:tc>
          <w:tcPr>
            <w:tcW w:type="dxa" w:w="6660"/>
            <w:shd w:fill="F3EEF8" w:color="auto" w:val="clear"/>
          </w:tcPr>
          <w:p>
            <w:r>
              <w:rPr>
                <w:rFonts w:ascii="Calibri" w:cs="Calibri" w:eastAsia="Calibri" w:hAnsi="Calibri"/>
                <w:color w:val="4A4A4A"/>
                <w:sz w:val="20"/>
                <w:szCs w:val="20"/>
              </w:rPr>
              <w:t xml:space="preserve">SAP Transport Management System — manages transport routes and import queues across landscape</w:t>
            </w:r>
          </w:p>
        </w:tc>
      </w:tr>
      <w:tr>
        <w:tc>
          <w:tcPr>
            <w:tcW w:type="dxa" w:w="2700"/>
            <w:shd w:fill="FFFFFF" w:color="auto" w:val="clear"/>
          </w:tcPr>
          <w:p>
            <w:r>
              <w:rPr>
                <w:rFonts w:ascii="Calibri" w:cs="Calibri" w:eastAsia="Calibri" w:hAnsi="Calibri"/>
                <w:b/>
                <w:bCs/>
                <w:color w:val="5B2D8E"/>
                <w:sz w:val="20"/>
                <w:szCs w:val="20"/>
              </w:rPr>
              <w:t xml:space="preserve">WBS</w:t>
            </w:r>
          </w:p>
        </w:tc>
        <w:tc>
          <w:tcPr>
            <w:tcW w:type="dxa" w:w="6660"/>
            <w:shd w:fill="FFFFFF" w:color="auto" w:val="clear"/>
          </w:tcPr>
          <w:p>
            <w:r>
              <w:rPr>
                <w:rFonts w:ascii="Calibri" w:cs="Calibri" w:eastAsia="Calibri" w:hAnsi="Calibri"/>
                <w:color w:val="4A4A4A"/>
                <w:sz w:val="20"/>
                <w:szCs w:val="20"/>
              </w:rPr>
              <w:t xml:space="preserve">Work Breakdown Structure — hierarchical project structure element used in PS (Project Systems) and CO</w:t>
            </w:r>
          </w:p>
        </w:tc>
      </w:tr>
      <w:tr>
        <w:tc>
          <w:tcPr>
            <w:tcW w:type="dxa" w:w="2700"/>
            <w:shd w:fill="F3EEF8" w:color="auto" w:val="clear"/>
          </w:tcPr>
          <w:p>
            <w:r>
              <w:rPr>
                <w:rFonts w:ascii="Calibri" w:cs="Calibri" w:eastAsia="Calibri" w:hAnsi="Calibri"/>
                <w:b/>
                <w:bCs/>
                <w:color w:val="5B2D8E"/>
                <w:sz w:val="20"/>
                <w:szCs w:val="20"/>
              </w:rPr>
              <w:t xml:space="preserve">Workflow</w:t>
            </w:r>
          </w:p>
        </w:tc>
        <w:tc>
          <w:tcPr>
            <w:tcW w:type="dxa" w:w="6660"/>
            <w:shd w:fill="F3EEF8" w:color="auto" w:val="clear"/>
          </w:tcPr>
          <w:p>
            <w:r>
              <w:rPr>
                <w:rFonts w:ascii="Calibri" w:cs="Calibri" w:eastAsia="Calibri" w:hAnsi="Calibri"/>
                <w:color w:val="4A4A4A"/>
                <w:sz w:val="20"/>
                <w:szCs w:val="20"/>
              </w:rPr>
              <w:t xml:space="preserve">SAP Business Workflow (SWI1) — automates business processes with approvals, routing, notifications</w:t>
            </w:r>
          </w:p>
        </w:tc>
      </w:tr>
      <w:tr>
        <w:tc>
          <w:tcPr>
            <w:tcW w:type="dxa" w:w="2700"/>
            <w:shd w:fill="FFFFFF" w:color="auto" w:val="clear"/>
          </w:tcPr>
          <w:p>
            <w:r>
              <w:rPr>
                <w:rFonts w:ascii="Calibri" w:cs="Calibri" w:eastAsia="Calibri" w:hAnsi="Calibri"/>
                <w:b/>
                <w:bCs/>
                <w:color w:val="5B2D8E"/>
                <w:sz w:val="20"/>
                <w:szCs w:val="20"/>
              </w:rPr>
              <w:t xml:space="preserve">XSUAA</w:t>
            </w:r>
          </w:p>
        </w:tc>
        <w:tc>
          <w:tcPr>
            <w:tcW w:type="dxa" w:w="6660"/>
            <w:shd w:fill="FFFFFF" w:color="auto" w:val="clear"/>
          </w:tcPr>
          <w:p>
            <w:r>
              <w:rPr>
                <w:rFonts w:ascii="Calibri" w:cs="Calibri" w:eastAsia="Calibri" w:hAnsi="Calibri"/>
                <w:color w:val="4A4A4A"/>
                <w:sz w:val="20"/>
                <w:szCs w:val="20"/>
              </w:rPr>
              <w:t xml:space="preserve">Extended Services — User Account and Authentication; OAuth 2.0 service on SAP BTP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A1A2E" w:color="auto" w:val="clear"/>
          </w:tcPr>
          <w:p>
            <w:pPr>
              <w:spacing w:after="40" w:before="160"/>
            </w:pPr>
            <w:r>
              <w:rPr>
                <w:rFonts w:ascii="Calibri" w:cs="Calibri" w:eastAsia="Calibri" w:hAnsi="Calibri"/>
                <w:b/>
                <w:bCs/>
                <w:color w:val="FFFFFF"/>
                <w:sz w:val="52"/>
                <w:szCs w:val="52"/>
              </w:rPr>
              <w:t xml:space="preserve">APPENDIX C — QUICK REFERENCE TABLES</w:t>
            </w:r>
          </w:p>
          <w:p>
            <w:pPr>
              <w:spacing w:after="160" w:before="0"/>
            </w:pPr>
            <w:r>
              <w:rPr>
                <w:rFonts w:ascii="Calibri" w:cs="Calibri" w:eastAsia="Calibri" w:hAnsi="Calibri"/>
                <w:color w:val="DDDDDD"/>
                <w:sz w:val="22"/>
                <w:szCs w:val="22"/>
              </w:rPr>
              <w:t xml:space="preserve">Configuration &amp; Key Parameters</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5B2D8E"/>
          <w:sz w:val="36"/>
          <w:szCs w:val="36"/>
        </w:rPr>
        <w:t xml:space="preserve">SAP Number Ranges — Key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00"/>
            <w:shd w:fill="1A1A2E" w:color="auto" w:val="clear"/>
          </w:tcPr>
          <w:p>
            <w:r>
              <w:rPr>
                <w:rFonts w:ascii="Calibri" w:cs="Calibri" w:eastAsia="Calibri" w:hAnsi="Calibri"/>
                <w:b/>
                <w:bCs/>
                <w:color w:val="FFFFFF"/>
                <w:sz w:val="20"/>
                <w:szCs w:val="20"/>
              </w:rPr>
              <w:t xml:space="preserve">Object</w:t>
            </w:r>
          </w:p>
        </w:tc>
        <w:tc>
          <w:tcPr>
            <w:tcW w:type="dxa" w:w="6660"/>
            <w:shd w:fill="1A1A2E" w:color="auto" w:val="clear"/>
          </w:tcPr>
          <w:p>
            <w:r>
              <w:rPr>
                <w:rFonts w:ascii="Calibri" w:cs="Calibri" w:eastAsia="Calibri" w:hAnsi="Calibri"/>
                <w:b/>
                <w:bCs/>
                <w:color w:val="FFFFFF"/>
                <w:sz w:val="20"/>
                <w:szCs w:val="20"/>
              </w:rPr>
              <w:t xml:space="preserve">Number Range / Notes</w:t>
            </w:r>
          </w:p>
        </w:tc>
      </w:tr>
      <w:tr>
        <w:tc>
          <w:tcPr>
            <w:tcW w:type="dxa" w:w="2700"/>
            <w:shd w:fill="F3EEF8" w:color="auto" w:val="clear"/>
          </w:tcPr>
          <w:p>
            <w:r>
              <w:rPr>
                <w:rFonts w:ascii="Calibri" w:cs="Calibri" w:eastAsia="Calibri" w:hAnsi="Calibri"/>
                <w:b/>
                <w:bCs/>
                <w:color w:val="5B2D8E"/>
                <w:sz w:val="20"/>
                <w:szCs w:val="20"/>
              </w:rPr>
              <w:t xml:space="preserve">Company Code</w:t>
            </w:r>
          </w:p>
        </w:tc>
        <w:tc>
          <w:tcPr>
            <w:tcW w:type="dxa" w:w="6660"/>
            <w:shd w:fill="F3EEF8" w:color="auto" w:val="clear"/>
          </w:tcPr>
          <w:p>
            <w:r>
              <w:rPr>
                <w:rFonts w:ascii="Calibri" w:cs="Calibri" w:eastAsia="Calibri" w:hAnsi="Calibri"/>
                <w:color w:val="4A4A4A"/>
                <w:sz w:val="20"/>
                <w:szCs w:val="20"/>
              </w:rPr>
              <w:t xml:space="preserve">4-character alphanumeric (e.g., 1000, US01, DE01)</w:t>
            </w:r>
          </w:p>
        </w:tc>
      </w:tr>
      <w:tr>
        <w:tc>
          <w:tcPr>
            <w:tcW w:type="dxa" w:w="2700"/>
            <w:shd w:fill="FFFFFF" w:color="auto" w:val="clear"/>
          </w:tcPr>
          <w:p>
            <w:r>
              <w:rPr>
                <w:rFonts w:ascii="Calibri" w:cs="Calibri" w:eastAsia="Calibri" w:hAnsi="Calibri"/>
                <w:b/>
                <w:bCs/>
                <w:color w:val="5B2D8E"/>
                <w:sz w:val="20"/>
                <w:szCs w:val="20"/>
              </w:rPr>
              <w:t xml:space="preserve">Chart of Accounts</w:t>
            </w:r>
          </w:p>
        </w:tc>
        <w:tc>
          <w:tcPr>
            <w:tcW w:type="dxa" w:w="6660"/>
            <w:shd w:fill="FFFFFF" w:color="auto" w:val="clear"/>
          </w:tcPr>
          <w:p>
            <w:r>
              <w:rPr>
                <w:rFonts w:ascii="Calibri" w:cs="Calibri" w:eastAsia="Calibri" w:hAnsi="Calibri"/>
                <w:color w:val="4A4A4A"/>
                <w:sz w:val="20"/>
                <w:szCs w:val="20"/>
              </w:rPr>
              <w:t xml:space="preserve">4-character (e.g., INT, CAUS, CA01)</w:t>
            </w:r>
          </w:p>
        </w:tc>
      </w:tr>
      <w:tr>
        <w:tc>
          <w:tcPr>
            <w:tcW w:type="dxa" w:w="2700"/>
            <w:shd w:fill="F3EEF8" w:color="auto" w:val="clear"/>
          </w:tcPr>
          <w:p>
            <w:r>
              <w:rPr>
                <w:rFonts w:ascii="Calibri" w:cs="Calibri" w:eastAsia="Calibri" w:hAnsi="Calibri"/>
                <w:b/>
                <w:bCs/>
                <w:color w:val="5B2D8E"/>
                <w:sz w:val="20"/>
                <w:szCs w:val="20"/>
              </w:rPr>
              <w:t xml:space="preserve">FI Document Number</w:t>
            </w:r>
          </w:p>
        </w:tc>
        <w:tc>
          <w:tcPr>
            <w:tcW w:type="dxa" w:w="6660"/>
            <w:shd w:fill="F3EEF8" w:color="auto" w:val="clear"/>
          </w:tcPr>
          <w:p>
            <w:r>
              <w:rPr>
                <w:rFonts w:ascii="Calibri" w:cs="Calibri" w:eastAsia="Calibri" w:hAnsi="Calibri"/>
                <w:color w:val="4A4A4A"/>
                <w:sz w:val="20"/>
                <w:szCs w:val="20"/>
              </w:rPr>
              <w:t xml:space="preserve">10-digit number range per company code/year; configured in FBN1</w:t>
            </w:r>
          </w:p>
        </w:tc>
      </w:tr>
      <w:tr>
        <w:tc>
          <w:tcPr>
            <w:tcW w:type="dxa" w:w="2700"/>
            <w:shd w:fill="FFFFFF" w:color="auto" w:val="clear"/>
          </w:tcPr>
          <w:p>
            <w:r>
              <w:rPr>
                <w:rFonts w:ascii="Calibri" w:cs="Calibri" w:eastAsia="Calibri" w:hAnsi="Calibri"/>
                <w:b/>
                <w:bCs/>
                <w:color w:val="5B2D8E"/>
                <w:sz w:val="20"/>
                <w:szCs w:val="20"/>
              </w:rPr>
              <w:t xml:space="preserve">Material Number</w:t>
            </w:r>
          </w:p>
        </w:tc>
        <w:tc>
          <w:tcPr>
            <w:tcW w:type="dxa" w:w="6660"/>
            <w:shd w:fill="FFFFFF" w:color="auto" w:val="clear"/>
          </w:tcPr>
          <w:p>
            <w:r>
              <w:rPr>
                <w:rFonts w:ascii="Calibri" w:cs="Calibri" w:eastAsia="Calibri" w:hAnsi="Calibri"/>
                <w:color w:val="4A4A4A"/>
                <w:sz w:val="20"/>
                <w:szCs w:val="20"/>
              </w:rPr>
              <w:t xml:space="preserve">Up to 18 characters; internal or external number assignment configured in MM</w:t>
            </w:r>
          </w:p>
        </w:tc>
      </w:tr>
      <w:tr>
        <w:tc>
          <w:tcPr>
            <w:tcW w:type="dxa" w:w="2700"/>
            <w:shd w:fill="F3EEF8" w:color="auto" w:val="clear"/>
          </w:tcPr>
          <w:p>
            <w:r>
              <w:rPr>
                <w:rFonts w:ascii="Calibri" w:cs="Calibri" w:eastAsia="Calibri" w:hAnsi="Calibri"/>
                <w:b/>
                <w:bCs/>
                <w:color w:val="5B2D8E"/>
                <w:sz w:val="20"/>
                <w:szCs w:val="20"/>
              </w:rPr>
              <w:t xml:space="preserve">Purchase Order</w:t>
            </w:r>
          </w:p>
        </w:tc>
        <w:tc>
          <w:tcPr>
            <w:tcW w:type="dxa" w:w="6660"/>
            <w:shd w:fill="F3EEF8" w:color="auto" w:val="clear"/>
          </w:tcPr>
          <w:p>
            <w:r>
              <w:rPr>
                <w:rFonts w:ascii="Calibri" w:cs="Calibri" w:eastAsia="Calibri" w:hAnsi="Calibri"/>
                <w:color w:val="4A4A4A"/>
                <w:sz w:val="20"/>
                <w:szCs w:val="20"/>
              </w:rPr>
              <w:t xml:space="preserve">10-digit; ranges 4500000000-4999999999 = standard; 6000000000+ = framework orders</w:t>
            </w:r>
          </w:p>
        </w:tc>
      </w:tr>
      <w:tr>
        <w:tc>
          <w:tcPr>
            <w:tcW w:type="dxa" w:w="2700"/>
            <w:shd w:fill="FFFFFF" w:color="auto" w:val="clear"/>
          </w:tcPr>
          <w:p>
            <w:r>
              <w:rPr>
                <w:rFonts w:ascii="Calibri" w:cs="Calibri" w:eastAsia="Calibri" w:hAnsi="Calibri"/>
                <w:b/>
                <w:bCs/>
                <w:color w:val="5B2D8E"/>
                <w:sz w:val="20"/>
                <w:szCs w:val="20"/>
              </w:rPr>
              <w:t xml:space="preserve">Sales Order</w:t>
            </w:r>
          </w:p>
        </w:tc>
        <w:tc>
          <w:tcPr>
            <w:tcW w:type="dxa" w:w="6660"/>
            <w:shd w:fill="FFFFFF" w:color="auto" w:val="clear"/>
          </w:tcPr>
          <w:p>
            <w:r>
              <w:rPr>
                <w:rFonts w:ascii="Calibri" w:cs="Calibri" w:eastAsia="Calibri" w:hAnsi="Calibri"/>
                <w:color w:val="4A4A4A"/>
                <w:sz w:val="20"/>
                <w:szCs w:val="20"/>
              </w:rPr>
              <w:t xml:space="preserve">10-digit; ranges 10-14 = standard; 20-24 = rush; varies by configuration</w:t>
            </w:r>
          </w:p>
        </w:tc>
      </w:tr>
      <w:tr>
        <w:tc>
          <w:tcPr>
            <w:tcW w:type="dxa" w:w="2700"/>
            <w:shd w:fill="F3EEF8" w:color="auto" w:val="clear"/>
          </w:tcPr>
          <w:p>
            <w:r>
              <w:rPr>
                <w:rFonts w:ascii="Calibri" w:cs="Calibri" w:eastAsia="Calibri" w:hAnsi="Calibri"/>
                <w:b/>
                <w:bCs/>
                <w:color w:val="5B2D8E"/>
                <w:sz w:val="20"/>
                <w:szCs w:val="20"/>
              </w:rPr>
              <w:t xml:space="preserve">Cost Center</w:t>
            </w:r>
          </w:p>
        </w:tc>
        <w:tc>
          <w:tcPr>
            <w:tcW w:type="dxa" w:w="6660"/>
            <w:shd w:fill="F3EEF8" w:color="auto" w:val="clear"/>
          </w:tcPr>
          <w:p>
            <w:r>
              <w:rPr>
                <w:rFonts w:ascii="Calibri" w:cs="Calibri" w:eastAsia="Calibri" w:hAnsi="Calibri"/>
                <w:color w:val="4A4A4A"/>
                <w:sz w:val="20"/>
                <w:szCs w:val="20"/>
              </w:rPr>
              <w:t xml:space="preserve">Up to 10 characters; typically structured to reflect org hierarchy</w:t>
            </w:r>
          </w:p>
        </w:tc>
      </w:tr>
      <w:tr>
        <w:tc>
          <w:tcPr>
            <w:tcW w:type="dxa" w:w="2700"/>
            <w:shd w:fill="FFFFFF" w:color="auto" w:val="clear"/>
          </w:tcPr>
          <w:p>
            <w:r>
              <w:rPr>
                <w:rFonts w:ascii="Calibri" w:cs="Calibri" w:eastAsia="Calibri" w:hAnsi="Calibri"/>
                <w:b/>
                <w:bCs/>
                <w:color w:val="5B2D8E"/>
                <w:sz w:val="20"/>
                <w:szCs w:val="20"/>
              </w:rPr>
              <w:t xml:space="preserve">GL Account</w:t>
            </w:r>
          </w:p>
        </w:tc>
        <w:tc>
          <w:tcPr>
            <w:tcW w:type="dxa" w:w="6660"/>
            <w:shd w:fill="FFFFFF" w:color="auto" w:val="clear"/>
          </w:tcPr>
          <w:p>
            <w:r>
              <w:rPr>
                <w:rFonts w:ascii="Calibri" w:cs="Calibri" w:eastAsia="Calibri" w:hAnsi="Calibri"/>
                <w:color w:val="4A4A4A"/>
                <w:sz w:val="20"/>
                <w:szCs w:val="20"/>
              </w:rPr>
              <w:t xml:space="preserve">Up to 10 digits; must exist in chart of accounts AND company code segment</w:t>
            </w:r>
          </w:p>
        </w:tc>
      </w:tr>
    </w:tbl>
    <w:p>
      <w:pPr>
        <w:spacing w:after="0" w:before="0"/>
      </w:pPr>
      <w:r>
        <w:rPr>
          <w:sz w:val="100"/>
          <w:szCs w:val="100"/>
        </w:rPr>
        <w:t xml:space="preserve"> </w:t>
      </w:r>
    </w:p>
    <w:p>
      <w:pPr>
        <w:pStyle w:val="Heading2"/>
        <w:spacing w:after="120" w:before="300"/>
      </w:pPr>
      <w:r>
        <w:rPr>
          <w:rFonts w:ascii="Calibri" w:cs="Calibri" w:eastAsia="Calibri" w:hAnsi="Calibri"/>
          <w:b/>
          <w:bCs/>
          <w:color w:val="5B2D8E"/>
          <w:sz w:val="36"/>
          <w:szCs w:val="36"/>
        </w:rPr>
        <w:t xml:space="preserve">SAP Message Types for IDoc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5B2D8E" w:color="auto" w:val="clear"/>
          </w:tcPr>
          <w:p>
            <w:r>
              <w:rPr>
                <w:rFonts w:ascii="Calibri" w:cs="Calibri" w:eastAsia="Calibri" w:hAnsi="Calibri"/>
                <w:b/>
                <w:bCs/>
                <w:color w:val="FFFFFF"/>
                <w:sz w:val="18"/>
                <w:szCs w:val="18"/>
              </w:rPr>
              <w:t xml:space="preserve">Message Type</w:t>
            </w:r>
          </w:p>
        </w:tc>
        <w:tc>
          <w:tcPr>
            <w:tcW w:type="dxa" w:w="3780"/>
            <w:shd w:fill="5B2D8E" w:color="auto" w:val="clear"/>
          </w:tcPr>
          <w:p>
            <w:r>
              <w:rPr>
                <w:rFonts w:ascii="Calibri" w:cs="Calibri" w:eastAsia="Calibri" w:hAnsi="Calibri"/>
                <w:b/>
                <w:bCs/>
                <w:color w:val="FFFFFF"/>
                <w:sz w:val="18"/>
                <w:szCs w:val="18"/>
              </w:rPr>
              <w:t xml:space="preserve">Business Object</w:t>
            </w:r>
          </w:p>
        </w:tc>
        <w:tc>
          <w:tcPr>
            <w:tcW w:type="dxa" w:w="3780"/>
            <w:shd w:fill="5B2D8E" w:color="auto" w:val="clear"/>
          </w:tcPr>
          <w:p>
            <w:r>
              <w:rPr>
                <w:rFonts w:ascii="Calibri" w:cs="Calibri" w:eastAsia="Calibri" w:hAnsi="Calibri"/>
                <w:b/>
                <w:bCs/>
                <w:color w:val="FFFFFF"/>
                <w:sz w:val="18"/>
                <w:szCs w:val="18"/>
              </w:rPr>
              <w:t xml:space="preserve">Usage</w:t>
            </w:r>
          </w:p>
        </w:tc>
      </w:tr>
      <w:tr>
        <w:tc>
          <w:tcPr>
            <w:tcW w:type="dxa" w:w="1800"/>
            <w:shd w:fill="F3EEF8" w:color="auto" w:val="clear"/>
          </w:tcPr>
          <w:p>
            <w:r>
              <w:rPr>
                <w:rFonts w:ascii="Calibri" w:cs="Calibri" w:eastAsia="Calibri" w:hAnsi="Calibri"/>
                <w:b/>
                <w:bCs/>
                <w:color w:val="5B2D8E"/>
                <w:sz w:val="18"/>
                <w:szCs w:val="18"/>
              </w:rPr>
              <w:t xml:space="preserve">ORDERS</w:t>
            </w:r>
          </w:p>
        </w:tc>
        <w:tc>
          <w:tcPr>
            <w:tcW w:type="dxa" w:w="3780"/>
            <w:shd w:fill="F3EEF8" w:color="auto" w:val="clear"/>
          </w:tcPr>
          <w:p>
            <w:r>
              <w:rPr>
                <w:rFonts w:ascii="Calibri" w:cs="Calibri" w:eastAsia="Calibri" w:hAnsi="Calibri"/>
                <w:color w:val="4A4A4A"/>
                <w:sz w:val="18"/>
                <w:szCs w:val="18"/>
              </w:rPr>
              <w:t xml:space="preserve">Purchase Order</w:t>
            </w:r>
          </w:p>
        </w:tc>
        <w:tc>
          <w:tcPr>
            <w:tcW w:type="dxa" w:w="3780"/>
            <w:shd w:fill="F3EEF8" w:color="auto" w:val="clear"/>
          </w:tcPr>
          <w:p>
            <w:r>
              <w:rPr>
                <w:rFonts w:ascii="Calibri" w:cs="Calibri" w:eastAsia="Calibri" w:hAnsi="Calibri"/>
                <w:color w:val="4A4A4A"/>
                <w:sz w:val="18"/>
                <w:szCs w:val="18"/>
              </w:rPr>
              <w:t xml:space="preserve">Procurement — send PO to vendor or receive from customer</w:t>
            </w:r>
          </w:p>
        </w:tc>
      </w:tr>
      <w:tr>
        <w:tc>
          <w:tcPr>
            <w:tcW w:type="dxa" w:w="1800"/>
            <w:shd w:fill="FFFFFF" w:color="auto" w:val="clear"/>
          </w:tcPr>
          <w:p>
            <w:r>
              <w:rPr>
                <w:rFonts w:ascii="Calibri" w:cs="Calibri" w:eastAsia="Calibri" w:hAnsi="Calibri"/>
                <w:b/>
                <w:bCs/>
                <w:color w:val="5B2D8E"/>
                <w:sz w:val="18"/>
                <w:szCs w:val="18"/>
              </w:rPr>
              <w:t xml:space="preserve">INVOIC</w:t>
            </w:r>
          </w:p>
        </w:tc>
        <w:tc>
          <w:tcPr>
            <w:tcW w:type="dxa" w:w="3780"/>
            <w:shd w:fill="FFFFFF" w:color="auto" w:val="clear"/>
          </w:tcPr>
          <w:p>
            <w:r>
              <w:rPr>
                <w:rFonts w:ascii="Calibri" w:cs="Calibri" w:eastAsia="Calibri" w:hAnsi="Calibri"/>
                <w:color w:val="4A4A4A"/>
                <w:sz w:val="18"/>
                <w:szCs w:val="18"/>
              </w:rPr>
              <w:t xml:space="preserve">Invoice</w:t>
            </w:r>
          </w:p>
        </w:tc>
        <w:tc>
          <w:tcPr>
            <w:tcW w:type="dxa" w:w="3780"/>
            <w:shd w:fill="FFFFFF" w:color="auto" w:val="clear"/>
          </w:tcPr>
          <w:p>
            <w:r>
              <w:rPr>
                <w:rFonts w:ascii="Calibri" w:cs="Calibri" w:eastAsia="Calibri" w:hAnsi="Calibri"/>
                <w:color w:val="4A4A4A"/>
                <w:sz w:val="18"/>
                <w:szCs w:val="18"/>
              </w:rPr>
              <w:t xml:space="preserve">Vendor invoice inbound; customer invoice outbound</w:t>
            </w:r>
          </w:p>
        </w:tc>
      </w:tr>
      <w:tr>
        <w:tc>
          <w:tcPr>
            <w:tcW w:type="dxa" w:w="1800"/>
            <w:shd w:fill="F3EEF8" w:color="auto" w:val="clear"/>
          </w:tcPr>
          <w:p>
            <w:r>
              <w:rPr>
                <w:rFonts w:ascii="Calibri" w:cs="Calibri" w:eastAsia="Calibri" w:hAnsi="Calibri"/>
                <w:b/>
                <w:bCs/>
                <w:color w:val="5B2D8E"/>
                <w:sz w:val="18"/>
                <w:szCs w:val="18"/>
              </w:rPr>
              <w:t xml:space="preserve">DESADV</w:t>
            </w:r>
          </w:p>
        </w:tc>
        <w:tc>
          <w:tcPr>
            <w:tcW w:type="dxa" w:w="3780"/>
            <w:shd w:fill="F3EEF8" w:color="auto" w:val="clear"/>
          </w:tcPr>
          <w:p>
            <w:r>
              <w:rPr>
                <w:rFonts w:ascii="Calibri" w:cs="Calibri" w:eastAsia="Calibri" w:hAnsi="Calibri"/>
                <w:color w:val="4A4A4A"/>
                <w:sz w:val="18"/>
                <w:szCs w:val="18"/>
              </w:rPr>
              <w:t xml:space="preserve">Delivery Advance Shipment Notice</w:t>
            </w:r>
          </w:p>
        </w:tc>
        <w:tc>
          <w:tcPr>
            <w:tcW w:type="dxa" w:w="3780"/>
            <w:shd w:fill="F3EEF8" w:color="auto" w:val="clear"/>
          </w:tcPr>
          <w:p>
            <w:r>
              <w:rPr>
                <w:rFonts w:ascii="Calibri" w:cs="Calibri" w:eastAsia="Calibri" w:hAnsi="Calibri"/>
                <w:color w:val="4A4A4A"/>
                <w:sz w:val="18"/>
                <w:szCs w:val="18"/>
              </w:rPr>
              <w:t xml:space="preserve">Vendor shipping notification</w:t>
            </w:r>
          </w:p>
        </w:tc>
      </w:tr>
      <w:tr>
        <w:tc>
          <w:tcPr>
            <w:tcW w:type="dxa" w:w="1800"/>
            <w:shd w:fill="FFFFFF" w:color="auto" w:val="clear"/>
          </w:tcPr>
          <w:p>
            <w:r>
              <w:rPr>
                <w:rFonts w:ascii="Calibri" w:cs="Calibri" w:eastAsia="Calibri" w:hAnsi="Calibri"/>
                <w:b/>
                <w:bCs/>
                <w:color w:val="5B2D8E"/>
                <w:sz w:val="18"/>
                <w:szCs w:val="18"/>
              </w:rPr>
              <w:t xml:space="preserve">MATMAS</w:t>
            </w:r>
          </w:p>
        </w:tc>
        <w:tc>
          <w:tcPr>
            <w:tcW w:type="dxa" w:w="3780"/>
            <w:shd w:fill="FFFFFF" w:color="auto" w:val="clear"/>
          </w:tcPr>
          <w:p>
            <w:r>
              <w:rPr>
                <w:rFonts w:ascii="Calibri" w:cs="Calibri" w:eastAsia="Calibri" w:hAnsi="Calibri"/>
                <w:color w:val="4A4A4A"/>
                <w:sz w:val="18"/>
                <w:szCs w:val="18"/>
              </w:rPr>
              <w:t xml:space="preserve">Material Master</w:t>
            </w:r>
          </w:p>
        </w:tc>
        <w:tc>
          <w:tcPr>
            <w:tcW w:type="dxa" w:w="3780"/>
            <w:shd w:fill="FFFFFF" w:color="auto" w:val="clear"/>
          </w:tcPr>
          <w:p>
            <w:r>
              <w:rPr>
                <w:rFonts w:ascii="Calibri" w:cs="Calibri" w:eastAsia="Calibri" w:hAnsi="Calibri"/>
                <w:color w:val="4A4A4A"/>
                <w:sz w:val="18"/>
                <w:szCs w:val="18"/>
              </w:rPr>
              <w:t xml:space="preserve">Distribute material master data between SAP systems</w:t>
            </w:r>
          </w:p>
        </w:tc>
      </w:tr>
      <w:tr>
        <w:tc>
          <w:tcPr>
            <w:tcW w:type="dxa" w:w="1800"/>
            <w:shd w:fill="F3EEF8" w:color="auto" w:val="clear"/>
          </w:tcPr>
          <w:p>
            <w:r>
              <w:rPr>
                <w:rFonts w:ascii="Calibri" w:cs="Calibri" w:eastAsia="Calibri" w:hAnsi="Calibri"/>
                <w:b/>
                <w:bCs/>
                <w:color w:val="5B2D8E"/>
                <w:sz w:val="18"/>
                <w:szCs w:val="18"/>
              </w:rPr>
              <w:t xml:space="preserve">DEBMAS</w:t>
            </w:r>
          </w:p>
        </w:tc>
        <w:tc>
          <w:tcPr>
            <w:tcW w:type="dxa" w:w="3780"/>
            <w:shd w:fill="F3EEF8" w:color="auto" w:val="clear"/>
          </w:tcPr>
          <w:p>
            <w:r>
              <w:rPr>
                <w:rFonts w:ascii="Calibri" w:cs="Calibri" w:eastAsia="Calibri" w:hAnsi="Calibri"/>
                <w:color w:val="4A4A4A"/>
                <w:sz w:val="18"/>
                <w:szCs w:val="18"/>
              </w:rPr>
              <w:t xml:space="preserve">Customer Master</w:t>
            </w:r>
          </w:p>
        </w:tc>
        <w:tc>
          <w:tcPr>
            <w:tcW w:type="dxa" w:w="3780"/>
            <w:shd w:fill="F3EEF8" w:color="auto" w:val="clear"/>
          </w:tcPr>
          <w:p>
            <w:r>
              <w:rPr>
                <w:rFonts w:ascii="Calibri" w:cs="Calibri" w:eastAsia="Calibri" w:hAnsi="Calibri"/>
                <w:color w:val="4A4A4A"/>
                <w:sz w:val="18"/>
                <w:szCs w:val="18"/>
              </w:rPr>
              <w:t xml:space="preserve">Distribute customer master data</w:t>
            </w:r>
          </w:p>
        </w:tc>
      </w:tr>
      <w:tr>
        <w:tc>
          <w:tcPr>
            <w:tcW w:type="dxa" w:w="1800"/>
            <w:shd w:fill="FFFFFF" w:color="auto" w:val="clear"/>
          </w:tcPr>
          <w:p>
            <w:r>
              <w:rPr>
                <w:rFonts w:ascii="Calibri" w:cs="Calibri" w:eastAsia="Calibri" w:hAnsi="Calibri"/>
                <w:b/>
                <w:bCs/>
                <w:color w:val="5B2D8E"/>
                <w:sz w:val="18"/>
                <w:szCs w:val="18"/>
              </w:rPr>
              <w:t xml:space="preserve">CREMAS</w:t>
            </w:r>
          </w:p>
        </w:tc>
        <w:tc>
          <w:tcPr>
            <w:tcW w:type="dxa" w:w="3780"/>
            <w:shd w:fill="FFFFFF" w:color="auto" w:val="clear"/>
          </w:tcPr>
          <w:p>
            <w:r>
              <w:rPr>
                <w:rFonts w:ascii="Calibri" w:cs="Calibri" w:eastAsia="Calibri" w:hAnsi="Calibri"/>
                <w:color w:val="4A4A4A"/>
                <w:sz w:val="18"/>
                <w:szCs w:val="18"/>
              </w:rPr>
              <w:t xml:space="preserve">Vendor Master</w:t>
            </w:r>
          </w:p>
        </w:tc>
        <w:tc>
          <w:tcPr>
            <w:tcW w:type="dxa" w:w="3780"/>
            <w:shd w:fill="FFFFFF" w:color="auto" w:val="clear"/>
          </w:tcPr>
          <w:p>
            <w:r>
              <w:rPr>
                <w:rFonts w:ascii="Calibri" w:cs="Calibri" w:eastAsia="Calibri" w:hAnsi="Calibri"/>
                <w:color w:val="4A4A4A"/>
                <w:sz w:val="18"/>
                <w:szCs w:val="18"/>
              </w:rPr>
              <w:t xml:space="preserve">Distribute vendor/supplier master data</w:t>
            </w:r>
          </w:p>
        </w:tc>
      </w:tr>
      <w:tr>
        <w:tc>
          <w:tcPr>
            <w:tcW w:type="dxa" w:w="1800"/>
            <w:shd w:fill="F3EEF8" w:color="auto" w:val="clear"/>
          </w:tcPr>
          <w:p>
            <w:r>
              <w:rPr>
                <w:rFonts w:ascii="Calibri" w:cs="Calibri" w:eastAsia="Calibri" w:hAnsi="Calibri"/>
                <w:b/>
                <w:bCs/>
                <w:color w:val="5B2D8E"/>
                <w:sz w:val="18"/>
                <w:szCs w:val="18"/>
              </w:rPr>
              <w:t xml:space="preserve">GSVERF</w:t>
            </w:r>
          </w:p>
        </w:tc>
        <w:tc>
          <w:tcPr>
            <w:tcW w:type="dxa" w:w="3780"/>
            <w:shd w:fill="F3EEF8" w:color="auto" w:val="clear"/>
          </w:tcPr>
          <w:p>
            <w:r>
              <w:rPr>
                <w:rFonts w:ascii="Calibri" w:cs="Calibri" w:eastAsia="Calibri" w:hAnsi="Calibri"/>
                <w:color w:val="4A4A4A"/>
                <w:sz w:val="18"/>
                <w:szCs w:val="18"/>
              </w:rPr>
              <w:t xml:space="preserve">Account Statement</w:t>
            </w:r>
          </w:p>
        </w:tc>
        <w:tc>
          <w:tcPr>
            <w:tcW w:type="dxa" w:w="3780"/>
            <w:shd w:fill="F3EEF8" w:color="auto" w:val="clear"/>
          </w:tcPr>
          <w:p>
            <w:r>
              <w:rPr>
                <w:rFonts w:ascii="Calibri" w:cs="Calibri" w:eastAsia="Calibri" w:hAnsi="Calibri"/>
                <w:color w:val="4A4A4A"/>
                <w:sz w:val="18"/>
                <w:szCs w:val="18"/>
              </w:rPr>
              <w:t xml:space="preserve">Bank statement message type</w:t>
            </w:r>
          </w:p>
        </w:tc>
      </w:tr>
      <w:tr>
        <w:tc>
          <w:tcPr>
            <w:tcW w:type="dxa" w:w="1800"/>
            <w:shd w:fill="FFFFFF" w:color="auto" w:val="clear"/>
          </w:tcPr>
          <w:p>
            <w:r>
              <w:rPr>
                <w:rFonts w:ascii="Calibri" w:cs="Calibri" w:eastAsia="Calibri" w:hAnsi="Calibri"/>
                <w:b/>
                <w:bCs/>
                <w:color w:val="5B2D8E"/>
                <w:sz w:val="18"/>
                <w:szCs w:val="18"/>
              </w:rPr>
              <w:t xml:space="preserve">REMADV</w:t>
            </w:r>
          </w:p>
        </w:tc>
        <w:tc>
          <w:tcPr>
            <w:tcW w:type="dxa" w:w="3780"/>
            <w:shd w:fill="FFFFFF" w:color="auto" w:val="clear"/>
          </w:tcPr>
          <w:p>
            <w:r>
              <w:rPr>
                <w:rFonts w:ascii="Calibri" w:cs="Calibri" w:eastAsia="Calibri" w:hAnsi="Calibri"/>
                <w:color w:val="4A4A4A"/>
                <w:sz w:val="18"/>
                <w:szCs w:val="18"/>
              </w:rPr>
              <w:t xml:space="preserve">Remittance Advice</w:t>
            </w:r>
          </w:p>
        </w:tc>
        <w:tc>
          <w:tcPr>
            <w:tcW w:type="dxa" w:w="3780"/>
            <w:shd w:fill="FFFFFF" w:color="auto" w:val="clear"/>
          </w:tcPr>
          <w:p>
            <w:r>
              <w:rPr>
                <w:rFonts w:ascii="Calibri" w:cs="Calibri" w:eastAsia="Calibri" w:hAnsi="Calibri"/>
                <w:color w:val="4A4A4A"/>
                <w:sz w:val="18"/>
                <w:szCs w:val="18"/>
              </w:rPr>
              <w:t xml:space="preserve">Payment notification to vendor</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2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2026-09-24T20:04:54.528Z</dcterms:created>
  <dcterms:modified xsi:type="dcterms:W3CDTF">2026-09-24T20:04:54.531Z</dcterms:modified>
</cp:coreProperties>
</file>

<file path=docProps/custom.xml><?xml version="1.0" encoding="utf-8"?>
<Properties xmlns="http://schemas.openxmlformats.org/officeDocument/2006/custom-properties" xmlns:vt="http://schemas.openxmlformats.org/officeDocument/2006/docPropsVTypes"/>
</file>