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Response to Reviewers</w:t>
      </w:r>
    </w:p>
    <w:p>
      <w:pPr>
        <w:spacing w:after="40"/>
        <w:jc w:val="center"/>
      </w:pPr>
      <w:r>
        <w:rPr>
          <w:rFonts w:ascii="Times New Roman" w:hAnsi="Times New Roman"/>
          <w:sz w:val="22"/>
        </w:rPr>
        <w:t>Manuscript: "Diagnosing a Register-Pragmatic Blind Spot in Javanese Hate Speech Detection via LLM-Generated Register-Stratified Stimuli"</w:t>
      </w:r>
    </w:p>
    <w:p>
      <w:pPr>
        <w:spacing w:after="40"/>
        <w:jc w:val="center"/>
      </w:pPr>
      <w:r>
        <w:rPr>
          <w:rFonts w:ascii="Times New Roman" w:hAnsi="Times New Roman"/>
          <w:sz w:val="22"/>
        </w:rPr>
        <w:t>Journal: Jurnal Teknik Informatika (JUTIF) — Submission #6393</w:t>
      </w:r>
    </w:p>
    <w:p>
      <w:pPr>
        <w:spacing w:after="40"/>
        <w:jc w:val="center"/>
      </w:pPr>
      <w:r>
        <w:rPr>
          <w:rFonts w:ascii="Times New Roman" w:hAnsi="Times New Roman"/>
          <w:sz w:val="22"/>
        </w:rPr>
        <w:t>Decision: Revisions Required (2026-07-24) — Revision 1</w:t>
      </w:r>
    </w:p>
    <w:p/>
    <w:p>
      <w:pPr>
        <w:spacing w:after="120"/>
        <w:jc w:val="both"/>
      </w:pPr>
      <w:r>
        <w:rPr>
          <w:rFonts w:ascii="Times New Roman" w:hAnsi="Times New Roman"/>
          <w:sz w:val="22"/>
        </w:rPr>
        <w:t>We thank the editor and both reviewers for a careful and constructive reading. We are grateful that both reviewers found the scientific content sound — no comment challenged a numerical result, a methodological choice, or a claim — and we have addressed every point below. Revised or newly added sentences are marked with yellow highlight in the resubmitted manuscript.</w:t>
      </w:r>
    </w:p>
    <w:p>
      <w:pPr>
        <w:spacing w:after="120"/>
        <w:jc w:val="both"/>
      </w:pPr>
      <w:r>
        <w:rPr>
          <w:rFonts w:ascii="Times New Roman" w:hAnsi="Times New Roman"/>
          <w:sz w:val="22"/>
        </w:rPr>
        <w:t>We also report one correction we made on our own initiative while preparing this revision (see Response to B-10), in the interest of full transparency.</w:t>
      </w:r>
    </w:p>
    <w:p>
      <w:pPr>
        <w:spacing w:before="240" w:after="80"/>
      </w:pPr>
      <w:r>
        <w:rPr>
          <w:rFonts w:ascii="Times New Roman" w:hAnsi="Times New Roman"/>
          <w:b/>
          <w:sz w:val="24"/>
        </w:rPr>
        <w:t>A. Editor's requirements</w:t>
      </w:r>
    </w:p>
    <w:tbl>
      <w:tblPr>
        <w:tblStyle w:val="TableGrid"/>
        <w:tblW w:type="auto" w:w="0"/>
        <w:jc w:val="center"/>
        <w:tblLook w:firstColumn="1" w:firstRow="1" w:lastColumn="0" w:lastRow="0" w:noHBand="0" w:noVBand="1" w:val="04A0"/>
      </w:tblPr>
      <w:tblGrid>
        <w:gridCol w:w="3024"/>
        <w:gridCol w:w="3024"/>
        <w:gridCol w:w="3024"/>
      </w:tblGrid>
      <w:tr>
        <w:tc>
          <w:tcPr>
            <w:tcW w:type="dxa" w:w="794"/>
          </w:tcPr>
          <w:p>
            <w:pPr>
              <w:spacing w:after="40"/>
            </w:pPr>
            <w:r>
              <w:rPr>
                <w:b/>
              </w:rPr>
            </w:r>
            <w:r>
              <w:rPr>
                <w:rFonts w:ascii="Times New Roman" w:hAnsi="Times New Roman"/>
                <w:b/>
                <w:sz w:val="22"/>
              </w:rPr>
              <w:t>#</w:t>
            </w:r>
          </w:p>
        </w:tc>
        <w:tc>
          <w:tcPr>
            <w:tcW w:type="dxa" w:w="2835"/>
          </w:tcPr>
          <w:p>
            <w:pPr>
              <w:spacing w:after="40"/>
            </w:pPr>
            <w:r>
              <w:rPr>
                <w:b/>
              </w:rPr>
            </w:r>
            <w:r>
              <w:rPr>
                <w:rFonts w:ascii="Times New Roman" w:hAnsi="Times New Roman"/>
                <w:b/>
                <w:sz w:val="22"/>
              </w:rPr>
              <w:t>Editor requirement</w:t>
            </w:r>
          </w:p>
        </w:tc>
        <w:tc>
          <w:tcPr>
            <w:tcW w:type="dxa" w:w="6009"/>
          </w:tcPr>
          <w:p>
            <w:pPr>
              <w:spacing w:after="40"/>
            </w:pPr>
            <w:r>
              <w:rPr>
                <w:b/>
              </w:rPr>
            </w:r>
            <w:r>
              <w:rPr>
                <w:rFonts w:ascii="Times New Roman" w:hAnsi="Times New Roman"/>
                <w:b/>
                <w:sz w:val="22"/>
              </w:rPr>
              <w:t>Response</w:t>
            </w:r>
          </w:p>
        </w:tc>
      </w:tr>
      <w:tr>
        <w:tc>
          <w:tcPr>
            <w:tcW w:type="dxa" w:w="794"/>
          </w:tcPr>
          <w:p>
            <w:pPr>
              <w:spacing w:after="40"/>
            </w:pPr>
            <w:r/>
            <w:r>
              <w:rPr>
                <w:rFonts w:ascii="Times New Roman" w:hAnsi="Times New Roman"/>
                <w:sz w:val="22"/>
              </w:rPr>
              <w:t>E1</w:t>
            </w:r>
          </w:p>
        </w:tc>
        <w:tc>
          <w:tcPr>
            <w:tcW w:type="dxa" w:w="2835"/>
          </w:tcPr>
          <w:p>
            <w:pPr>
              <w:spacing w:after="40"/>
            </w:pPr>
            <w:r/>
            <w:r>
              <w:rPr>
                <w:rFonts w:ascii="Times New Roman" w:hAnsi="Times New Roman"/>
                <w:sz w:val="22"/>
              </w:rPr>
              <w:t>Follow and use JUTIF's template</w:t>
            </w:r>
          </w:p>
        </w:tc>
        <w:tc>
          <w:tcPr>
            <w:tcW w:type="dxa" w:w="6009"/>
          </w:tcPr>
          <w:p>
            <w:pPr>
              <w:spacing w:after="40"/>
            </w:pPr>
            <w:r/>
            <w:r>
              <w:rPr>
                <w:rFonts w:ascii="Times New Roman" w:hAnsi="Times New Roman"/>
                <w:sz w:val="22"/>
              </w:rPr>
              <w:t>The manuscript was composed directly in the official JUTIF template (styles JUDUL / AUTHOR / INSTANSI / BODY PARAGRAP / SUB JUDUL / JUDUL TABEL / GAMBAR). Retained in this revision.</w:t>
            </w:r>
          </w:p>
        </w:tc>
      </w:tr>
      <w:tr>
        <w:tc>
          <w:tcPr>
            <w:tcW w:type="dxa" w:w="794"/>
          </w:tcPr>
          <w:p>
            <w:pPr>
              <w:spacing w:after="40"/>
            </w:pPr>
            <w:r/>
            <w:r>
              <w:rPr>
                <w:rFonts w:ascii="Times New Roman" w:hAnsi="Times New Roman"/>
                <w:sz w:val="22"/>
              </w:rPr>
              <w:t>E2</w:t>
            </w:r>
          </w:p>
        </w:tc>
        <w:tc>
          <w:tcPr>
            <w:tcW w:type="dxa" w:w="2835"/>
          </w:tcPr>
          <w:p>
            <w:pPr>
              <w:spacing w:after="40"/>
            </w:pPr>
            <w:r/>
            <w:r>
              <w:rPr>
                <w:rFonts w:ascii="Times New Roman" w:hAnsi="Times New Roman"/>
                <w:sz w:val="22"/>
              </w:rPr>
              <w:t>Table and figure format per template; figures &gt; 300 dpi</w:t>
            </w:r>
          </w:p>
        </w:tc>
        <w:tc>
          <w:tcPr>
            <w:tcW w:type="dxa" w:w="6009"/>
          </w:tcPr>
          <w:p>
            <w:pPr>
              <w:spacing w:after="40"/>
            </w:pPr>
            <w:r/>
            <w:r>
              <w:rPr>
                <w:rFonts w:ascii="Times New Roman" w:hAnsi="Times New Roman"/>
                <w:sz w:val="22"/>
              </w:rPr>
              <w:t xml:space="preserve">All figures regenerated at </w:t>
            </w:r>
            <w:r>
              <w:rPr>
                <w:rFonts w:ascii="Times New Roman" w:hAnsi="Times New Roman"/>
                <w:b/>
                <w:sz w:val="22"/>
              </w:rPr>
              <w:t>400 dpi</w:t>
            </w:r>
            <w:r>
              <w:rPr>
                <w:rFonts w:ascii="Times New Roman" w:hAnsi="Times New Roman"/>
                <w:sz w:val="22"/>
              </w:rPr>
              <w:t xml:space="preserve"> (previously 299.9994 dpi, marginally under the threshold). Table formatting follows the template's top/bottom-border style.</w:t>
            </w:r>
          </w:p>
        </w:tc>
      </w:tr>
      <w:tr>
        <w:tc>
          <w:tcPr>
            <w:tcW w:type="dxa" w:w="794"/>
          </w:tcPr>
          <w:p>
            <w:pPr>
              <w:spacing w:after="40"/>
            </w:pPr>
            <w:r/>
            <w:r>
              <w:rPr>
                <w:rFonts w:ascii="Times New Roman" w:hAnsi="Times New Roman"/>
                <w:sz w:val="22"/>
              </w:rPr>
              <w:t>E3</w:t>
            </w:r>
          </w:p>
        </w:tc>
        <w:tc>
          <w:tcPr>
            <w:tcW w:type="dxa" w:w="2835"/>
          </w:tcPr>
          <w:p>
            <w:pPr>
              <w:spacing w:after="40"/>
            </w:pPr>
            <w:r/>
            <w:r>
              <w:rPr>
                <w:rFonts w:ascii="Times New Roman" w:hAnsi="Times New Roman"/>
                <w:sz w:val="22"/>
              </w:rPr>
              <w:t>Every figure and table must be cited and explained in a paragraph</w:t>
            </w:r>
          </w:p>
        </w:tc>
        <w:tc>
          <w:tcPr>
            <w:tcW w:type="dxa" w:w="6009"/>
          </w:tcPr>
          <w:p>
            <w:pPr>
              <w:spacing w:after="40"/>
            </w:pPr>
            <w:r/>
            <w:r>
              <w:rPr>
                <w:rFonts w:ascii="Times New Roman" w:hAnsi="Times New Roman"/>
                <w:sz w:val="22"/>
              </w:rPr>
              <w:t>Verified exhaustively: all tables and all figures are cited by number and explained in adjacent prose. Two new figures added in this revision follow the same rule.</w:t>
            </w:r>
          </w:p>
        </w:tc>
      </w:tr>
      <w:tr>
        <w:tc>
          <w:tcPr>
            <w:tcW w:type="dxa" w:w="794"/>
          </w:tcPr>
          <w:p>
            <w:pPr>
              <w:spacing w:after="40"/>
            </w:pPr>
            <w:r/>
            <w:r>
              <w:rPr>
                <w:rFonts w:ascii="Times New Roman" w:hAnsi="Times New Roman"/>
                <w:sz w:val="22"/>
              </w:rPr>
              <w:t>E4</w:t>
            </w:r>
          </w:p>
        </w:tc>
        <w:tc>
          <w:tcPr>
            <w:tcW w:type="dxa" w:w="2835"/>
          </w:tcPr>
          <w:p>
            <w:pPr>
              <w:spacing w:after="40"/>
            </w:pPr>
            <w:r/>
            <w:r>
              <w:rPr>
                <w:rFonts w:ascii="Times New Roman" w:hAnsi="Times New Roman"/>
                <w:sz w:val="22"/>
              </w:rPr>
              <w:t>"Discussion" section is mandatory</w:t>
            </w:r>
          </w:p>
        </w:tc>
        <w:tc>
          <w:tcPr>
            <w:tcW w:type="dxa" w:w="6009"/>
          </w:tcPr>
          <w:p>
            <w:pPr>
              <w:spacing w:after="40"/>
            </w:pPr>
            <w:r/>
            <w:r>
              <w:rPr>
                <w:rFonts w:ascii="Times New Roman" w:hAnsi="Times New Roman"/>
                <w:sz w:val="22"/>
              </w:rPr>
              <w:t>Section 4 DISCUSSION is present and has been expanded in this revision (new Section 4.5 on the contribution to informatics/computer science).</w:t>
            </w:r>
          </w:p>
        </w:tc>
      </w:tr>
      <w:tr>
        <w:tc>
          <w:tcPr>
            <w:tcW w:type="dxa" w:w="794"/>
          </w:tcPr>
          <w:p>
            <w:pPr>
              <w:spacing w:after="40"/>
            </w:pPr>
            <w:r/>
            <w:r>
              <w:rPr>
                <w:rFonts w:ascii="Times New Roman" w:hAnsi="Times New Roman"/>
                <w:sz w:val="22"/>
              </w:rPr>
              <w:t>E5</w:t>
            </w:r>
          </w:p>
        </w:tc>
        <w:tc>
          <w:tcPr>
            <w:tcW w:type="dxa" w:w="2835"/>
          </w:tcPr>
          <w:p>
            <w:pPr>
              <w:spacing w:after="40"/>
            </w:pPr>
            <w:r/>
            <w:r>
              <w:rPr>
                <w:rFonts w:ascii="Times New Roman" w:hAnsi="Times New Roman"/>
                <w:sz w:val="22"/>
              </w:rPr>
              <w:t>Minimum 25 primary references (journal/conference) from the last 5 years; IEEE format</w:t>
            </w:r>
          </w:p>
        </w:tc>
        <w:tc>
          <w:tcPr>
            <w:tcW w:type="dxa" w:w="6009"/>
          </w:tcPr>
          <w:p>
            <w:pPr>
              <w:spacing w:after="40"/>
            </w:pPr>
            <w:r/>
            <w:r>
              <w:rPr>
                <w:rFonts w:ascii="Times New Roman" w:hAnsi="Times New Roman"/>
                <w:sz w:val="22"/>
              </w:rPr>
              <w:t>The reference list now contains 47 entries, of which 38 (80.9%) are journal or conference papers and 30 are journal/conference papers from the last five years — both above the required minimum. All entries follow IEEE style and are numbered by order of first citation. A completeness pass in this revision added missing identifiers (see Responses A-9/A-10/B-21/B-22/B-23).</w:t>
            </w:r>
          </w:p>
        </w:tc>
      </w:tr>
      <w:tr>
        <w:tc>
          <w:tcPr>
            <w:tcW w:type="dxa" w:w="794"/>
          </w:tcPr>
          <w:p>
            <w:pPr>
              <w:spacing w:after="40"/>
            </w:pPr>
            <w:r/>
            <w:r>
              <w:rPr>
                <w:rFonts w:ascii="Times New Roman" w:hAnsi="Times New Roman"/>
                <w:sz w:val="22"/>
              </w:rPr>
              <w:t>E6</w:t>
            </w:r>
          </w:p>
        </w:tc>
        <w:tc>
          <w:tcPr>
            <w:tcW w:type="dxa" w:w="2835"/>
          </w:tcPr>
          <w:p>
            <w:pPr>
              <w:spacing w:after="40"/>
            </w:pPr>
            <w:r/>
            <w:r>
              <w:rPr>
                <w:rFonts w:ascii="Times New Roman" w:hAnsi="Times New Roman"/>
                <w:sz w:val="22"/>
              </w:rPr>
              <w:t>Correct the manuscript per reviewer comments</w:t>
            </w:r>
          </w:p>
        </w:tc>
        <w:tc>
          <w:tcPr>
            <w:tcW w:type="dxa" w:w="6009"/>
          </w:tcPr>
          <w:p>
            <w:pPr>
              <w:spacing w:after="40"/>
            </w:pPr>
            <w:r/>
            <w:r>
              <w:rPr>
                <w:rFonts w:ascii="Times New Roman" w:hAnsi="Times New Roman"/>
                <w:sz w:val="22"/>
              </w:rPr>
              <w:t>All 35 comments addressed individually below.</w:t>
            </w:r>
          </w:p>
        </w:tc>
      </w:tr>
      <w:tr>
        <w:tc>
          <w:tcPr>
            <w:tcW w:type="dxa" w:w="794"/>
          </w:tcPr>
          <w:p>
            <w:pPr>
              <w:spacing w:after="40"/>
            </w:pPr>
            <w:r/>
            <w:r>
              <w:rPr>
                <w:rFonts w:ascii="Times New Roman" w:hAnsi="Times New Roman"/>
                <w:sz w:val="22"/>
              </w:rPr>
              <w:t>E7</w:t>
            </w:r>
          </w:p>
        </w:tc>
        <w:tc>
          <w:tcPr>
            <w:tcW w:type="dxa" w:w="2835"/>
          </w:tcPr>
          <w:p>
            <w:pPr>
              <w:spacing w:after="40"/>
            </w:pPr>
            <w:r/>
            <w:r>
              <w:rPr>
                <w:rFonts w:ascii="Times New Roman" w:hAnsi="Times New Roman"/>
                <w:sz w:val="22"/>
              </w:rPr>
              <w:t>Mark revisions with yellow highlight</w:t>
            </w:r>
          </w:p>
        </w:tc>
        <w:tc>
          <w:tcPr>
            <w:tcW w:type="dxa" w:w="6009"/>
          </w:tcPr>
          <w:p>
            <w:pPr>
              <w:spacing w:after="40"/>
            </w:pPr>
            <w:r/>
            <w:r>
              <w:rPr>
                <w:rFonts w:ascii="Times New Roman" w:hAnsi="Times New Roman"/>
                <w:sz w:val="22"/>
              </w:rPr>
              <w:t>Every revised or added sentence is highlighted yellow in the resubmitted file.</w:t>
            </w:r>
          </w:p>
        </w:tc>
      </w:tr>
      <w:tr>
        <w:tc>
          <w:tcPr>
            <w:tcW w:type="dxa" w:w="794"/>
          </w:tcPr>
          <w:p>
            <w:pPr>
              <w:spacing w:after="40"/>
            </w:pPr>
            <w:r/>
            <w:r>
              <w:rPr>
                <w:rFonts w:ascii="Times New Roman" w:hAnsi="Times New Roman"/>
                <w:sz w:val="22"/>
              </w:rPr>
              <w:t>E8</w:t>
            </w:r>
          </w:p>
        </w:tc>
        <w:tc>
          <w:tcPr>
            <w:tcW w:type="dxa" w:w="2835"/>
          </w:tcPr>
          <w:p>
            <w:pPr>
              <w:spacing w:after="40"/>
            </w:pPr>
            <w:r/>
            <w:r>
              <w:rPr>
                <w:rFonts w:ascii="Times New Roman" w:hAnsi="Times New Roman"/>
                <w:sz w:val="22"/>
              </w:rPr>
              <w:t>Upload Turnitin result; max 20% similarity</w:t>
            </w:r>
          </w:p>
        </w:tc>
        <w:tc>
          <w:tcPr>
            <w:tcW w:type="dxa" w:w="6009"/>
          </w:tcPr>
          <w:p>
            <w:pPr>
              <w:spacing w:after="40"/>
            </w:pPr>
            <w:r/>
            <w:r>
              <w:rPr>
                <w:rFonts w:ascii="Times New Roman" w:hAnsi="Times New Roman"/>
                <w:sz w:val="22"/>
              </w:rPr>
              <w:t xml:space="preserve">The Turnitin report is uploaded with this revision. The similarity index is </w:t>
            </w:r>
            <w:r>
              <w:rPr>
                <w:rFonts w:ascii="Times New Roman" w:hAnsi="Times New Roman"/>
                <w:b/>
                <w:sz w:val="22"/>
              </w:rPr>
              <w:t>9%</w:t>
            </w:r>
            <w:r>
              <w:rPr>
                <w:rFonts w:ascii="Times New Roman" w:hAnsi="Times New Roman"/>
                <w:sz w:val="22"/>
              </w:rPr>
              <w:t>, below the 20% maximum. The largest single match (7%, 646 words) is the JUTIF template's own running header and submission check-list, which repeat on every page of the article file; every other source matches at less than 1%.</w:t>
            </w:r>
          </w:p>
        </w:tc>
      </w:tr>
      <w:tr>
        <w:tc>
          <w:tcPr>
            <w:tcW w:type="dxa" w:w="794"/>
          </w:tcPr>
          <w:p>
            <w:pPr>
              <w:spacing w:after="40"/>
            </w:pPr>
            <w:r/>
            <w:r>
              <w:rPr>
                <w:rFonts w:ascii="Times New Roman" w:hAnsi="Times New Roman"/>
                <w:sz w:val="22"/>
              </w:rPr>
              <w:t>E9</w:t>
            </w:r>
          </w:p>
        </w:tc>
        <w:tc>
          <w:tcPr>
            <w:tcW w:type="dxa" w:w="2835"/>
          </w:tcPr>
          <w:p>
            <w:pPr>
              <w:spacing w:after="40"/>
            </w:pPr>
            <w:r/>
            <w:r>
              <w:rPr>
                <w:rFonts w:ascii="Times New Roman" w:hAnsi="Times New Roman"/>
                <w:sz w:val="22"/>
              </w:rPr>
              <w:t>Do not overwrite the previous revision file</w:t>
            </w:r>
          </w:p>
        </w:tc>
        <w:tc>
          <w:tcPr>
            <w:tcW w:type="dxa" w:w="6009"/>
          </w:tcPr>
          <w:p>
            <w:pPr>
              <w:spacing w:after="40"/>
            </w:pPr>
            <w:r/>
            <w:r>
              <w:rPr>
                <w:rFonts w:ascii="Times New Roman" w:hAnsi="Times New Roman"/>
                <w:sz w:val="22"/>
              </w:rPr>
              <w:t>Uploaded as a new file in the OJS revision section.</w:t>
            </w:r>
          </w:p>
        </w:tc>
      </w:tr>
      <w:tr>
        <w:tc>
          <w:tcPr>
            <w:tcW w:type="dxa" w:w="794"/>
          </w:tcPr>
          <w:p>
            <w:pPr>
              <w:spacing w:after="40"/>
            </w:pPr>
            <w:r/>
            <w:r>
              <w:rPr>
                <w:rFonts w:ascii="Times New Roman" w:hAnsi="Times New Roman"/>
                <w:sz w:val="22"/>
              </w:rPr>
              <w:t>E10</w:t>
            </w:r>
          </w:p>
        </w:tc>
        <w:tc>
          <w:tcPr>
            <w:tcW w:type="dxa" w:w="2835"/>
          </w:tcPr>
          <w:p>
            <w:pPr>
              <w:spacing w:after="40"/>
            </w:pPr>
            <w:r/>
            <w:r>
              <w:rPr>
                <w:rFonts w:ascii="Times New Roman" w:hAnsi="Times New Roman"/>
                <w:sz w:val="22"/>
              </w:rPr>
              <w:t>Add an additional author with an international affiliation</w:t>
            </w:r>
          </w:p>
        </w:tc>
        <w:tc>
          <w:tcPr>
            <w:tcW w:type="dxa" w:w="6009"/>
          </w:tcPr>
          <w:p>
            <w:pPr>
              <w:spacing w:after="40"/>
            </w:pPr>
            <w:r/>
            <w:r>
              <w:rPr>
                <w:rFonts w:ascii="Times New Roman" w:hAnsi="Times New Roman"/>
                <w:sz w:val="22"/>
              </w:rPr>
              <w:t>The submitted manuscript already included a fourth author with an international affiliation: Roby Firnando Yusuf, Software Engineering, Jeonbuk National University, South Korea. We believe the request arose because the OJS submission metadata listed only the three Universitas Bhinneka Nusantara authors, so the automatically generated correspondence addressed three names while the manuscript file itself carried four. We have corrected the submission metadata to include the fourth author, so that the metadata and the manuscript now agree. We have also fixed a typographical error in his affiliation line, which previously ran "Software EngineeringJeonbuk National University" without separation. If the editor intends a further international co-author beyond this, we would be glad to be told so explicitly.</w:t>
            </w:r>
          </w:p>
        </w:tc>
      </w:tr>
      <w:tr>
        <w:tc>
          <w:tcPr>
            <w:tcW w:type="dxa" w:w="794"/>
          </w:tcPr>
          <w:p>
            <w:pPr>
              <w:spacing w:after="40"/>
            </w:pPr>
            <w:r/>
            <w:r>
              <w:rPr>
                <w:rFonts w:ascii="Times New Roman" w:hAnsi="Times New Roman"/>
                <w:sz w:val="22"/>
              </w:rPr>
              <w:t>E11</w:t>
            </w:r>
          </w:p>
        </w:tc>
        <w:tc>
          <w:tcPr>
            <w:tcW w:type="dxa" w:w="2835"/>
          </w:tcPr>
          <w:p>
            <w:pPr>
              <w:spacing w:after="40"/>
            </w:pPr>
            <w:r/>
            <w:r>
              <w:rPr>
                <w:rFonts w:ascii="Times New Roman" w:hAnsi="Times New Roman"/>
                <w:sz w:val="22"/>
              </w:rPr>
              <w:t>Minimum 25 references cited in the Introduction</w:t>
            </w:r>
          </w:p>
        </w:tc>
        <w:tc>
          <w:tcPr>
            <w:tcW w:type="dxa" w:w="6009"/>
          </w:tcPr>
          <w:p>
            <w:pPr>
              <w:spacing w:after="40"/>
            </w:pPr>
            <w:r/>
            <w:r>
              <w:rPr>
                <w:rFonts w:ascii="Times New Roman" w:hAnsi="Times New Roman"/>
                <w:sz w:val="22"/>
              </w:rPr>
              <w:t>The Introduction cites 32 distinct references. We note this explicitly since the review form indicated otherwise; the requirement was already met before revision (30 distinct references) and the count rose to 32 with the comparators added for B-6.</w:t>
            </w:r>
          </w:p>
        </w:tc>
      </w:tr>
    </w:tbl>
    <w:p>
      <w:pPr>
        <w:spacing w:after="0"/>
      </w:pPr>
    </w:p>
    <w:p>
      <w:pPr>
        <w:spacing w:before="240" w:after="80"/>
      </w:pPr>
      <w:r>
        <w:rPr>
          <w:rFonts w:ascii="Times New Roman" w:hAnsi="Times New Roman"/>
          <w:b/>
          <w:sz w:val="24"/>
        </w:rPr>
        <w:t>B. Reviewer A</w:t>
      </w:r>
    </w:p>
    <w:p>
      <w:pPr>
        <w:spacing w:after="120"/>
        <w:jc w:val="both"/>
      </w:pPr>
      <w:r>
        <w:rPr>
          <w:rFonts w:ascii="Times New Roman" w:hAnsi="Times New Roman"/>
          <w:b/>
          <w:sz w:val="22"/>
        </w:rPr>
        <w:t>A-0 — Title should reflect the method.</w:t>
      </w:r>
    </w:p>
    <w:p>
      <w:pPr>
        <w:spacing w:after="120"/>
        <w:jc w:val="both"/>
      </w:pPr>
      <w:r>
        <w:rPr>
          <w:rFonts w:ascii="Times New Roman" w:hAnsi="Times New Roman"/>
          <w:sz w:val="22"/>
        </w:rPr>
        <w:t>Adopted. The title is now "Diagnosing a Register-Pragmatic Blind Spot in Javanese Hate Speech Detection via LLM-Generated Register-Stratified Stimuli", incorporating the method phrase suggested by both reviewers.</w:t>
      </w:r>
    </w:p>
    <w:p>
      <w:pPr>
        <w:spacing w:after="120"/>
        <w:jc w:val="both"/>
      </w:pPr>
      <w:r>
        <w:rPr>
          <w:rFonts w:ascii="Times New Roman" w:hAnsi="Times New Roman"/>
          <w:b/>
          <w:sz w:val="22"/>
        </w:rPr>
        <w:t>A-1 — Abstract exceeds 250 words; no explicit aim sentence.</w:t>
      </w:r>
    </w:p>
    <w:p>
      <w:pPr>
        <w:spacing w:after="120"/>
        <w:jc w:val="both"/>
      </w:pPr>
      <w:r>
        <w:rPr>
          <w:rFonts w:ascii="Times New Roman" w:hAnsi="Times New Roman"/>
          <w:sz w:val="22"/>
        </w:rPr>
        <w:t>Both fixed. An explicit aim sentence ("This study aims to …") now follows the problem statement, and the abstract has been trimmed from 267 to 234 words, principally by condensing the two scarcity measurements into a single clause as the reviewer suggested. The order is now problem – aim – method – results – impact.</w:t>
      </w:r>
    </w:p>
    <w:p>
      <w:pPr>
        <w:spacing w:after="120"/>
        <w:jc w:val="both"/>
      </w:pPr>
      <w:r>
        <w:rPr>
          <w:rFonts w:ascii="Times New Roman" w:hAnsi="Times New Roman"/>
          <w:b/>
          <w:sz w:val="22"/>
        </w:rPr>
        <w:t>A-2 — Consider adding "diglossia" or "low-resource language" to the keywords.</w:t>
      </w:r>
    </w:p>
    <w:p>
      <w:pPr>
        <w:spacing w:after="120"/>
        <w:jc w:val="both"/>
      </w:pPr>
      <w:r>
        <w:rPr>
          <w:rFonts w:ascii="Times New Roman" w:hAnsi="Times New Roman"/>
          <w:sz w:val="22"/>
        </w:rPr>
        <w:t>Adopted. "diglossia" added as a sixth keyword; alphabetical ordering preserved.</w:t>
      </w:r>
    </w:p>
    <w:p>
      <w:pPr>
        <w:spacing w:after="120"/>
        <w:jc w:val="both"/>
      </w:pPr>
      <w:r>
        <w:rPr>
          <w:rFonts w:ascii="Times New Roman" w:hAnsi="Times New Roman"/>
          <w:b/>
          <w:sz w:val="22"/>
        </w:rPr>
        <w:t>A-3 — Add an explicit objective sentence before the Contributions list.</w:t>
      </w:r>
    </w:p>
    <w:p>
      <w:pPr>
        <w:spacing w:after="120"/>
        <w:jc w:val="both"/>
      </w:pPr>
      <w:r>
        <w:rPr>
          <w:rFonts w:ascii="Times New Roman" w:hAnsi="Times New Roman"/>
          <w:sz w:val="22"/>
        </w:rPr>
        <w:t>Adopted. A sentence stating the objective now introduces the Contributions list.</w:t>
      </w:r>
    </w:p>
    <w:p>
      <w:pPr>
        <w:spacing w:after="120"/>
        <w:jc w:val="both"/>
      </w:pPr>
      <w:r>
        <w:rPr>
          <w:rFonts w:ascii="Times New Roman" w:hAnsi="Times New Roman"/>
          <w:b/>
          <w:sz w:val="22"/>
        </w:rPr>
        <w:t>A-4 — Add an end-to-end pipeline figure at the start of the Method section.</w:t>
      </w:r>
    </w:p>
    <w:p>
      <w:pPr>
        <w:spacing w:after="120"/>
        <w:jc w:val="both"/>
      </w:pPr>
      <w:r>
        <w:rPr>
          <w:rFonts w:ascii="Times New Roman" w:hAnsi="Times New Roman"/>
          <w:sz w:val="22"/>
        </w:rPr>
        <w:t xml:space="preserve">Adopted. A new pipeline flowchart (data filtering → labeling baseline → stimulus generation → native authenticity validation → five-detector probe) is now </w:t>
      </w:r>
      <w:r>
        <w:rPr>
          <w:rFonts w:ascii="Times New Roman" w:hAnsi="Times New Roman"/>
          <w:b/>
          <w:sz w:val="22"/>
        </w:rPr>
        <w:t>Figure 1</w:t>
      </w:r>
      <w:r>
        <w:rPr>
          <w:rFonts w:ascii="Times New Roman" w:hAnsi="Times New Roman"/>
          <w:sz w:val="22"/>
        </w:rPr>
        <w:t xml:space="preserve"> at the start of Section 2; the taxonomy diagram and subsequent figures have been renumbered.</w:t>
      </w:r>
    </w:p>
    <w:p>
      <w:pPr>
        <w:spacing w:after="120"/>
        <w:jc w:val="both"/>
      </w:pPr>
      <w:r>
        <w:rPr>
          <w:rFonts w:ascii="Times New Roman" w:hAnsi="Times New Roman"/>
          <w:b/>
          <w:sz w:val="22"/>
        </w:rPr>
        <w:t>A-5 — State key inference parameters in the Method for reproducibility.</w:t>
      </w:r>
    </w:p>
    <w:p>
      <w:pPr>
        <w:spacing w:after="120"/>
        <w:jc w:val="both"/>
      </w:pPr>
      <w:r>
        <w:rPr>
          <w:rFonts w:ascii="Times New Roman" w:hAnsi="Times New Roman"/>
          <w:sz w:val="22"/>
        </w:rPr>
        <w:t>Adopted, and this prompted a correction — see Response to B-10.</w:t>
      </w:r>
    </w:p>
    <w:p>
      <w:pPr>
        <w:spacing w:after="120"/>
        <w:jc w:val="both"/>
      </w:pPr>
      <w:r>
        <w:rPr>
          <w:rFonts w:ascii="Times New Roman" w:hAnsi="Times New Roman"/>
          <w:b/>
          <w:sz w:val="22"/>
        </w:rPr>
        <w:t>A-6 — Add a small-sample caveat at the first mention of the 4% statistic.</w:t>
      </w:r>
    </w:p>
    <w:p>
      <w:pPr>
        <w:spacing w:after="120"/>
        <w:jc w:val="both"/>
      </w:pPr>
      <w:r>
        <w:rPr>
          <w:rFonts w:ascii="Times New Roman" w:hAnsi="Times New Roman"/>
          <w:sz w:val="22"/>
        </w:rPr>
        <w:t xml:space="preserve">Adopted, and strengthened with statistics. A caveat noting that percentages at n=45 should be read as indicative rather than precise now appears at first mention in the Results, not only in the Limitations. We also added interval estimates at that point: the 4% figure carries a Wilson 95% CI of [1.2%, 14.8%], and the contrast against </w:t>
      </w:r>
      <w:r>
        <w:rPr>
          <w:rFonts w:ascii="Times New Roman" w:hAnsi="Times New Roman"/>
          <w:i/>
          <w:sz w:val="22"/>
        </w:rPr>
        <w:t>ngoko</w:t>
      </w:r>
      <w:r>
        <w:rPr>
          <w:rFonts w:ascii="Times New Roman" w:hAnsi="Times New Roman"/>
          <w:sz w:val="22"/>
        </w:rPr>
        <w:t xml:space="preserve">-direct detection is 95.6 percentage points with a 95% bootstrap CI of [88.9, 100.0]. The gaps against the two non-ironic </w:t>
      </w:r>
      <w:r>
        <w:rPr>
          <w:rFonts w:ascii="Times New Roman" w:hAnsi="Times New Roman"/>
          <w:i/>
          <w:sz w:val="22"/>
        </w:rPr>
        <w:t>krama</w:t>
      </w:r>
      <w:r>
        <w:rPr>
          <w:rFonts w:ascii="Times New Roman" w:hAnsi="Times New Roman"/>
          <w:sz w:val="22"/>
        </w:rPr>
        <w:t xml:space="preserve"> niches (64.4 pp and 71.1 pp) likewise exclude zero, so the central claim survives the small sample even though individual point estimates are imprecise.</w:t>
      </w:r>
    </w:p>
    <w:p>
      <w:pPr>
        <w:spacing w:after="120"/>
        <w:jc w:val="both"/>
      </w:pPr>
      <w:r>
        <w:rPr>
          <w:rFonts w:ascii="Times New Roman" w:hAnsi="Times New Roman"/>
          <w:b/>
          <w:sz w:val="22"/>
        </w:rPr>
        <w:t>A-7 — Add a standalone paragraph on the contribution to informatics/computer science before Limitations.</w:t>
      </w:r>
    </w:p>
    <w:p>
      <w:pPr>
        <w:spacing w:after="120"/>
        <w:jc w:val="both"/>
      </w:pPr>
      <w:r>
        <w:rPr>
          <w:rFonts w:ascii="Times New Roman" w:hAnsi="Times New Roman"/>
          <w:sz w:val="22"/>
        </w:rPr>
        <w:t>Adopted. New Section 4.5 states the disciplinary contribution explicitly, placed before the Limitations subsection.</w:t>
      </w:r>
    </w:p>
    <w:p>
      <w:pPr>
        <w:spacing w:after="120"/>
        <w:jc w:val="both"/>
      </w:pPr>
      <w:r>
        <w:rPr>
          <w:rFonts w:ascii="Times New Roman" w:hAnsi="Times New Roman"/>
          <w:b/>
          <w:sz w:val="22"/>
        </w:rPr>
        <w:t>A-8 — Split the Conclusion into two paragraphs and add explicit future-research recommendations.</w:t>
      </w:r>
    </w:p>
    <w:p>
      <w:pPr>
        <w:spacing w:after="120"/>
        <w:jc w:val="both"/>
      </w:pPr>
      <w:r>
        <w:rPr>
          <w:rFonts w:ascii="Times New Roman" w:hAnsi="Times New Roman"/>
          <w:sz w:val="22"/>
        </w:rPr>
        <w:t>Adopted. The Conclusion is now two paragraphs — (i) summary of findings, (ii) implications and recommended future research — with an explicit "Future research should …" sentence.</w:t>
      </w:r>
    </w:p>
    <w:p>
      <w:pPr>
        <w:spacing w:after="120"/>
        <w:jc w:val="both"/>
      </w:pPr>
      <w:r>
        <w:rPr>
          <w:rFonts w:ascii="Times New Roman" w:hAnsi="Times New Roman"/>
          <w:b/>
          <w:sz w:val="22"/>
        </w:rPr>
        <w:t>A-9 — Reference [24] is unpublished data without a DOI.</w:t>
      </w:r>
    </w:p>
    <w:p>
      <w:pPr>
        <w:spacing w:after="120"/>
        <w:jc w:val="both"/>
      </w:pPr>
      <w:r>
        <w:rPr>
          <w:rFonts w:ascii="Times New Roman" w:hAnsi="Times New Roman"/>
          <w:sz w:val="22"/>
        </w:rPr>
        <w:t>Adopted on both fronts. The companion measurement has been prepared for deposit as an open dataset (aggregate per-language counts only — no tweet text, no user identifiers), and the entry, now [28] after renumbering, cites the archived dataset with a permanent DOI in place of the "unpublished data" designation. In addition, and independently of the deposit, we have made the argumentative status of this measurement explicit in the Introduction: the primary evidence for the collection paradox is the labeling run reported in Section 3.1, which is internal to this study and reproducible from its released artifacts, while the companion measurement is corroboration from an independent direction that the argument does not rest on.</w:t>
      </w:r>
    </w:p>
    <w:p>
      <w:pPr>
        <w:spacing w:after="120"/>
        <w:jc w:val="both"/>
      </w:pPr>
      <w:r>
        <w:rPr>
          <w:rFonts w:ascii="Times New Roman" w:hAnsi="Times New Roman"/>
          <w:b/>
          <w:sz w:val="22"/>
        </w:rPr>
        <w:t>A-10 — Verify preprints remain a minority; confirm reference-manager formatting.</w:t>
      </w:r>
    </w:p>
    <w:p>
      <w:pPr>
        <w:spacing w:after="120"/>
        <w:jc w:val="both"/>
      </w:pPr>
      <w:r>
        <w:rPr>
          <w:rFonts w:ascii="Times New Roman" w:hAnsi="Times New Roman"/>
          <w:sz w:val="22"/>
        </w:rPr>
        <w:t>Verified explicitly. Of the 47 entries, 5 (10.6%) are arXiv preprints, and four of those five are the canonical technical reports or model cards for the specific model checkpoints used in the experiments (DeepSeek-V3, Gemma 3, Qwen3, gpt-oss), for which no peer-reviewed equivalent exists; the fifth is discussed under B-22. Preprints are therefore a clear minority and are concentrated where a preprint is the only citable artifact. Every journal and conference entry has been checked against Crossref for journal name, volume, number, pages, and DOI. On the reference-manager question we prefer to be precise rather than simply assert compliance: the list was assembled and verified programmatically against the Crossref API rather than typed by hand, which addresses the underlying concern — transcription error and unverifiable entries — by the same means a reference manager would. If the editor requires a manager-generated file specifically, we will export the list through Zotero and supply it.</w:t>
      </w:r>
    </w:p>
    <w:p>
      <w:pPr>
        <w:spacing w:before="240" w:after="80"/>
      </w:pPr>
      <w:r>
        <w:rPr>
          <w:rFonts w:ascii="Times New Roman" w:hAnsi="Times New Roman"/>
          <w:b/>
          <w:sz w:val="24"/>
        </w:rPr>
        <w:t>C. Reviewer B</w:t>
      </w:r>
    </w:p>
    <w:p>
      <w:pPr>
        <w:spacing w:after="120"/>
        <w:jc w:val="both"/>
      </w:pPr>
      <w:r>
        <w:rPr>
          <w:rFonts w:ascii="Times New Roman" w:hAnsi="Times New Roman"/>
          <w:b/>
          <w:sz w:val="22"/>
        </w:rPr>
        <w:t>B-0 — Title should signal the method.</w:t>
      </w:r>
      <w:r>
        <w:rPr>
          <w:rFonts w:ascii="Times New Roman" w:hAnsi="Times New Roman"/>
          <w:sz w:val="22"/>
        </w:rPr>
        <w:t xml:space="preserve"> Adopted; see A-0.</w:t>
      </w:r>
    </w:p>
    <w:p>
      <w:pPr>
        <w:spacing w:after="120"/>
        <w:jc w:val="both"/>
      </w:pPr>
      <w:r>
        <w:rPr>
          <w:rFonts w:ascii="Times New Roman" w:hAnsi="Times New Roman"/>
          <w:b/>
          <w:sz w:val="22"/>
        </w:rPr>
        <w:t>B-1 — "Blind Spot" is figurative; consider a literal formulation.</w:t>
      </w:r>
    </w:p>
    <w:p>
      <w:pPr>
        <w:spacing w:after="120"/>
        <w:jc w:val="both"/>
      </w:pPr>
      <w:r>
        <w:rPr>
          <w:rFonts w:ascii="Times New Roman" w:hAnsi="Times New Roman"/>
          <w:sz w:val="22"/>
        </w:rPr>
        <w:t>We have retained "blind spot" while adopting the reviewer's method-phrase suggestion. Our reasoning: the term is used consistently as a defined technical construct throughout the abstract, keywords, results, and conclusion, and it names the specific phenomenon the paper contributes. We have, however, ensured the title now also contains the literal methodological description, so the title reads as a scientific claim rather than a metaphor alone. We are happy to revise further if the editor prefers.</w:t>
      </w:r>
    </w:p>
    <w:p>
      <w:pPr>
        <w:spacing w:after="120"/>
        <w:jc w:val="both"/>
      </w:pPr>
      <w:r>
        <w:rPr>
          <w:rFonts w:ascii="Times New Roman" w:hAnsi="Times New Roman"/>
          <w:b/>
          <w:sz w:val="22"/>
        </w:rPr>
        <w:t>B-2 — Consider a dialect/region qualifier in the title.</w:t>
      </w:r>
    </w:p>
    <w:p>
      <w:pPr>
        <w:spacing w:after="120"/>
        <w:jc w:val="both"/>
      </w:pPr>
      <w:r>
        <w:rPr>
          <w:rFonts w:ascii="Times New Roman" w:hAnsi="Times New Roman"/>
          <w:sz w:val="22"/>
        </w:rPr>
        <w:t xml:space="preserve">We have not added a regional qualifier, to keep the title within a readable length, but we have strengthened the disclosure in the text: the Central-Javanese </w:t>
      </w:r>
      <w:r>
        <w:rPr>
          <w:rFonts w:ascii="Times New Roman" w:hAnsi="Times New Roman"/>
          <w:i/>
          <w:sz w:val="22"/>
        </w:rPr>
        <w:t>krama</w:t>
      </w:r>
      <w:r>
        <w:rPr>
          <w:rFonts w:ascii="Times New Roman" w:hAnsi="Times New Roman"/>
          <w:sz w:val="22"/>
        </w:rPr>
        <w:t xml:space="preserve"> prestige bias is stated in the Limitations and is now also flagged at first use in the Method, so the scope is explicit to the reader early.</w:t>
      </w:r>
    </w:p>
    <w:p>
      <w:pPr>
        <w:spacing w:after="120"/>
        <w:jc w:val="both"/>
      </w:pPr>
      <w:r>
        <w:rPr>
          <w:rFonts w:ascii="Times New Roman" w:hAnsi="Times New Roman"/>
          <w:b/>
          <w:sz w:val="22"/>
        </w:rPr>
        <w:t>B-3 — No explicit aim sentence in the abstract.</w:t>
      </w:r>
      <w:r>
        <w:rPr>
          <w:rFonts w:ascii="Times New Roman" w:hAnsi="Times New Roman"/>
          <w:sz w:val="22"/>
        </w:rPr>
        <w:t xml:space="preserve"> Adopted; see A-1.</w:t>
      </w:r>
    </w:p>
    <w:p>
      <w:pPr>
        <w:spacing w:after="120"/>
        <w:jc w:val="both"/>
      </w:pPr>
      <w:r>
        <w:rPr>
          <w:rFonts w:ascii="Times New Roman" w:hAnsi="Times New Roman"/>
          <w:b/>
          <w:sz w:val="22"/>
        </w:rPr>
        <w:t>B-4 — Make the disciplinary contribution in the closing abstract sentence explicit.</w:t>
      </w:r>
    </w:p>
    <w:p>
      <w:pPr>
        <w:spacing w:after="120"/>
        <w:jc w:val="both"/>
      </w:pPr>
      <w:r>
        <w:rPr>
          <w:rFonts w:ascii="Times New Roman" w:hAnsi="Times New Roman"/>
          <w:sz w:val="22"/>
        </w:rPr>
        <w:t>Adopted. The closing sentence now names the contribution to informatics/computer science — specifically to the evaluation methodology for NLP content-moderation systems — rather than referring only to "diglossic, register-rich languages".</w:t>
      </w:r>
    </w:p>
    <w:p>
      <w:pPr>
        <w:spacing w:after="120"/>
        <w:jc w:val="both"/>
      </w:pPr>
      <w:r>
        <w:rPr>
          <w:rFonts w:ascii="Times New Roman" w:hAnsi="Times New Roman"/>
          <w:b/>
          <w:sz w:val="22"/>
        </w:rPr>
        <w:t>B-5 — Consider adding "diglossia" or "krama register" as a keyword.</w:t>
      </w:r>
      <w:r>
        <w:rPr>
          <w:rFonts w:ascii="Times New Roman" w:hAnsi="Times New Roman"/>
          <w:sz w:val="22"/>
        </w:rPr>
        <w:t xml:space="preserve"> Adopted; see A-2.</w:t>
      </w:r>
    </w:p>
    <w:p>
      <w:pPr>
        <w:spacing w:after="120"/>
        <w:jc w:val="both"/>
      </w:pPr>
      <w:r>
        <w:rPr>
          <w:rFonts w:ascii="Times New Roman" w:hAnsi="Times New Roman"/>
          <w:b/>
          <w:sz w:val="22"/>
        </w:rPr>
        <w:t>B-6 — Add 1–2 recent (2024–2026) indexed comparative studies on Indonesian regional-language moderation.</w:t>
      </w:r>
    </w:p>
    <w:p>
      <w:pPr>
        <w:spacing w:after="120"/>
        <w:jc w:val="both"/>
      </w:pPr>
      <w:r>
        <w:rPr>
          <w:rFonts w:ascii="Times New Roman" w:hAnsi="Times New Roman"/>
          <w:sz w:val="22"/>
        </w:rPr>
        <w:t>Adopted. Additional recent references have been added at the specific claims they support in the Introduction. Each was verified against Crossref before inclusion.</w:t>
      </w:r>
    </w:p>
    <w:p>
      <w:pPr>
        <w:spacing w:after="120"/>
        <w:jc w:val="both"/>
      </w:pPr>
      <w:r>
        <w:rPr>
          <w:rFonts w:ascii="Times New Roman" w:hAnsi="Times New Roman"/>
          <w:b/>
          <w:sz w:val="22"/>
        </w:rPr>
        <w:t>B-7 — Ensure the gap statement is cross-referenced to a single clear objective sentence.</w:t>
      </w:r>
    </w:p>
    <w:p>
      <w:pPr>
        <w:spacing w:after="120"/>
        <w:jc w:val="both"/>
      </w:pPr>
      <w:r>
        <w:rPr>
          <w:rFonts w:ascii="Times New Roman" w:hAnsi="Times New Roman"/>
          <w:sz w:val="22"/>
        </w:rPr>
        <w:t>Adopted. The gap paragraph now leads directly into the explicit objective sentence introduced for A-3, so the gap → aim chain is traceable in one place.</w:t>
      </w:r>
    </w:p>
    <w:p>
      <w:pPr>
        <w:spacing w:after="120"/>
        <w:jc w:val="both"/>
      </w:pPr>
      <w:r>
        <w:rPr>
          <w:rFonts w:ascii="Times New Roman" w:hAnsi="Times New Roman"/>
          <w:b/>
          <w:sz w:val="22"/>
        </w:rPr>
        <w:t>B-8 — Expect an explicit "This study aims to…" before the contributions list.</w:t>
      </w:r>
      <w:r>
        <w:rPr>
          <w:rFonts w:ascii="Times New Roman" w:hAnsi="Times New Roman"/>
          <w:sz w:val="22"/>
        </w:rPr>
        <w:t xml:space="preserve"> Adopted; see A-3.</w:t>
      </w:r>
    </w:p>
    <w:p>
      <w:pPr>
        <w:spacing w:after="120"/>
        <w:jc w:val="both"/>
      </w:pPr>
      <w:r>
        <w:rPr>
          <w:rFonts w:ascii="Times New Roman" w:hAnsi="Times New Roman"/>
          <w:b/>
          <w:sz w:val="22"/>
        </w:rPr>
        <w:t>B-9 — Add a research-stage flowchart to the Method.</w:t>
      </w:r>
      <w:r>
        <w:rPr>
          <w:rFonts w:ascii="Times New Roman" w:hAnsi="Times New Roman"/>
          <w:sz w:val="22"/>
        </w:rPr>
        <w:t xml:space="preserve"> Adopted; see A-4.</w:t>
      </w:r>
    </w:p>
    <w:p>
      <w:pPr>
        <w:spacing w:after="120"/>
        <w:jc w:val="both"/>
      </w:pPr>
      <w:r>
        <w:rPr>
          <w:rFonts w:ascii="Times New Roman" w:hAnsi="Times New Roman"/>
          <w:b/>
          <w:sz w:val="22"/>
        </w:rPr>
        <w:t>B-10 — Reproducibility parameters (temperature, decoding, seed, prompt version) are not stated.</w:t>
      </w:r>
    </w:p>
    <w:p>
      <w:pPr>
        <w:spacing w:after="120"/>
        <w:jc w:val="both"/>
      </w:pPr>
      <w:r>
        <w:rPr>
          <w:rFonts w:ascii="Times New Roman" w:hAnsi="Times New Roman"/>
          <w:sz w:val="22"/>
        </w:rPr>
        <w:t>Adopted, with a correction we wish to flag explicitly.</w:t>
      </w:r>
    </w:p>
    <w:p>
      <w:pPr>
        <w:spacing w:after="120"/>
        <w:jc w:val="both"/>
      </w:pPr>
      <w:r>
        <w:rPr>
          <w:rFonts w:ascii="Times New Roman" w:hAnsi="Times New Roman"/>
          <w:sz w:val="22"/>
        </w:rPr>
        <w:t>In stating the parameters, we discovered that the submitted manuscript reported the token budget from a pre-run version of our generation script rather than from the version that actually produced the data. The Method now reports the parameters as executed: generation used a sampling temperature of 0.8 with an escalating token budget and retry-on-truncation (adopted because the generation model is a reasoning model that could otherwise exhaust its budget on reasoning tokens and return empty content), while all labeling and detection calls used greedy decoding at temperature 0. We also state which prompt file version was used at each stage, and disclose that the vendor APIs used do not expose a random-seed parameter, so generation is reproducible in distribution rather than bit-exactly. We thank the reviewer, as this request is what surfaced the discrepancy.</w:t>
      </w:r>
    </w:p>
    <w:p>
      <w:pPr>
        <w:spacing w:after="120"/>
        <w:jc w:val="both"/>
      </w:pPr>
      <w:r>
        <w:rPr>
          <w:rFonts w:ascii="Times New Roman" w:hAnsi="Times New Roman"/>
          <w:b/>
          <w:sz w:val="22"/>
        </w:rPr>
        <w:t>B-11 — State which statistical procedures apply to the detection rate.</w:t>
      </w:r>
    </w:p>
    <w:p>
      <w:pPr>
        <w:spacing w:after="120"/>
        <w:jc w:val="both"/>
      </w:pPr>
      <w:r>
        <w:rPr>
          <w:rFonts w:ascii="Times New Roman" w:hAnsi="Times New Roman"/>
          <w:sz w:val="22"/>
        </w:rPr>
        <w:t>Adopted. The Method now states explicitly which statistical procedures are applied to the detection rate and forward-references where they appear in the Results.</w:t>
      </w:r>
    </w:p>
    <w:p>
      <w:pPr>
        <w:spacing w:after="120"/>
        <w:jc w:val="both"/>
      </w:pPr>
      <w:r>
        <w:rPr>
          <w:rFonts w:ascii="Times New Roman" w:hAnsi="Times New Roman"/>
          <w:b/>
          <w:sz w:val="22"/>
        </w:rPr>
        <w:t>B-12 — Add a formal statistical comparison between generators' authenticity rates.</w:t>
      </w:r>
    </w:p>
    <w:p>
      <w:pPr>
        <w:spacing w:after="120"/>
        <w:jc w:val="both"/>
      </w:pPr>
      <w:r>
        <w:rPr>
          <w:rFonts w:ascii="Times New Roman" w:hAnsi="Times New Roman"/>
          <w:sz w:val="22"/>
        </w:rPr>
        <w:t>Adopted. The generator comparison is now reported with intervals rather than descriptive percentages alone. All three pairwise contrasts exclude zero: DeepSeek over Gemma3-27B by 41.7 pp (95% bootstrap CI [25.0, 58.3]), DeepSeek over Qwen3-14B by 86.1 pp (CI [75.0, 97.2]), and Gemma3-27B over Qwen3-14B by 44.4 pp (CI [25.0, 63.9]). Per-generator Wilson intervals are also given. The analysis script and a text-free aggregate count file are released so the intervals are recomputable by readers who do not have access to the restricted stimulus set.</w:t>
      </w:r>
    </w:p>
    <w:p>
      <w:pPr>
        <w:spacing w:after="120"/>
        <w:jc w:val="both"/>
      </w:pPr>
      <w:r>
        <w:rPr>
          <w:rFonts w:ascii="Times New Roman" w:hAnsi="Times New Roman"/>
          <w:b/>
          <w:sz w:val="22"/>
        </w:rPr>
        <w:t>B-13 — Add a grouped bar chart with error bars alongside the heatmap.</w:t>
      </w:r>
    </w:p>
    <w:p>
      <w:pPr>
        <w:spacing w:after="120"/>
        <w:jc w:val="both"/>
      </w:pPr>
      <w:r>
        <w:rPr>
          <w:rFonts w:ascii="Times New Roman" w:hAnsi="Times New Roman"/>
          <w:sz w:val="22"/>
        </w:rPr>
        <w:t>Adopted. A grouped bar chart with confidence intervals per niche and detector has been added as a companion to the heatmap.</w:t>
      </w:r>
    </w:p>
    <w:p>
      <w:pPr>
        <w:spacing w:after="120"/>
        <w:jc w:val="both"/>
      </w:pPr>
      <w:r>
        <w:rPr>
          <w:rFonts w:ascii="Times New Roman" w:hAnsi="Times New Roman"/>
          <w:b/>
          <w:sz w:val="22"/>
        </w:rPr>
        <w:t>B-14 — Check the 9-cell breakdown is consistent with the later 5-of-9 refinement.</w:t>
      </w:r>
    </w:p>
    <w:p>
      <w:pPr>
        <w:spacing w:after="120"/>
        <w:jc w:val="both"/>
      </w:pPr>
      <w:r>
        <w:rPr>
          <w:rFonts w:ascii="Times New Roman" w:hAnsi="Times New Roman"/>
          <w:sz w:val="22"/>
        </w:rPr>
        <w:t>Verified and clarified. The two figures are consistent and describe different things: 9 cells evade all five detectors, and a subsequent validator-based analysis identifies 5 of those 9 as genuinely ambiguous irony targeting a SARA identity axis, with the other 4 evading for separately disclosed reasons. We have added a forward pointer at the first mention so that a reader who reads only the Results does not perceive a discrepancy.</w:t>
      </w:r>
    </w:p>
    <w:p>
      <w:pPr>
        <w:spacing w:after="120"/>
        <w:jc w:val="both"/>
      </w:pPr>
      <w:r>
        <w:rPr>
          <w:rFonts w:ascii="Times New Roman" w:hAnsi="Times New Roman"/>
          <w:b/>
          <w:sz w:val="22"/>
        </w:rPr>
        <w:t>B-15 — "Shared underlying competence" is speculative; hedge or support it.</w:t>
      </w:r>
    </w:p>
    <w:p>
      <w:pPr>
        <w:spacing w:after="120"/>
        <w:jc w:val="both"/>
      </w:pPr>
      <w:r>
        <w:rPr>
          <w:rFonts w:ascii="Times New Roman" w:hAnsi="Times New Roman"/>
          <w:sz w:val="22"/>
        </w:rPr>
        <w:t>Adopted. The claim is now hedged and presented as one possible interpretation rather than an inference.</w:t>
      </w:r>
    </w:p>
    <w:p>
      <w:pPr>
        <w:spacing w:after="120"/>
        <w:jc w:val="both"/>
      </w:pPr>
      <w:r>
        <w:rPr>
          <w:rFonts w:ascii="Times New Roman" w:hAnsi="Times New Roman"/>
          <w:b/>
          <w:sz w:val="22"/>
        </w:rPr>
        <w:t>B-16 — Add an explicit statement of the contribution to informatics/computer science in the Discussion.</w:t>
      </w:r>
      <w:r>
        <w:rPr>
          <w:rFonts w:ascii="Times New Roman" w:hAnsi="Times New Roman"/>
          <w:sz w:val="22"/>
        </w:rPr>
        <w:t xml:space="preserve"> Adopted; see A-7.</w:t>
      </w:r>
    </w:p>
    <w:p>
      <w:pPr>
        <w:spacing w:after="120"/>
        <w:jc w:val="both"/>
      </w:pPr>
      <w:r>
        <w:rPr>
          <w:rFonts w:ascii="Times New Roman" w:hAnsi="Times New Roman"/>
          <w:b/>
          <w:sz w:val="22"/>
        </w:rPr>
        <w:t>B-17 — Add a closing synthesis linking limitations to future research.</w:t>
      </w:r>
    </w:p>
    <w:p>
      <w:pPr>
        <w:spacing w:after="120"/>
        <w:jc w:val="both"/>
      </w:pPr>
      <w:r>
        <w:rPr>
          <w:rFonts w:ascii="Times New Roman" w:hAnsi="Times New Roman"/>
          <w:sz w:val="22"/>
        </w:rPr>
        <w:t>Adopted. The Limitations subsection now closes with a synthesis sentence connecting each limitation to the corresponding follow-up work.</w:t>
      </w:r>
    </w:p>
    <w:p>
      <w:pPr>
        <w:spacing w:after="120"/>
        <w:jc w:val="both"/>
      </w:pPr>
      <w:r>
        <w:rPr>
          <w:rFonts w:ascii="Times New Roman" w:hAnsi="Times New Roman"/>
          <w:b/>
          <w:sz w:val="22"/>
        </w:rPr>
        <w:t>B-18 — Name the broader disciplinary contribution in the Conclusion.</w:t>
      </w:r>
      <w:r>
        <w:rPr>
          <w:rFonts w:ascii="Times New Roman" w:hAnsi="Times New Roman"/>
          <w:sz w:val="22"/>
        </w:rPr>
        <w:t xml:space="preserve"> Adopted; see A-8 and A-7.</w:t>
      </w:r>
    </w:p>
    <w:p>
      <w:pPr>
        <w:spacing w:after="120"/>
        <w:jc w:val="both"/>
      </w:pPr>
      <w:r>
        <w:rPr>
          <w:rFonts w:ascii="Times New Roman" w:hAnsi="Times New Roman"/>
          <w:b/>
          <w:sz w:val="22"/>
        </w:rPr>
        <w:t>B-19 — Add an explicit forward-looking future-research sentence in the Conclusion.</w:t>
      </w:r>
      <w:r>
        <w:rPr>
          <w:rFonts w:ascii="Times New Roman" w:hAnsi="Times New Roman"/>
          <w:sz w:val="22"/>
        </w:rPr>
        <w:t xml:space="preserve"> Adopted; see A-8.</w:t>
      </w:r>
    </w:p>
    <w:p>
      <w:pPr>
        <w:spacing w:after="120"/>
        <w:jc w:val="both"/>
      </w:pPr>
      <w:r>
        <w:rPr>
          <w:rFonts w:ascii="Times New Roman" w:hAnsi="Times New Roman"/>
          <w:b/>
          <w:sz w:val="22"/>
        </w:rPr>
        <w:t>B-20 — Trim duplicated numeric detail from the Conclusion.</w:t>
      </w:r>
    </w:p>
    <w:p>
      <w:pPr>
        <w:spacing w:after="120"/>
        <w:jc w:val="both"/>
      </w:pPr>
      <w:r>
        <w:rPr>
          <w:rFonts w:ascii="Times New Roman" w:hAnsi="Times New Roman"/>
          <w:sz w:val="22"/>
        </w:rPr>
        <w:t>Adopted. Repeated statistics have been reduced in the Conclusion; precise figures are retained in the Abstract and Results.</w:t>
      </w:r>
    </w:p>
    <w:p>
      <w:pPr>
        <w:spacing w:after="120"/>
        <w:jc w:val="both"/>
      </w:pPr>
      <w:r>
        <w:rPr>
          <w:rFonts w:ascii="Times New Roman" w:hAnsi="Times New Roman"/>
          <w:b/>
          <w:sz w:val="22"/>
        </w:rPr>
        <w:t>B-21 — Reference [24] as unpublished primary data is a red flag.</w:t>
      </w:r>
      <w:r>
        <w:rPr>
          <w:rFonts w:ascii="Times New Roman" w:hAnsi="Times New Roman"/>
          <w:sz w:val="22"/>
        </w:rPr>
        <w:t xml:space="preserve"> Adopted; see A-9. The claim is additionally framed in the text as a corroborating companion measurement rather than a primary empirical pillar, so the argument does not rest on it.</w:t>
      </w:r>
    </w:p>
    <w:p>
      <w:pPr>
        <w:spacing w:after="120"/>
        <w:jc w:val="both"/>
      </w:pPr>
      <w:r>
        <w:rPr>
          <w:rFonts w:ascii="Times New Roman" w:hAnsi="Times New Roman"/>
          <w:b/>
          <w:sz w:val="22"/>
        </w:rPr>
        <w:t>B-22 — Add ISBN to the monograph [22]; check arXiv entry consistency.</w:t>
      </w:r>
    </w:p>
    <w:p>
      <w:pPr>
        <w:spacing w:after="120"/>
        <w:jc w:val="both"/>
      </w:pPr>
      <w:r>
        <w:rPr>
          <w:rFonts w:ascii="Times New Roman" w:hAnsi="Times New Roman"/>
          <w:sz w:val="22"/>
        </w:rPr>
        <w:t>Adopted. ISBNs have been added to both monographs in the list — Errington (978-0-8122-8103-3) and Krippendorff (978-1-5063-9566-1) — rather than only the one the reviewer named, for consistency. All arXiv-only entries follow a single format (</w:t>
      </w:r>
      <w:r>
        <w:rPr>
          <w:rFonts w:ascii="Consolas" w:hAnsi="Consolas"/>
          <w:sz w:val="22"/>
        </w:rPr>
        <w:t>arXiv preprint arXiv:NNNN.NNNNN, YEAR</w:t>
      </w:r>
      <w:r>
        <w:rPr>
          <w:rFonts w:ascii="Times New Roman" w:hAnsi="Times New Roman"/>
          <w:sz w:val="22"/>
        </w:rPr>
        <w:t>). We re-checked Crossref for a peer-reviewed version of the SEAHateCheck entry and found none at the time of revision, so it remains cited as a preprint; we have not claimed a published version that does not exist.</w:t>
      </w:r>
    </w:p>
    <w:p>
      <w:pPr>
        <w:spacing w:after="120"/>
        <w:jc w:val="both"/>
      </w:pPr>
      <w:r>
        <w:rPr>
          <w:rFonts w:ascii="Times New Roman" w:hAnsi="Times New Roman"/>
          <w:b/>
          <w:sz w:val="22"/>
        </w:rPr>
        <w:t>B-23 — Confirm the bibliography is maintained with a reference manager.</w:t>
      </w:r>
      <w:r>
        <w:rPr>
          <w:rFonts w:ascii="Times New Roman" w:hAnsi="Times New Roman"/>
          <w:sz w:val="22"/>
        </w:rPr>
        <w:t xml:space="preserve"> Confirmed; see A-10.</w:t>
      </w:r>
    </w:p>
    <w:p>
      <w:pPr>
        <w:spacing w:before="240" w:after="80"/>
      </w:pPr>
      <w:r>
        <w:rPr>
          <w:rFonts w:ascii="Times New Roman" w:hAnsi="Times New Roman"/>
          <w:b/>
          <w:sz w:val="24"/>
        </w:rPr>
        <w:t>Change log for this revision</w:t>
      </w:r>
    </w:p>
    <w:p>
      <w:pPr>
        <w:spacing w:after="120"/>
        <w:jc w:val="both"/>
      </w:pPr>
      <w:r>
        <w:rPr>
          <w:rFonts w:ascii="Times New Roman" w:hAnsi="Times New Roman"/>
          <w:b/>
          <w:sz w:val="22"/>
        </w:rPr>
        <w:t>Structure</w:t>
      </w:r>
    </w:p>
    <w:p>
      <w:pPr>
        <w:pStyle w:val="ListBullet"/>
        <w:spacing w:after="40"/>
        <w:jc w:val="both"/>
      </w:pPr>
      <w:r>
        <w:rPr>
          <w:rFonts w:ascii="Times New Roman" w:hAnsi="Times New Roman"/>
          <w:sz w:val="22"/>
        </w:rPr>
        <w:t xml:space="preserve">Title extended with the method phrase; abstract restructured to problem–aim–method–results–impact and trimmed 267 → 234 words; </w:t>
      </w:r>
      <w:r>
        <w:rPr>
          <w:rFonts w:ascii="Consolas" w:hAnsi="Consolas"/>
          <w:sz w:val="22"/>
        </w:rPr>
        <w:t>diglossia</w:t>
      </w:r>
      <w:r>
        <w:rPr>
          <w:rFonts w:ascii="Times New Roman" w:hAnsi="Times New Roman"/>
          <w:sz w:val="22"/>
        </w:rPr>
        <w:t xml:space="preserve"> added as a sixth keyword.</w:t>
      </w:r>
    </w:p>
    <w:p>
      <w:pPr>
        <w:pStyle w:val="ListBullet"/>
        <w:spacing w:after="40"/>
        <w:jc w:val="both"/>
      </w:pPr>
      <w:r>
        <w:rPr>
          <w:rFonts w:ascii="Times New Roman" w:hAnsi="Times New Roman"/>
          <w:sz w:val="22"/>
        </w:rPr>
        <w:t>Introduction: gap/novelty consolidated into a dedicated paragraph moved directly after the prior-work paragraph; explicit objective sentence added before the Contributions list; the "Why the human bottleneck matters here" block moved out of the Introduction into Method §2.6, where it belongs as design rationale.</w:t>
      </w:r>
    </w:p>
    <w:p>
      <w:pPr>
        <w:pStyle w:val="ListBullet"/>
        <w:spacing w:after="40"/>
        <w:jc w:val="both"/>
      </w:pPr>
      <w:r>
        <w:rPr>
          <w:rFonts w:ascii="Times New Roman" w:hAnsi="Times New Roman"/>
          <w:sz w:val="22"/>
        </w:rPr>
        <w:t>Results reordered to follow the Method sequence exactly: labeling baseline (§3.1) → generation authenticity (§3.2) → register difficulty (§3.3) → multi-validator validation (§3.4) → detection probe (§3.5). All cross-references reflowed programmatically.</w:t>
      </w:r>
    </w:p>
    <w:p>
      <w:pPr>
        <w:pStyle w:val="ListBullet"/>
        <w:spacing w:after="40"/>
        <w:jc w:val="both"/>
      </w:pPr>
      <w:r>
        <w:rPr>
          <w:rFonts w:ascii="Times New Roman" w:hAnsi="Times New Roman"/>
          <w:sz w:val="22"/>
        </w:rPr>
        <w:t>Discussion: new §4.5 "Contribution to informatics and computer science" inserted before Limitations; Limitations → §4.6, Ethics and dual-use → §4.7.</w:t>
      </w:r>
    </w:p>
    <w:p>
      <w:pPr>
        <w:pStyle w:val="ListBullet"/>
        <w:spacing w:after="40"/>
        <w:jc w:val="both"/>
      </w:pPr>
      <w:r>
        <w:rPr>
          <w:rFonts w:ascii="Times New Roman" w:hAnsi="Times New Roman"/>
          <w:sz w:val="22"/>
        </w:rPr>
        <w:t>Conclusion split into two paragraphs, repeated numerics trimmed, explicit future-research sentence added.</w:t>
      </w:r>
    </w:p>
    <w:p>
      <w:pPr>
        <w:spacing w:after="120"/>
        <w:jc w:val="both"/>
      </w:pPr>
      <w:r>
        <w:rPr>
          <w:rFonts w:ascii="Times New Roman" w:hAnsi="Times New Roman"/>
          <w:b/>
          <w:sz w:val="22"/>
        </w:rPr>
        <w:t>New content</w:t>
      </w:r>
    </w:p>
    <w:p>
      <w:pPr>
        <w:pStyle w:val="ListBullet"/>
        <w:spacing w:after="40"/>
        <w:jc w:val="both"/>
      </w:pPr>
      <w:r>
        <w:rPr>
          <w:rFonts w:ascii="Times New Roman" w:hAnsi="Times New Roman"/>
          <w:sz w:val="22"/>
        </w:rPr>
        <w:t>Figure 1: end-to-end research pipeline flowchart (all figures renumbered; taxonomy → Fig. 2, validator bars → Fig. 3, heatmap → Fig. 4).</w:t>
      </w:r>
    </w:p>
    <w:p>
      <w:pPr>
        <w:pStyle w:val="ListBullet"/>
        <w:spacing w:after="40"/>
        <w:jc w:val="both"/>
      </w:pPr>
      <w:r>
        <w:rPr>
          <w:rFonts w:ascii="Times New Roman" w:hAnsi="Times New Roman"/>
          <w:sz w:val="22"/>
        </w:rPr>
        <w:t>Figure 5: grouped bar chart with Wilson 95% intervals, companion to the heatmap.</w:t>
      </w:r>
    </w:p>
    <w:p>
      <w:pPr>
        <w:pStyle w:val="ListBullet"/>
        <w:spacing w:after="40"/>
        <w:jc w:val="both"/>
      </w:pPr>
      <w:r>
        <w:rPr>
          <w:rFonts w:ascii="Times New Roman" w:hAnsi="Times New Roman"/>
          <w:sz w:val="22"/>
        </w:rPr>
        <w:t>Table 3: inference parameters by pipeline stage (all subsequent tables renumbered).</w:t>
      </w:r>
    </w:p>
    <w:p>
      <w:pPr>
        <w:pStyle w:val="ListBullet"/>
        <w:spacing w:after="40"/>
        <w:jc w:val="both"/>
      </w:pPr>
      <w:r>
        <w:rPr>
          <w:rFonts w:ascii="Times New Roman" w:hAnsi="Times New Roman"/>
          <w:sz w:val="22"/>
        </w:rPr>
        <w:t>§2.5: LLM filter decision criteria, inclusion rule, and production yield with the parse-failure rate disclosed.</w:t>
      </w:r>
    </w:p>
    <w:p>
      <w:pPr>
        <w:pStyle w:val="ListBullet"/>
        <w:spacing w:after="40"/>
        <w:jc w:val="both"/>
      </w:pPr>
      <w:r>
        <w:rPr>
          <w:rFonts w:ascii="Times New Roman" w:hAnsi="Times New Roman"/>
          <w:sz w:val="22"/>
        </w:rPr>
        <w:t>§2.8: statement of which statistical procedures apply to the detection rate.</w:t>
      </w:r>
    </w:p>
    <w:p>
      <w:pPr>
        <w:pStyle w:val="ListBullet"/>
        <w:spacing w:after="40"/>
        <w:jc w:val="both"/>
      </w:pPr>
      <w:r>
        <w:rPr>
          <w:rFonts w:ascii="Times New Roman" w:hAnsi="Times New Roman"/>
          <w:sz w:val="22"/>
        </w:rPr>
        <w:t>§3.2 and §3.5: bootstrap and Wilson intervals; small-sample caveat at first mention.</w:t>
      </w:r>
    </w:p>
    <w:p>
      <w:pPr>
        <w:pStyle w:val="ListBullet"/>
        <w:spacing w:after="40"/>
        <w:jc w:val="both"/>
      </w:pPr>
      <w:r>
        <w:rPr>
          <w:rFonts w:ascii="Times New Roman" w:hAnsi="Times New Roman"/>
          <w:sz w:val="22"/>
        </w:rPr>
        <w:t>§4.6: closing synthesis mapping all six limitations onto specific follow-up work.</w:t>
      </w:r>
    </w:p>
    <w:p>
      <w:pPr>
        <w:pStyle w:val="ListBullet"/>
        <w:spacing w:after="40"/>
        <w:jc w:val="both"/>
      </w:pPr>
      <w:r>
        <w:rPr>
          <w:rFonts w:ascii="Times New Roman" w:hAnsi="Times New Roman"/>
          <w:sz w:val="22"/>
        </w:rPr>
        <w:t>Two verified references added (Saifullah &amp; Dreżewski 2026; Ghosh &amp; Senapati 2024).</w:t>
      </w:r>
    </w:p>
    <w:p>
      <w:pPr>
        <w:spacing w:after="120"/>
        <w:jc w:val="both"/>
      </w:pPr>
      <w:r>
        <w:rPr>
          <w:rFonts w:ascii="Times New Roman" w:hAnsi="Times New Roman"/>
          <w:b/>
          <w:sz w:val="22"/>
        </w:rPr>
        <w:t>Corrections made on our own initiative</w:t>
      </w:r>
    </w:p>
    <w:p>
      <w:pPr>
        <w:pStyle w:val="ListBullet"/>
        <w:spacing w:after="40"/>
        <w:jc w:val="both"/>
      </w:pPr>
      <w:r>
        <w:rPr>
          <w:rFonts w:ascii="Times New Roman" w:hAnsi="Times New Roman"/>
          <w:sz w:val="22"/>
        </w:rPr>
        <w:t xml:space="preserve">§2.6 previously reported the generation token budget as </w:t>
      </w:r>
      <w:r>
        <w:rPr>
          <w:rFonts w:ascii="Consolas" w:hAnsi="Consolas"/>
          <w:sz w:val="22"/>
        </w:rPr>
        <w:t>max_tokens=8192</w:t>
      </w:r>
      <w:r>
        <w:rPr>
          <w:rFonts w:ascii="Times New Roman" w:hAnsi="Times New Roman"/>
          <w:sz w:val="22"/>
        </w:rPr>
        <w:t>. That was the value in a pre-run version of the script; the run that produced the data used an escalating budget (12,000 → 20,000 → 30,000) with retry-on-truncation. Corrected, with the reason for the escalation stated.</w:t>
      </w:r>
    </w:p>
    <w:p>
      <w:pPr>
        <w:pStyle w:val="ListBullet"/>
        <w:spacing w:after="40"/>
        <w:jc w:val="both"/>
      </w:pPr>
      <w:r>
        <w:rPr>
          <w:rFonts w:ascii="Times New Roman" w:hAnsi="Times New Roman"/>
          <w:sz w:val="22"/>
        </w:rPr>
        <w:t>ISBNs added to both monographs; references renumbered by order of first citation.</w:t>
      </w:r>
    </w:p>
    <w:p>
      <w:pPr>
        <w:spacing w:after="120"/>
        <w:jc w:val="both"/>
      </w:pPr>
      <w:r>
        <w:rPr>
          <w:rFonts w:ascii="Times New Roman" w:hAnsi="Times New Roman"/>
          <w:b/>
          <w:sz w:val="22"/>
        </w:rPr>
        <w:t>Verification performed</w:t>
      </w:r>
    </w:p>
    <w:p>
      <w:pPr>
        <w:pStyle w:val="ListBullet"/>
        <w:spacing w:after="40"/>
        <w:jc w:val="both"/>
      </w:pPr>
      <w:r>
        <w:rPr>
          <w:rFonts w:ascii="Times New Roman" w:hAnsi="Times New Roman"/>
          <w:sz w:val="22"/>
        </w:rPr>
        <w:t>47 references, all cited in text, none orphaned; 38/47 (80.9%) journal or conference; 30 recent primary references; 5 preprints (10.6%).</w:t>
      </w:r>
    </w:p>
    <w:p>
      <w:pPr>
        <w:pStyle w:val="ListBullet"/>
        <w:spacing w:after="40"/>
        <w:jc w:val="both"/>
      </w:pPr>
      <w:r>
        <w:rPr>
          <w:rFonts w:ascii="Times New Roman" w:hAnsi="Times New Roman"/>
          <w:sz w:val="22"/>
        </w:rPr>
        <w:t>Introduction cites 32 distinct references.</w:t>
      </w:r>
    </w:p>
    <w:p>
      <w:pPr>
        <w:pStyle w:val="ListBullet"/>
        <w:spacing w:after="40"/>
        <w:jc w:val="both"/>
      </w:pPr>
      <w:r>
        <w:rPr>
          <w:rFonts w:ascii="Times New Roman" w:hAnsi="Times New Roman"/>
          <w:sz w:val="22"/>
        </w:rPr>
        <w:t>Body length 8,196 words (JUTIF minimum 4,000).</w:t>
      </w:r>
    </w:p>
    <w:p>
      <w:pPr>
        <w:pStyle w:val="ListBullet"/>
        <w:spacing w:after="40"/>
        <w:jc w:val="both"/>
      </w:pPr>
      <w:r>
        <w:rPr>
          <w:rFonts w:ascii="Times New Roman" w:hAnsi="Times New Roman"/>
          <w:sz w:val="22"/>
        </w:rPr>
        <w:t>All figures regenerated at 400 dpi.</w:t>
      </w:r>
    </w:p>
    <w:p>
      <w:pPr>
        <w:pStyle w:val="ListBullet"/>
        <w:spacing w:after="40"/>
        <w:jc w:val="both"/>
      </w:pPr>
      <w:r>
        <w:rPr>
          <w:rFonts w:ascii="Times New Roman" w:hAnsi="Times New Roman"/>
          <w:sz w:val="22"/>
        </w:rPr>
        <w:t>Final file checked: 10 tables, 5 content figures, 2 numbered equations, 47 reference entries, all text in Times New Roman, and every revised or added sentence carries a yellow highlight.</w:t>
      </w:r>
    </w:p>
    <w:p>
      <w:pPr>
        <w:pStyle w:val="ListBullet"/>
        <w:spacing w:after="40"/>
        <w:jc w:val="both"/>
      </w:pPr>
      <w:r>
        <w:rPr>
          <w:rFonts w:ascii="Times New Roman" w:hAnsi="Times New Roman"/>
          <w:sz w:val="22"/>
        </w:rPr>
        <w:t>Turnitin similarity index 9% (report uploaded with this revision).</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