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ver-letter-crime-law-and-social-change"/>
    <w:p>
      <w:pPr>
        <w:pStyle w:val="Heading1"/>
      </w:pPr>
      <w:r>
        <w:t xml:space="preserve">Cover Letter — Crime, Law and Social Change</w:t>
      </w:r>
    </w:p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We submit for your consideration our manuscript entitled</w:t>
      </w:r>
      <w:r>
        <w:t xml:space="preserve"> </w:t>
      </w:r>
      <w:r>
        <w:rPr>
          <w:b/>
          <w:bCs/>
        </w:rPr>
        <w:t xml:space="preserve">“Charge Type, Judicial Opacity, and the Limits of Prediction: A Computational Analysis of Indonesian Corruption Sentences”</w:t>
      </w:r>
      <w:r>
        <w:t xml:space="preserve"> </w:t>
      </w:r>
      <w:r>
        <w:t xml:space="preserve">for publication in</w:t>
      </w:r>
      <w:r>
        <w:t xml:space="preserve"> </w:t>
      </w:r>
      <w:r>
        <w:rPr>
          <w:i/>
          <w:iCs/>
        </w:rPr>
        <w:t xml:space="preserve">Crime, Law and Social Change</w:t>
      </w:r>
      <w:r>
        <w:t xml:space="preserve">.</w:t>
      </w:r>
    </w:p>
    <w:p>
      <w:pPr>
        <w:pStyle w:val="BodyText"/>
      </w:pPr>
      <w:r>
        <w:t xml:space="preserve">This study presents the first large-scale computational analysis of Indonesian corruption sentencing, using a novel corpus of 671 Supreme Court verdicts. We report three principal findings: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Charge type is independently associated with sentencing severity.</w:t>
      </w:r>
      <w:r>
        <w:t xml:space="preserve"> </w:t>
      </w:r>
      <w:r>
        <w:t xml:space="preserve">After controlling for prosecution demand, cases classified under Pasal 2 (enrichment) of Indonesia’s Anti-Corruption Law receive sentences 0.73 years longer than equivalent Pasal 3 (authority abuse) cases (b=0.730, p=0.002, Cohen’s d=0.58). This association is temporally stable (pre-2024 and post-2024, interaction p=0.94) and is detected through text analysis of judicial reasoning rather than structured case metadata.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sentencing discount is opaque from public documents.</w:t>
      </w:r>
      <w:r>
        <w:t xml:space="preserve"> </w:t>
      </w:r>
      <w:r>
        <w:t xml:space="preserve">The ratio of sentence to prosecution demand (mean 0.78) cannot be predicted from any available feature (R2=-0.01), suggesting that approximately 40% of sentencing variance reflects factors not recoverable from published verdicts.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Text mining approaches systematically fail</w:t>
      </w:r>
      <w:r>
        <w:t xml:space="preserve"> </w:t>
      </w:r>
      <w:r>
        <w:t xml:space="preserve">to improve sentencing prediction at this corpus size, a negative result documented across 30+ experiments with TF-IDF, transformer embeddings, and domain-specific features.</w:t>
      </w:r>
    </w:p>
    <w:p>
      <w:pPr>
        <w:pStyle w:val="FirstParagraph"/>
      </w:pPr>
      <w:r>
        <w:t xml:space="preserve">We believe this manuscript fits well within the scope of</w:t>
      </w:r>
      <w:r>
        <w:t xml:space="preserve"> </w:t>
      </w:r>
      <w:r>
        <w:rPr>
          <w:i/>
          <w:iCs/>
        </w:rPr>
        <w:t xml:space="preserve">Crime, Law and Social Change</w:t>
      </w:r>
      <w:r>
        <w:t xml:space="preserve"> </w:t>
      </w:r>
      <w:r>
        <w:t xml:space="preserve">for several reasons: it addresses corruption sentencing — a core topic of the journal — using rigorous quantitative methods applied to a novel Southeast Asian dataset. The findings have direct policy implications for anti-corruption reform, judicial transparency, and sentencing consistency monitoring in Indonesia.</w:t>
      </w:r>
    </w:p>
    <w:p>
      <w:pPr>
        <w:pStyle w:val="BodyText"/>
      </w:pPr>
      <w:r>
        <w:t xml:space="preserve">The manuscript has not been submitted elsewhere. Code and data are available for reproducibility. A preprint version has been posted on SSRN (Abstract ID: 6574140).</w:t>
      </w:r>
    </w:p>
    <w:p>
      <w:pPr>
        <w:pStyle w:val="BodyText"/>
      </w:pPr>
      <w:r>
        <w:t xml:space="preserve">In accordance with Springer Nature’s policy on AI-assisted tools, I disclose that Claude (Anthropic) was used as a computational research assistant for programming, literature search, and manuscript drafting. All analyses were independently verified through reproducible scripts, and I take full responsibility for all scientific claims and interpretations. Full details are provided in the Declarations section of the manuscript.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Mukhlis Amien</w:t>
      </w:r>
      <w:r>
        <w:t xml:space="preserve"> </w:t>
      </w:r>
      <w:r>
        <w:t xml:space="preserve">Department of Informatics, Universitas Bhinneka Nusantara, Malang, Indonesia</w:t>
      </w:r>
      <w:r>
        <w:t xml:space="preserve"> </w:t>
      </w:r>
      <w:r>
        <w:t xml:space="preserve">Email: amien@ubhinus.ac.id</w:t>
      </w:r>
      <w:r>
        <w:t xml:space="preserve"> </w:t>
      </w:r>
      <w:r>
        <w:t xml:space="preserve">ORCID: 0000-0002-1848-167X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2026-04-14T09:29:15Z</dcterms:created>
  <dcterms:modified xsi:type="dcterms:W3CDTF">2026-04-14T09:29:15Z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