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Cambria" w:cs="Cambria" w:eastAsia="Cambria" w:hAnsi="Cambria"/>
          <w:b/>
          <w:bCs/>
          <w:sz w:val="28"/>
          <w:szCs w:val="28"/>
        </w:rPr>
        <w:t xml:space="preserve">Label-smoothing optimized BERT for Javanese hate speech detection</w:t>
      </w:r>
    </w:p>
    <w:p>
      <w:pPr>
        <w:spacing w:after="100"/>
        <w:jc w:val="center"/>
      </w:pPr>
      <w:r>
        <w:rPr>
          <w:rFonts w:ascii="Cambria" w:cs="Cambria" w:eastAsia="Cambria" w:hAnsi="Cambria"/>
          <w:sz w:val="20"/>
          <w:szCs w:val="20"/>
        </w:rPr>
        <w:t xml:space="preserve">Mukhlis Amien</w:t>
      </w:r>
      <w:r>
        <w:rPr>
          <w:rFonts w:ascii="Cambria" w:cs="Cambria" w:eastAsia="Cambria" w:hAnsi="Cambria"/>
          <w:sz w:val="20"/>
          <w:szCs w:val="20"/>
          <w:vertAlign w:val="superscript"/>
        </w:rPr>
        <w:t xml:space="preserve">1*</w:t>
      </w:r>
      <w:r>
        <w:rPr>
          <w:rFonts w:ascii="Cambria" w:cs="Cambria" w:eastAsia="Cambria" w:hAnsi="Cambria"/>
          <w:sz w:val="20"/>
          <w:szCs w:val="20"/>
        </w:rPr>
        <w:t xml:space="preserve">; Daniel Rudiaman Sijabat</w:t>
      </w:r>
      <w:r>
        <w:rPr>
          <w:rFonts w:ascii="Cambria" w:cs="Cambria" w:eastAsia="Cambria" w:hAnsi="Cambria"/>
          <w:sz w:val="20"/>
          <w:szCs w:val="20"/>
          <w:vertAlign w:val="superscript"/>
        </w:rPr>
        <w:t xml:space="preserve">2</w:t>
      </w:r>
      <w:r>
        <w:rPr>
          <w:rFonts w:ascii="Cambria" w:cs="Cambria" w:eastAsia="Cambria" w:hAnsi="Cambria"/>
          <w:sz w:val="20"/>
          <w:szCs w:val="20"/>
        </w:rPr>
        <w:t xml:space="preserve">; Yekti Asmoro Kanthi</w:t>
      </w:r>
      <w:r>
        <w:rPr>
          <w:rFonts w:ascii="Cambria" w:cs="Cambria" w:eastAsia="Cambria" w:hAnsi="Cambria"/>
          <w:sz w:val="20"/>
          <w:szCs w:val="20"/>
          <w:vertAlign w:val="superscript"/>
        </w:rPr>
        <w:t xml:space="preserve">3</w:t>
      </w:r>
    </w:p>
    <w:p>
      <w:pPr>
        <w:spacing w:after="60"/>
        <w:jc w:val="center"/>
      </w:pPr>
      <w:r>
        <w:rPr>
          <w:rFonts w:ascii="Cambria" w:cs="Cambria" w:eastAsia="Cambria" w:hAnsi="Cambria"/>
          <w:sz w:val="20"/>
          <w:szCs w:val="20"/>
        </w:rPr>
        <w:t xml:space="preserve">Informatics</w:t>
      </w:r>
      <w:r>
        <w:rPr>
          <w:rFonts w:ascii="Cambria" w:cs="Cambria" w:eastAsia="Cambria" w:hAnsi="Cambria"/>
          <w:sz w:val="20"/>
          <w:szCs w:val="20"/>
          <w:vertAlign w:val="superscript"/>
        </w:rPr>
        <w:t xml:space="preserve">1,2</w:t>
      </w:r>
      <w:r>
        <w:rPr>
          <w:rFonts w:ascii="Cambria" w:cs="Cambria" w:eastAsia="Cambria" w:hAnsi="Cambria"/>
          <w:sz w:val="20"/>
          <w:szCs w:val="20"/>
        </w:rPr>
        <w:t xml:space="preserve">, Information System</w:t>
      </w:r>
      <w:r>
        <w:rPr>
          <w:rFonts w:ascii="Cambria" w:cs="Cambria" w:eastAsia="Cambria" w:hAnsi="Cambria"/>
          <w:sz w:val="20"/>
          <w:szCs w:val="20"/>
          <w:vertAlign w:val="superscript"/>
        </w:rPr>
        <w:t xml:space="preserve">3</w:t>
      </w:r>
    </w:p>
    <w:p>
      <w:pPr>
        <w:spacing w:after="60"/>
        <w:jc w:val="center"/>
      </w:pPr>
      <w:r>
        <w:rPr>
          <w:rFonts w:ascii="Cambria" w:cs="Cambria" w:eastAsia="Cambria" w:hAnsi="Cambria"/>
          <w:sz w:val="20"/>
          <w:szCs w:val="20"/>
        </w:rPr>
        <w:t xml:space="preserve">Universitas Bhinneka Nusantara, Malang, Indonesia</w:t>
      </w:r>
      <w:r>
        <w:rPr>
          <w:rFonts w:ascii="Cambria" w:cs="Cambria" w:eastAsia="Cambria" w:hAnsi="Cambria"/>
          <w:sz w:val="20"/>
          <w:szCs w:val="20"/>
          <w:vertAlign w:val="superscript"/>
        </w:rPr>
        <w:t xml:space="preserve">1,2,3</w:t>
      </w:r>
    </w:p>
    <w:p>
      <w:pPr>
        <w:spacing w:after="200"/>
        <w:jc w:val="center"/>
      </w:pPr>
      <w:r>
        <w:rPr>
          <w:rFonts w:ascii="Cambria" w:cs="Cambria" w:eastAsia="Cambria" w:hAnsi="Cambria"/>
          <w:sz w:val="20"/>
          <w:szCs w:val="20"/>
        </w:rPr>
        <w:t xml:space="preserve">amien@ubhinus.ac.id</w:t>
      </w:r>
      <w:r>
        <w:rPr>
          <w:rFonts w:ascii="Cambria" w:cs="Cambria" w:eastAsia="Cambria" w:hAnsi="Cambria"/>
          <w:sz w:val="20"/>
          <w:szCs w:val="20"/>
          <w:vertAlign w:val="superscript"/>
        </w:rPr>
        <w:t xml:space="preserve">1*</w:t>
      </w:r>
      <w:r>
        <w:rPr>
          <w:rFonts w:ascii="Cambria" w:cs="Cambria" w:eastAsia="Cambria" w:hAnsi="Cambria"/>
          <w:sz w:val="20"/>
          <w:szCs w:val="20"/>
        </w:rPr>
        <w:t xml:space="preserve">, daniel223@ubhinus.ac.id</w:t>
      </w:r>
      <w:r>
        <w:rPr>
          <w:rFonts w:ascii="Cambria" w:cs="Cambria" w:eastAsia="Cambria" w:hAnsi="Cambria"/>
          <w:sz w:val="20"/>
          <w:szCs w:val="20"/>
          <w:vertAlign w:val="superscript"/>
        </w:rPr>
        <w:t xml:space="preserve">2</w:t>
      </w:r>
      <w:r>
        <w:rPr>
          <w:rFonts w:ascii="Cambria" w:cs="Cambria" w:eastAsia="Cambria" w:hAnsi="Cambria"/>
          <w:sz w:val="20"/>
          <w:szCs w:val="20"/>
        </w:rPr>
        <w:t xml:space="preserve">, yektiasmoro@ubhinus.ac.id</w:t>
      </w:r>
      <w:r>
        <w:rPr>
          <w:rFonts w:ascii="Cambria" w:cs="Cambria" w:eastAsia="Cambria" w:hAnsi="Cambria"/>
          <w:sz w:val="20"/>
          <w:szCs w:val="20"/>
          <w:vertAlign w:val="superscript"/>
        </w:rPr>
        <w:t xml:space="preserve">3</w:t>
      </w:r>
    </w:p>
    <w:p>
      <w:pPr>
        <w:spacing w:after="120"/>
        <w:jc w:val="both"/>
      </w:pPr>
      <w:r>
        <w:rPr>
          <w:rFonts w:ascii="Cambria" w:cs="Cambria" w:eastAsia="Cambria" w:hAnsi="Cambria"/>
          <w:b/>
          <w:bCs/>
          <w:i/>
          <w:iCs/>
          <w:sz w:val="20"/>
          <w:szCs w:val="20"/>
        </w:rPr>
        <w:t xml:space="preserve">Abstract</w:t>
      </w:r>
      <w:r>
        <w:rPr>
          <w:rFonts w:ascii="Cambria" w:cs="Cambria" w:eastAsia="Cambria" w:hAnsi="Cambria"/>
          <w:i/>
          <w:iCs/>
          <w:sz w:val="20"/>
          <w:szCs w:val="20"/>
        </w:rPr>
        <w:t xml:space="preserve">—Hate speech detection in Javanese presents unique challenges due to the language's complex sociolinguistic features, including hierarchical speech levels (ngoko, madya, krama), extensive code-mixing patterns, and cultural context dependencies affecting over 75 million speakers. This research presents a systematic investigation of transformer-based approaches for Javanese hate speech detection, with a critical finding that label smoothing optimization outperforms complex ensemble methods. Through extensive experimentation across six model architectures and eight loss function variants, this study demonstrates that a single IndoBERT model with label smoothing (ε=0.1) achieves 81.38% F1-Macro on a balanced test set of 1,002 samples, outperforming baseline models by 2.19% improvement. Preliminary experiments with ensemble stacking methods showed validation scores up to 94.09%, however these failed to generalize with test scores dropping to 79.50%, revealing severe overfitting with a gap of 14.59%. The comprehensive hard negative analysis reveals systematic error patterns, with 5.9% of test samples exhibiting high prediction uncertainty and all classes showing confusion with the Light Hate category, identifying this as the fundamental bottleneck. The final model demonstrates genuine generalization with a validation-test gap of only 0.25%.</w:t>
      </w:r>
    </w:p>
    <w:p>
      <w:pPr>
        <w:spacing w:after="200"/>
        <w:jc w:val="both"/>
      </w:pPr>
      <w:r>
        <w:rPr>
          <w:rFonts w:ascii="Cambria" w:cs="Cambria" w:eastAsia="Cambria" w:hAnsi="Cambria"/>
          <w:b/>
          <w:bCs/>
          <w:i/>
          <w:iCs/>
          <w:sz w:val="20"/>
          <w:szCs w:val="20"/>
        </w:rPr>
        <w:t xml:space="preserve">Keywords: </w:t>
      </w:r>
      <w:r>
        <w:rPr>
          <w:rFonts w:ascii="Cambria" w:cs="Cambria" w:eastAsia="Cambria" w:hAnsi="Cambria"/>
          <w:i/>
          <w:iCs/>
          <w:sz w:val="20"/>
          <w:szCs w:val="20"/>
        </w:rPr>
        <w:t xml:space="preserve">javanese, label smoothing, hate speech detection, BERT, hard negative mining</w:t>
      </w:r>
    </w:p>
    <w:p>
      <w:pPr>
        <w:spacing w:after="120"/>
        <w:jc w:val="both"/>
      </w:pPr>
      <w:r>
        <w:rPr>
          <w:rFonts w:ascii="Cambria" w:cs="Cambria" w:eastAsia="Cambria" w:hAnsi="Cambria"/>
          <w:b/>
          <w:bCs/>
          <w:sz w:val="20"/>
          <w:szCs w:val="20"/>
        </w:rPr>
        <w:t xml:space="preserve">Intisari</w:t>
      </w:r>
      <w:r>
        <w:rPr>
          <w:rFonts w:ascii="Cambria" w:cs="Cambria" w:eastAsia="Cambria" w:hAnsi="Cambria"/>
          <w:sz w:val="20"/>
          <w:szCs w:val="20"/>
        </w:rPr>
        <w:t xml:space="preserve">—Deteksi ujaran kebencian dalam bahasa Jawa menghadapi tantangan unik karena kompleksitas sosiolinguistik bahasa tersebut, termasuk tingkatan tutur hierarkis (ngoko, madya, krama), pola campur kode ekstensif, dan ketergantungan konteks budaya yang mempengaruhi lebih dari 75 juta penutur. Penelitian ini menyajikan investigasi sistematis pendekatan berbasis transformer untuk deteksi ujaran kebencian bahasa Jawa, dengan temuan kunci bahwa optimasi label smoothing mengungguli metode ensemble kompleks. Melalui eksperimen ekstensif pada enam arsitektur model dan delapan varian fungsi loss, penelitian ini menunjukkan bahwa model IndoBERT tunggal dengan label smoothing (ε=0.1) mencapai 81,38% F1-Macro pada test set seimbang dari 1.002 sampel, dengan peningkatan 2,19% dari baseline. Eksperimen awal dengan metode ensemble stacking menunjukkan skor validasi hingga 94,09%, namun gagal menggeneralisasi dengan skor test turun menjadi 79,50%, mengungkap overfitting parah dengan gap 14,59%. Analisis hard negative komprehensif mengungkap pola error sistematis, dengan 5,9% sampel test menunjukkan ketidakpastian prediksi tinggi dan semua kelas menunjukkan kebingungan dengan kategori Light Hate sebagai bottleneck fundamental. Model final menunjukkan generalisasi nyata dengan gap validasi-test hanya 0,25%.</w:t>
      </w:r>
    </w:p>
    <w:p>
      <w:pPr>
        <w:spacing w:after="100"/>
        <w:jc w:val="both"/>
      </w:pPr>
      <w:r>
        <w:rPr>
          <w:rFonts w:ascii="Cambria" w:cs="Cambria" w:eastAsia="Cambria" w:hAnsi="Cambria"/>
          <w:b/>
          <w:bCs/>
          <w:sz w:val="20"/>
          <w:szCs w:val="20"/>
        </w:rPr>
        <w:t xml:space="preserve">Kata Kunci: </w:t>
      </w:r>
      <w:r>
        <w:rPr>
          <w:rFonts w:ascii="Cambria" w:cs="Cambria" w:eastAsia="Cambria" w:hAnsi="Cambria"/>
          <w:sz w:val="20"/>
          <w:szCs w:val="20"/>
        </w:rPr>
        <w:t xml:space="preserve">bahasa Jawa, label smoothing, deteksi ujaran kebencian, BERT, hard negative mining</w:t>
      </w:r>
    </w:p>
    <w:p>
      <w:pPr>
        <w:sectPr>
          <w:pgSz w:w="11906" w:h="16838" w:orient="portrait"/>
          <w:pgMar w:top="1417" w:right="1417" w:bottom="1417" w:left="1417" w:header="708" w:footer="708" w:gutter="0"/>
          <w:pgNumType/>
          <w:docGrid w:linePitch="360"/>
        </w:sectPr>
      </w:pPr>
    </w:p>
    <w:p>
      <w:pPr>
        <w:spacing w:before="200" w:after="100"/>
      </w:pPr>
      <w:r>
        <w:rPr>
          <w:rFonts w:ascii="Cambria" w:cs="Cambria" w:eastAsia="Cambria" w:hAnsi="Cambria"/>
          <w:b/>
          <w:bCs/>
          <w:sz w:val="20"/>
          <w:szCs w:val="20"/>
        </w:rPr>
        <w:t xml:space="preserve">INTRODUCTION</w:t>
      </w:r>
    </w:p>
    <w:p>
      <w:pPr>
        <w:spacing w:after="120"/>
        <w:ind w:firstLine="720"/>
        <w:jc w:val="both"/>
      </w:pPr>
      <w:r>
        <w:rPr>
          <w:rFonts w:ascii="Cambria" w:cs="Cambria" w:eastAsia="Cambria" w:hAnsi="Cambria"/>
          <w:sz w:val="20"/>
          <w:szCs w:val="20"/>
        </w:rPr>
        <w:t xml:space="preserve">Hate speech detection in Javanese presents a multifaceted sociolinguistic challenge that transcends conventional natural language processing paradigms. As the world's 12th most spoken language with over 75 million native speakers concentrated primarily in Central and East Java, Indonesia, Javanese exhibits extraordinary linguistic complexity that poses unique challenges for automated content moderation systems [1], [2].</w:t>
      </w:r>
    </w:p>
    <w:p>
      <w:pPr>
        <w:spacing w:after="120"/>
        <w:ind w:firstLine="720"/>
        <w:jc w:val="both"/>
      </w:pPr>
      <w:r>
        <w:rPr>
          <w:rFonts w:ascii="Cambria" w:cs="Cambria" w:eastAsia="Cambria" w:hAnsi="Cambria"/>
          <w:sz w:val="20"/>
          <w:szCs w:val="20"/>
        </w:rPr>
        <w:t xml:space="preserve">The digital transformation of Indonesian society has led to unprecedented growth in Javanese language content across social media platforms. Recent studies indicate that hate speech incidents in Indonesian social media have increased significantly over the past three years [3], with a substantial portion occurring in regional languages like Javanese that remain largely unmonitored by existing automated systems [4].</w:t>
      </w:r>
    </w:p>
    <w:p>
      <w:pPr>
        <w:spacing w:after="120"/>
        <w:ind w:firstLine="720"/>
        <w:jc w:val="both"/>
      </w:pPr>
      <w:r>
        <w:rPr>
          <w:rFonts w:ascii="Cambria" w:cs="Cambria" w:eastAsia="Cambria" w:hAnsi="Cambria"/>
          <w:sz w:val="20"/>
          <w:szCs w:val="20"/>
        </w:rPr>
        <w:t xml:space="preserve">Javanese linguistic structure presents several distinctive characteristics that complicate hate speech detection [5]. First, the hierarchical speech levels consisting of ngoko (informal), madya (semi-formal), and krama (formal) encode complex social relationships that can alter perceived offensiveness. Second, speakers routinely engage in extensive code-mixing, alternating between Javanese, Indonesian, Arabic, and English within single utterances [6], [7]. Third, semantic interpretation relies heavily on shared cultural knowledge varying across communities. Fourth, Javanese lacks substantial annotated datasets and pre-trained models compared to high-resource languages [8].</w:t>
      </w:r>
    </w:p>
    <w:p>
      <w:pPr>
        <w:spacing w:after="120"/>
        <w:ind w:firstLine="720"/>
        <w:jc w:val="both"/>
      </w:pPr>
      <w:r>
        <w:rPr>
          <w:rFonts w:ascii="Cambria" w:cs="Cambria" w:eastAsia="Cambria" w:hAnsi="Cambria"/>
          <w:sz w:val="20"/>
          <w:szCs w:val="20"/>
        </w:rPr>
        <w:t xml:space="preserve">This paper addresses these challenges through systematic experimentation with a critical finding that label smoothing optimization significantly outperforms complex ensemble methods. The contributions include comprehensive model comparison evaluating six transformer architectures including IndoBERT [9], mBERT [10], and XLM-RoBERTa [11], demonstration that label smoothing with ε=0.1 achieves 81.38% F1-Macro outperforming complex ensemble methods, systematic hard negative mining analysis identifying Light Hate as the fundamental bottleneck, and rigorous evaluation confirming genuine generalization with a validation-test gap of only 0.25%.</w:t>
      </w:r>
    </w:p>
    <w:p>
      <w:pPr>
        <w:spacing w:before="200" w:after="100"/>
      </w:pPr>
      <w:r>
        <w:rPr>
          <w:rFonts w:ascii="Cambria" w:cs="Cambria" w:eastAsia="Cambria" w:hAnsi="Cambria"/>
          <w:b/>
          <w:bCs/>
          <w:sz w:val="20"/>
          <w:szCs w:val="20"/>
        </w:rPr>
        <w:t xml:space="preserve">RELATED WORK</w:t>
      </w:r>
    </w:p>
    <w:p>
      <w:pPr>
        <w:spacing w:after="120"/>
        <w:ind w:firstLine="720"/>
        <w:jc w:val="both"/>
      </w:pPr>
      <w:r>
        <w:rPr>
          <w:rFonts w:ascii="Cambria" w:cs="Cambria" w:eastAsia="Cambria" w:hAnsi="Cambria"/>
          <w:sz w:val="20"/>
          <w:szCs w:val="20"/>
        </w:rPr>
        <w:t xml:space="preserve">Research on hate speech detection in Indonesia has evolved significantly in recent years. Ibrohim and Budi [3] introduced a multi-label dataset for Indonesian language consisting of 13,169 tweets with categories including hate speech, abusive language, and their severity levels. Their work using machine learning approaches achieved F1-scores ranging from 70-77% depending on the classification task.</w:t>
      </w:r>
    </w:p>
    <w:p>
      <w:pPr>
        <w:spacing w:after="120"/>
        <w:ind w:firstLine="720"/>
        <w:jc w:val="both"/>
      </w:pPr>
      <w:r>
        <w:rPr>
          <w:rFonts w:ascii="Cambria" w:cs="Cambria" w:eastAsia="Cambria" w:hAnsi="Cambria"/>
          <w:sz w:val="20"/>
          <w:szCs w:val="20"/>
        </w:rPr>
        <w:t xml:space="preserve">For regional languages, Putri et al. [2] conducted a preliminary study on hate speech detection for Javanese and Sundanese languages in tweets. However, their dataset was limited to approximately 4,000 samples with binary classification only. The study highlighted the unique challenges posed by code-mixing and regional linguistic variations.</w:t>
      </w:r>
    </w:p>
    <w:p>
      <w:pPr>
        <w:spacing w:after="120"/>
        <w:ind w:firstLine="720"/>
        <w:jc w:val="both"/>
      </w:pPr>
      <w:r>
        <w:rPr>
          <w:rFonts w:ascii="Cambria" w:cs="Cambria" w:eastAsia="Cambria" w:hAnsi="Cambria"/>
          <w:sz w:val="20"/>
          <w:szCs w:val="20"/>
        </w:rPr>
        <w:t xml:space="preserve">In the context of transformer models for Indonesian NLP, Wilie et al. [8] introduced IndoNLU benchmark and IndoBERT, a BERT model pre-trained on Indonesian corpus. The model has been successfully applied to various NLU tasks including sentiment analysis and named entity recognition, achieving state-of-the-art results on Indonesian benchmarks.</w:t>
      </w:r>
    </w:p>
    <w:p>
      <w:pPr>
        <w:spacing w:after="120"/>
        <w:ind w:firstLine="720"/>
        <w:jc w:val="both"/>
      </w:pPr>
      <w:r>
        <w:rPr>
          <w:rFonts w:ascii="Cambria" w:cs="Cambria" w:eastAsia="Cambria" w:hAnsi="Cambria"/>
          <w:sz w:val="20"/>
          <w:szCs w:val="20"/>
        </w:rPr>
        <w:t xml:space="preserve">Ensemble methods have shown promise in text classification tasks. Lakshminarayanan et al. [18] demonstrated that deep ensembles can provide both improved accuracy and uncertainty estimates. However, the effectiveness of ensemble methods in low-resource language settings with limited data remains underexplored.</w:t>
      </w:r>
    </w:p>
    <w:p>
      <w:pPr>
        <w:spacing w:after="120"/>
        <w:ind w:firstLine="720"/>
        <w:jc w:val="both"/>
      </w:pPr>
      <w:r>
        <w:rPr>
          <w:rFonts w:ascii="Cambria" w:cs="Cambria" w:eastAsia="Cambria" w:hAnsi="Cambria"/>
          <w:sz w:val="20"/>
          <w:szCs w:val="20"/>
        </w:rPr>
        <w:t xml:space="preserve">This research differs from previous work in several aspects. First, it utilizes a larger dataset with 10,019 samples specifically curated for Javanese hate speech. Second, it implements 4-class severity classification rather than binary classification. Third, it provides comprehensive analysis of ensemble method failures in low-resource settings, offering practical insights for future research.</w:t>
      </w:r>
    </w:p>
    <w:p>
      <w:pPr>
        <w:spacing w:before="200" w:after="100"/>
      </w:pPr>
      <w:r>
        <w:rPr>
          <w:rFonts w:ascii="Cambria" w:cs="Cambria" w:eastAsia="Cambria" w:hAnsi="Cambria"/>
          <w:b/>
          <w:bCs/>
          <w:sz w:val="20"/>
          <w:szCs w:val="20"/>
        </w:rPr>
        <w:t xml:space="preserve">MATERIALS AND METHODS</w:t>
      </w:r>
    </w:p>
    <w:p>
      <w:pPr>
        <w:spacing w:before="120" w:after="60"/>
      </w:pPr>
      <w:r>
        <w:rPr>
          <w:rFonts w:ascii="Cambria" w:cs="Cambria" w:eastAsia="Cambria" w:hAnsi="Cambria"/>
          <w:b/>
          <w:bCs/>
          <w:sz w:val="20"/>
          <w:szCs w:val="20"/>
        </w:rPr>
        <w:t xml:space="preserve">A. Dataset</w:t>
      </w:r>
    </w:p>
    <w:p>
      <w:pPr>
        <w:spacing w:after="120"/>
        <w:ind w:firstLine="720"/>
        <w:jc w:val="both"/>
      </w:pPr>
      <w:r>
        <w:rPr>
          <w:rFonts w:ascii="Cambria" w:cs="Cambria" w:eastAsia="Cambria" w:hAnsi="Cambria"/>
          <w:sz w:val="20"/>
          <w:szCs w:val="20"/>
        </w:rPr>
        <w:t xml:space="preserve">This study utilizes a comprehensive Javanese hate speech dataset compiled through iterative refinement following human-and-model-in-the-loop (HMIL) approach [12]. The dataset was originally collected with binary labels (hate speech vs non-hate speech) totaling approximately 42,000 samples. The dataset was then refined to create a balanced 4-class classification with severity levels. Table 1 presents the final dataset statistics after refinement.</w:t>
      </w:r>
    </w:p>
    <w:p>
      <w:pPr>
        <w:spacing w:before="120" w:after="60"/>
        <w:jc w:val="center"/>
      </w:pPr>
      <w:r>
        <w:rPr>
          <w:rFonts w:ascii="Cambria" w:cs="Cambria" w:eastAsia="Cambria" w:hAnsi="Cambria"/>
          <w:sz w:val="16"/>
          <w:szCs w:val="16"/>
        </w:rPr>
        <w:t xml:space="preserve">Table 1. Dataset Statistics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000000" w:sz="8"/>
              <w:left w:val="none" w:color="FFFFFF" w:sz="0"/>
              <w:bottom w:val="single" w:color="000000" w:sz="8"/>
              <w:right w:val="none" w:color="FFFFFF" w:sz="0"/>
            </w:tcBorders>
          </w:tcPr>
          <w:p>
            <w:pPr>
              <w:jc w:val="center"/>
            </w:pPr>
            <w:r>
              <w:rPr>
                <w:rFonts w:ascii="Cambria" w:cs="Cambria" w:eastAsia="Cambria" w:hAnsi="Cambria"/>
                <w:b/>
                <w:bCs/>
                <w:sz w:val="16"/>
                <w:szCs w:val="16"/>
              </w:rPr>
              <w:t xml:space="preserve">Phase</w:t>
            </w:r>
          </w:p>
        </w:tc>
        <w:tc>
          <w:tcPr>
            <w:tcBorders>
              <w:top w:val="single" w:color="000000" w:sz="8"/>
              <w:left w:val="none" w:color="FFFFFF" w:sz="0"/>
              <w:bottom w:val="single" w:color="000000" w:sz="8"/>
              <w:right w:val="none" w:color="FFFFFF" w:sz="0"/>
            </w:tcBorders>
          </w:tcPr>
          <w:p>
            <w:pPr>
              <w:jc w:val="center"/>
            </w:pPr>
            <w:r>
              <w:rPr>
                <w:rFonts w:ascii="Cambria" w:cs="Cambria" w:eastAsia="Cambria" w:hAnsi="Cambria"/>
                <w:b/>
                <w:bCs/>
                <w:sz w:val="16"/>
                <w:szCs w:val="16"/>
              </w:rPr>
              <w:t xml:space="preserve">Description</w:t>
            </w:r>
          </w:p>
        </w:tc>
        <w:tc>
          <w:tcPr>
            <w:tcBorders>
              <w:top w:val="single" w:color="000000" w:sz="8"/>
              <w:left w:val="none" w:color="FFFFFF" w:sz="0"/>
              <w:bottom w:val="single" w:color="000000" w:sz="8"/>
              <w:right w:val="none" w:color="FFFFFF" w:sz="0"/>
            </w:tcBorders>
          </w:tcPr>
          <w:p>
            <w:pPr>
              <w:jc w:val="center"/>
            </w:pPr>
            <w:r>
              <w:rPr>
                <w:rFonts w:ascii="Cambria" w:cs="Cambria" w:eastAsia="Cambria" w:hAnsi="Cambria"/>
                <w:b/>
                <w:bCs/>
                <w:sz w:val="16"/>
                <w:szCs w:val="16"/>
              </w:rPr>
              <w:t xml:space="preserve">Samples</w:t>
            </w:r>
          </w:p>
        </w:tc>
      </w:tr>
      <w:tr>
        <w:tc>
          <w:tcPr>
            <w:tcBorders>
              <w:top w:val="none" w:color="FFFFFF" w:sz="0"/>
              <w:left w:val="none" w:color="FFFFFF" w:sz="0"/>
              <w:bottom w:val="none" w:color="FFFFFF" w:sz="0"/>
              <w:right w:val="none" w:color="FFFFFF" w:sz="0"/>
            </w:tcBorders>
          </w:tcPr>
          <w:p>
            <w:pPr>
              <w:jc w:val="center"/>
            </w:pPr>
            <w:r>
              <w:rPr>
                <w:rFonts w:ascii="Cambria" w:cs="Cambria" w:eastAsia="Cambria" w:hAnsi="Cambria"/>
                <w:sz w:val="16"/>
                <w:szCs w:val="16"/>
              </w:rPr>
              <w:t xml:space="preserve">Phase 1-3</w:t>
            </w:r>
          </w:p>
        </w:tc>
        <w:tc>
          <w:tcPr>
            <w:tcBorders>
              <w:top w:val="none" w:color="FFFFFF" w:sz="0"/>
              <w:left w:val="none" w:color="FFFFFF" w:sz="0"/>
              <w:bottom w:val="none" w:color="FFFFFF" w:sz="0"/>
              <w:right w:val="none" w:color="FFFFFF" w:sz="0"/>
            </w:tcBorders>
          </w:tcPr>
          <w:p>
            <w:pPr>
              <w:jc w:val="center"/>
            </w:pPr>
            <w:r>
              <w:rPr>
                <w:rFonts w:ascii="Cambria" w:cs="Cambria" w:eastAsia="Cambria" w:hAnsi="Cambria"/>
                <w:sz w:val="16"/>
                <w:szCs w:val="16"/>
              </w:rPr>
              <w:t xml:space="preserve">Expert Re-labeled</w:t>
            </w:r>
          </w:p>
        </w:tc>
        <w:tc>
          <w:tcPr>
            <w:tcBorders>
              <w:top w:val="none" w:color="FFFFFF" w:sz="0"/>
              <w:left w:val="none" w:color="FFFFFF" w:sz="0"/>
              <w:bottom w:val="none" w:color="FFFFFF" w:sz="0"/>
              <w:right w:val="none" w:color="FFFFFF" w:sz="0"/>
            </w:tcBorders>
          </w:tcPr>
          <w:p>
            <w:pPr>
              <w:jc w:val="center"/>
            </w:pPr>
            <w:r>
              <w:rPr>
                <w:rFonts w:ascii="Cambria" w:cs="Cambria" w:eastAsia="Cambria" w:hAnsi="Cambria"/>
                <w:sz w:val="16"/>
                <w:szCs w:val="16"/>
              </w:rPr>
              <w:t xml:space="preserve">4,779</w:t>
            </w:r>
          </w:p>
        </w:tc>
      </w:tr>
      <w:tr>
        <w:tc>
          <w:tcPr>
            <w:tcBorders>
              <w:top w:val="none" w:color="FFFFFF" w:sz="0"/>
              <w:left w:val="none" w:color="FFFFFF" w:sz="0"/>
              <w:bottom w:val="none" w:color="FFFFFF" w:sz="0"/>
              <w:right w:val="none" w:color="FFFFFF" w:sz="0"/>
            </w:tcBorders>
          </w:tcPr>
          <w:p>
            <w:pPr>
              <w:jc w:val="center"/>
            </w:pPr>
            <w:r>
              <w:rPr>
                <w:rFonts w:ascii="Cambria" w:cs="Cambria" w:eastAsia="Cambria" w:hAnsi="Cambria"/>
                <w:sz w:val="16"/>
                <w:szCs w:val="16"/>
              </w:rPr>
              <w:t xml:space="preserve">Phase 4</w:t>
            </w:r>
          </w:p>
        </w:tc>
        <w:tc>
          <w:tcPr>
            <w:tcBorders>
              <w:top w:val="none" w:color="FFFFFF" w:sz="0"/>
              <w:left w:val="none" w:color="FFFFFF" w:sz="0"/>
              <w:bottom w:val="none" w:color="FFFFFF" w:sz="0"/>
              <w:right w:val="none" w:color="FFFFFF" w:sz="0"/>
            </w:tcBorders>
          </w:tcPr>
          <w:p>
            <w:pPr>
              <w:jc w:val="center"/>
            </w:pPr>
            <w:r>
              <w:rPr>
                <w:rFonts w:ascii="Cambria" w:cs="Cambria" w:eastAsia="Cambria" w:hAnsi="Cambria"/>
                <w:sz w:val="16"/>
                <w:szCs w:val="16"/>
              </w:rPr>
              <w:t xml:space="preserve">LLM-Augmented</w:t>
            </w:r>
          </w:p>
        </w:tc>
        <w:tc>
          <w:tcPr>
            <w:tcBorders>
              <w:top w:val="none" w:color="FFFFFF" w:sz="0"/>
              <w:left w:val="none" w:color="FFFFFF" w:sz="0"/>
              <w:bottom w:val="none" w:color="FFFFFF" w:sz="0"/>
              <w:right w:val="none" w:color="FFFFFF" w:sz="0"/>
            </w:tcBorders>
          </w:tcPr>
          <w:p>
            <w:pPr>
              <w:jc w:val="center"/>
            </w:pPr>
            <w:r>
              <w:rPr>
                <w:rFonts w:ascii="Cambria" w:cs="Cambria" w:eastAsia="Cambria" w:hAnsi="Cambria"/>
                <w:sz w:val="16"/>
                <w:szCs w:val="16"/>
              </w:rPr>
              <w:t xml:space="preserve">5,240</w:t>
            </w:r>
          </w:p>
        </w:tc>
      </w:tr>
      <w:tr>
        <w:tc>
          <w:tcPr>
            <w:tcBorders>
              <w:top w:val="none" w:color="FFFFFF" w:sz="0"/>
              <w:left w:val="none" w:color="FFFFFF" w:sz="0"/>
              <w:bottom w:val="single" w:color="000000" w:sz="8"/>
              <w:right w:val="none" w:color="FFFFFF" w:sz="0"/>
            </w:tcBorders>
          </w:tcPr>
          <w:p>
            <w:pPr>
              <w:jc w:val="center"/>
            </w:pPr>
            <w:r>
              <w:rPr>
                <w:rFonts w:ascii="Cambria" w:cs="Cambria" w:eastAsia="Cambria" w:hAnsi="Cambria"/>
                <w:b/>
                <w:bCs/>
                <w:sz w:val="16"/>
                <w:szCs w:val="16"/>
              </w:rPr>
              <w:t xml:space="preserve">Combined</w:t>
            </w:r>
          </w:p>
        </w:tc>
        <w:tc>
          <w:tcPr>
            <w:tcBorders>
              <w:top w:val="none" w:color="FFFFFF" w:sz="0"/>
              <w:left w:val="none" w:color="FFFFFF" w:sz="0"/>
              <w:bottom w:val="single" w:color="000000" w:sz="8"/>
              <w:right w:val="none" w:color="FFFFFF" w:sz="0"/>
            </w:tcBorders>
          </w:tcPr>
          <w:p>
            <w:pPr>
              <w:jc w:val="center"/>
            </w:pPr>
            <w:r>
              <w:rPr>
                <w:rFonts w:ascii="Cambria" w:cs="Cambria" w:eastAsia="Cambria" w:hAnsi="Cambria"/>
                <w:b/>
                <w:bCs/>
                <w:sz w:val="16"/>
                <w:szCs w:val="16"/>
              </w:rPr>
              <w:t xml:space="preserve">Final Dataset</w:t>
            </w:r>
          </w:p>
        </w:tc>
        <w:tc>
          <w:tcPr>
            <w:tcBorders>
              <w:top w:val="none" w:color="FFFFFF" w:sz="0"/>
              <w:left w:val="none" w:color="FFFFFF" w:sz="0"/>
              <w:bottom w:val="single" w:color="000000" w:sz="8"/>
              <w:right w:val="none" w:color="FFFFFF" w:sz="0"/>
            </w:tcBorders>
          </w:tcPr>
          <w:p>
            <w:pPr>
              <w:jc w:val="center"/>
            </w:pPr>
            <w:r>
              <w:rPr>
                <w:rFonts w:ascii="Cambria" w:cs="Cambria" w:eastAsia="Cambria" w:hAnsi="Cambria"/>
                <w:b/>
                <w:bCs/>
                <w:sz w:val="16"/>
                <w:szCs w:val="16"/>
              </w:rPr>
              <w:t xml:space="preserve">10,019</w:t>
            </w:r>
          </w:p>
        </w:tc>
      </w:tr>
    </w:tbl>
    <w:p>
      <w:pPr>
        <w:spacing w:before="120" w:after="120"/>
        <w:ind w:firstLine="720"/>
        <w:jc w:val="both"/>
      </w:pPr>
      <w:r>
        <w:rPr>
          <w:rFonts w:ascii="Cambria" w:cs="Cambria" w:eastAsia="Cambria" w:hAnsi="Cambria"/>
          <w:sz w:val="20"/>
          <w:szCs w:val="20"/>
        </w:rPr>
        <w:t xml:space="preserve">The final label distribution consists of Neutral (24.7%), Light Hate (26.1%), Moderate Hate (28.6%), and Severe Hate (20.6%), resulting in a balanced class ratio of 1.38:1. Stratified sampling was utilized for data split with 8,015 samples for training (80%), 1,002 for validation (10%), and 1,002 for testing (10%).</w:t>
      </w:r>
    </w:p>
    <w:p>
      <w:pPr>
        <w:spacing w:after="120"/>
        <w:ind w:firstLine="720"/>
        <w:jc w:val="both"/>
      </w:pPr>
      <w:r>
        <w:rPr>
          <w:rFonts w:ascii="Cambria" w:cs="Cambria" w:eastAsia="Cambria" w:hAnsi="Cambria"/>
          <w:sz w:val="20"/>
          <w:szCs w:val="20"/>
        </w:rPr>
        <w:t xml:space="preserve">Phase 4 data augmentation was performed using GPT-3.5 with carefully designed prompts to generate culturally appropriate Javanese hate speech examples. Each generated sample was filtered based on minimum length requirements, presence of Javanese lexical items, and manual review by native speaker annotators to ensure quality and authenticity.</w:t>
      </w:r>
    </w:p>
    <w:p>
      <w:pPr>
        <w:spacing w:before="120" w:after="60"/>
      </w:pPr>
      <w:r>
        <w:rPr>
          <w:rFonts w:ascii="Cambria" w:cs="Cambria" w:eastAsia="Cambria" w:hAnsi="Cambria"/>
          <w:b/>
          <w:bCs/>
          <w:sz w:val="20"/>
          <w:szCs w:val="20"/>
        </w:rPr>
        <w:t xml:space="preserve">B. Model Architecture</w:t>
      </w:r>
    </w:p>
    <w:p>
      <w:pPr>
        <w:spacing w:after="120"/>
        <w:ind w:firstLine="720"/>
        <w:jc w:val="both"/>
      </w:pPr>
      <w:r>
        <w:rPr>
          <w:rFonts w:ascii="Cambria" w:cs="Cambria" w:eastAsia="Cambria" w:hAnsi="Cambria"/>
          <w:sz w:val="20"/>
          <w:szCs w:val="20"/>
        </w:rPr>
        <w:t xml:space="preserve">IndoBERT Base [9] serves as the primary backbone. The architecture consists of the pre-trained IndoBERT model with 110 million parameters followed by a dropout layer with rate 0.1 and a classification head mapping 768 dimensions to 4 classes. The key innovation lies in applying label smoothing at the loss function level rather than complex architectural modifications.</w:t>
      </w:r>
    </w:p>
    <w:p>
      <w:pPr>
        <w:spacing w:before="120" w:after="60"/>
      </w:pPr>
      <w:r>
        <w:rPr>
          <w:rFonts w:ascii="Cambria" w:cs="Cambria" w:eastAsia="Cambria" w:hAnsi="Cambria"/>
          <w:b/>
          <w:bCs/>
          <w:sz w:val="20"/>
          <w:szCs w:val="20"/>
        </w:rPr>
        <w:t xml:space="preserve">C. Loss Functions</w:t>
      </w:r>
    </w:p>
    <w:p>
      <w:pPr>
        <w:spacing w:after="120"/>
        <w:ind w:firstLine="720"/>
        <w:jc w:val="both"/>
      </w:pPr>
      <w:r>
        <w:rPr>
          <w:rFonts w:ascii="Cambria" w:cs="Cambria" w:eastAsia="Cambria" w:hAnsi="Cambria"/>
          <w:sz w:val="20"/>
          <w:szCs w:val="20"/>
        </w:rPr>
        <w:t xml:space="preserve">Several loss functions were experimented to handle class imbalance and label noise. Focal Loss [15] addresses class imbalance by down-weighting well-classified examples as defined in Equation (1).</w:t>
      </w:r>
    </w:p>
    <w:p>
      <w:pPr>
        <w:spacing w:before="60" w:after="60"/>
        <w:jc w:val="center"/>
      </w:pPr>
      <w:r>
        <w:rPr>
          <w:rFonts w:ascii="Cambria" w:cs="Cambria" w:eastAsia="Cambria" w:hAnsi="Cambria"/>
          <w:i/>
          <w:iCs/>
          <w:sz w:val="20"/>
          <w:szCs w:val="20"/>
        </w:rPr>
        <w:t xml:space="preserve">FL(p</w:t>
      </w:r>
      <w:r>
        <w:rPr>
          <w:rFonts w:ascii="Cambria" w:cs="Cambria" w:eastAsia="Cambria" w:hAnsi="Cambria"/>
          <w:i/>
          <w:iCs/>
          <w:sz w:val="16"/>
          <w:szCs w:val="16"/>
          <w:vertAlign w:val="subscript"/>
        </w:rPr>
        <w:t xml:space="preserve">t</w:t>
      </w:r>
      <w:r>
        <w:rPr>
          <w:rFonts w:ascii="Cambria" w:cs="Cambria" w:eastAsia="Cambria" w:hAnsi="Cambria"/>
          <w:i/>
          <w:iCs/>
          <w:sz w:val="20"/>
          <w:szCs w:val="20"/>
        </w:rPr>
        <w:t xml:space="preserve">) = −α</w:t>
      </w:r>
      <w:r>
        <w:rPr>
          <w:rFonts w:ascii="Cambria" w:cs="Cambria" w:eastAsia="Cambria" w:hAnsi="Cambria"/>
          <w:i/>
          <w:iCs/>
          <w:sz w:val="16"/>
          <w:szCs w:val="16"/>
          <w:vertAlign w:val="subscript"/>
        </w:rPr>
        <w:t xml:space="preserve">t</w:t>
      </w:r>
      <w:r>
        <w:rPr>
          <w:rFonts w:ascii="Cambria" w:cs="Cambria" w:eastAsia="Cambria" w:hAnsi="Cambria"/>
          <w:i/>
          <w:iCs/>
          <w:sz w:val="20"/>
          <w:szCs w:val="20"/>
        </w:rPr>
        <w:t xml:space="preserve">(1−p</w:t>
      </w:r>
      <w:r>
        <w:rPr>
          <w:rFonts w:ascii="Cambria" w:cs="Cambria" w:eastAsia="Cambria" w:hAnsi="Cambria"/>
          <w:i/>
          <w:iCs/>
          <w:sz w:val="16"/>
          <w:szCs w:val="16"/>
          <w:vertAlign w:val="subscript"/>
        </w:rPr>
        <w:t xml:space="preserve">t</w:t>
      </w:r>
      <w:r>
        <w:rPr>
          <w:rFonts w:ascii="Cambria" w:cs="Cambria" w:eastAsia="Cambria" w:hAnsi="Cambria"/>
          <w:i/>
          <w:iCs/>
          <w:sz w:val="20"/>
          <w:szCs w:val="20"/>
        </w:rPr>
        <w:t xml:space="preserve">)</w:t>
      </w:r>
      <w:r>
        <w:rPr>
          <w:rFonts w:ascii="Cambria" w:cs="Cambria" w:eastAsia="Cambria" w:hAnsi="Cambria"/>
          <w:i/>
          <w:iCs/>
          <w:sz w:val="16"/>
          <w:szCs w:val="16"/>
          <w:vertAlign w:val="superscript"/>
        </w:rPr>
        <w:t xml:space="preserve">γ</w:t>
      </w:r>
      <w:r>
        <w:rPr>
          <w:rFonts w:ascii="Cambria" w:cs="Cambria" w:eastAsia="Cambria" w:hAnsi="Cambria"/>
          <w:i/>
          <w:iCs/>
          <w:sz w:val="20"/>
          <w:szCs w:val="20"/>
        </w:rPr>
        <w:t xml:space="preserve"> log(p</w:t>
      </w:r>
      <w:r>
        <w:rPr>
          <w:rFonts w:ascii="Cambria" w:cs="Cambria" w:eastAsia="Cambria" w:hAnsi="Cambria"/>
          <w:i/>
          <w:iCs/>
          <w:sz w:val="16"/>
          <w:szCs w:val="16"/>
          <w:vertAlign w:val="subscript"/>
        </w:rPr>
        <w:t xml:space="preserve">t</w:t>
      </w:r>
      <w:r>
        <w:rPr>
          <w:rFonts w:ascii="Cambria" w:cs="Cambria" w:eastAsia="Cambria" w:hAnsi="Cambria"/>
          <w:sz w:val="20"/>
          <w:szCs w:val="20"/>
        </w:rPr>
        <w:t xml:space="preserve">)       (1)</w:t>
      </w:r>
    </w:p>
    <w:p>
      <w:pPr>
        <w:spacing w:after="120"/>
        <w:ind w:firstLine="720"/>
        <w:jc w:val="both"/>
      </w:pPr>
      <w:r>
        <w:rPr>
          <w:rFonts w:ascii="Cambria" w:cs="Cambria" w:eastAsia="Cambria" w:hAnsi="Cambria"/>
          <w:sz w:val="20"/>
          <w:szCs w:val="20"/>
        </w:rPr>
        <w:t xml:space="preserve">Label Smoothing [16] acts as a regularizer by replacing hard 0/1 targets with soft targets as in Equation (2).</w:t>
      </w:r>
    </w:p>
    <w:p>
      <w:pPr>
        <w:spacing w:before="60" w:after="60"/>
        <w:jc w:val="center"/>
      </w:pPr>
      <w:r>
        <w:rPr>
          <w:rFonts w:ascii="Cambria" w:cs="Cambria" w:eastAsia="Cambria" w:hAnsi="Cambria"/>
          <w:i/>
          <w:iCs/>
          <w:sz w:val="20"/>
          <w:szCs w:val="20"/>
        </w:rPr>
        <w:t xml:space="preserve">y</w:t>
      </w:r>
      <w:r>
        <w:rPr>
          <w:rFonts w:ascii="Cambria" w:cs="Cambria" w:eastAsia="Cambria" w:hAnsi="Cambria"/>
          <w:i/>
          <w:iCs/>
          <w:sz w:val="16"/>
          <w:szCs w:val="16"/>
          <w:vertAlign w:val="subscript"/>
        </w:rPr>
        <w:t xml:space="preserve">k</w:t>
      </w:r>
      <w:r>
        <w:rPr>
          <w:rFonts w:ascii="Cambria" w:cs="Cambria" w:eastAsia="Cambria" w:hAnsi="Cambria"/>
          <w:i/>
          <w:iCs/>
          <w:sz w:val="16"/>
          <w:szCs w:val="16"/>
          <w:vertAlign w:val="superscript"/>
        </w:rPr>
        <w:t xml:space="preserve">LS</w:t>
      </w:r>
      <w:r>
        <w:rPr>
          <w:rFonts w:ascii="Cambria" w:cs="Cambria" w:eastAsia="Cambria" w:hAnsi="Cambria"/>
          <w:i/>
          <w:iCs/>
          <w:sz w:val="20"/>
          <w:szCs w:val="20"/>
        </w:rPr>
        <w:t xml:space="preserve"> = y</w:t>
      </w:r>
      <w:r>
        <w:rPr>
          <w:rFonts w:ascii="Cambria" w:cs="Cambria" w:eastAsia="Cambria" w:hAnsi="Cambria"/>
          <w:i/>
          <w:iCs/>
          <w:sz w:val="16"/>
          <w:szCs w:val="16"/>
          <w:vertAlign w:val="subscript"/>
        </w:rPr>
        <w:t xml:space="preserve">k</w:t>
      </w:r>
      <w:r>
        <w:rPr>
          <w:rFonts w:ascii="Cambria" w:cs="Cambria" w:eastAsia="Cambria" w:hAnsi="Cambria"/>
          <w:sz w:val="20"/>
          <w:szCs w:val="20"/>
        </w:rPr>
        <w:t xml:space="preserve">(1−ε) + ε/K       (2)</w:t>
      </w:r>
    </w:p>
    <w:p>
      <w:pPr>
        <w:spacing w:after="120"/>
        <w:jc w:val="both"/>
      </w:pPr>
      <w:r>
        <w:rPr>
          <w:rFonts w:ascii="Cambria" w:cs="Cambria" w:eastAsia="Cambria" w:hAnsi="Cambria"/>
          <w:sz w:val="20"/>
          <w:szCs w:val="20"/>
        </w:rPr>
        <w:t xml:space="preserve">where y</w:t>
      </w:r>
      <w:r>
        <w:rPr>
          <w:rFonts w:ascii="Cambria" w:cs="Cambria" w:eastAsia="Cambria" w:hAnsi="Cambria"/>
          <w:sz w:val="16"/>
          <w:szCs w:val="16"/>
          <w:vertAlign w:val="subscript"/>
        </w:rPr>
        <w:t xml:space="preserve">k</w:t>
      </w:r>
      <w:r>
        <w:rPr>
          <w:rFonts w:ascii="Cambria" w:cs="Cambria" w:eastAsia="Cambria" w:hAnsi="Cambria"/>
          <w:sz w:val="20"/>
          <w:szCs w:val="20"/>
        </w:rPr>
        <w:t xml:space="preserve"> is the original target, ε is the smoothing parameter set to 0.1, and K is the number of classes.</w:t>
      </w:r>
    </w:p>
    <w:p>
      <w:pPr>
        <w:spacing w:before="120" w:after="60"/>
      </w:pPr>
      <w:r>
        <w:rPr>
          <w:rFonts w:ascii="Cambria" w:cs="Cambria" w:eastAsia="Cambria" w:hAnsi="Cambria"/>
          <w:b/>
          <w:bCs/>
          <w:sz w:val="20"/>
          <w:szCs w:val="20"/>
        </w:rPr>
        <w:t xml:space="preserve">D. Training Configuration</w:t>
      </w:r>
    </w:p>
    <w:p>
      <w:pPr>
        <w:spacing w:after="120"/>
        <w:ind w:firstLine="720"/>
        <w:jc w:val="both"/>
      </w:pPr>
      <w:r>
        <w:rPr>
          <w:rFonts w:ascii="Cambria" w:cs="Cambria" w:eastAsia="Cambria" w:hAnsi="Cambria"/>
          <w:sz w:val="20"/>
          <w:szCs w:val="20"/>
        </w:rPr>
        <w:t xml:space="preserve">The optimal hyperparameters were found through grid search consisting of batch size 16, learning rate 2×10⁻⁵, 5 epochs with early stopping, and maximum sequence length of 128 tokens. Training was performed using AdamW optimizer [17] on NVIDIA GPU infrastructure.</w:t>
      </w:r>
    </w:p>
    <w:p>
      <w:pPr>
        <w:spacing w:before="200" w:after="100"/>
      </w:pPr>
      <w:r>
        <w:rPr>
          <w:rFonts w:ascii="Cambria" w:cs="Cambria" w:eastAsia="Cambria" w:hAnsi="Cambria"/>
          <w:b/>
          <w:bCs/>
          <w:sz w:val="20"/>
          <w:szCs w:val="20"/>
        </w:rPr>
        <w:t xml:space="preserve">RESULTS AND DISCUSSION</w:t>
      </w:r>
    </w:p>
    <w:p>
      <w:pPr>
        <w:spacing w:before="120" w:after="60"/>
      </w:pPr>
      <w:r>
        <w:rPr>
          <w:rFonts w:ascii="Cambria" w:cs="Cambria" w:eastAsia="Cambria" w:hAnsi="Cambria"/>
          <w:b/>
          <w:bCs/>
          <w:sz w:val="20"/>
          <w:szCs w:val="20"/>
        </w:rPr>
        <w:t xml:space="preserve">A. Baseline Model Comparison</w:t>
      </w:r>
    </w:p>
    <w:p>
      <w:pPr>
        <w:spacing w:after="120"/>
        <w:ind w:firstLine="720"/>
        <w:jc w:val="both"/>
      </w:pPr>
      <w:r>
        <w:rPr>
          <w:rFonts w:ascii="Cambria" w:cs="Cambria" w:eastAsia="Cambria" w:hAnsi="Cambria"/>
          <w:sz w:val="20"/>
          <w:szCs w:val="20"/>
        </w:rPr>
        <w:t xml:space="preserve">Several transformer-based baseline models were compared. As shown in Table 2, IndoBERT with label smoothing outperformed all other configurations, achieving 81.38% F1-Macro.</w:t>
      </w:r>
    </w:p>
    <w:p>
      <w:pPr>
        <w:spacing w:before="120" w:after="60"/>
        <w:jc w:val="center"/>
      </w:pPr>
      <w:r>
        <w:rPr>
          <w:rFonts w:ascii="Cambria" w:cs="Cambria" w:eastAsia="Cambria" w:hAnsi="Cambria"/>
          <w:sz w:val="16"/>
          <w:szCs w:val="16"/>
        </w:rPr>
        <w:t xml:space="preserve">Table 2. Baseline Model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000000" w:sz="8"/>
              <w:left w:val="none" w:color="FFFFFF" w:sz="0"/>
              <w:bottom w:val="single" w:color="000000" w:sz="8"/>
              <w:right w:val="none" w:color="FFFFFF" w:sz="0"/>
            </w:tcBorders>
          </w:tcPr>
          <w:p>
            <w:pPr>
              <w:jc w:val="center"/>
            </w:pPr>
            <w:r>
              <w:rPr>
                <w:rFonts w:ascii="Cambria" w:cs="Cambria" w:eastAsia="Cambria" w:hAnsi="Cambria"/>
                <w:b/>
                <w:bCs/>
                <w:sz w:val="16"/>
                <w:szCs w:val="16"/>
              </w:rPr>
              <w:t xml:space="preserve">Model</w:t>
            </w:r>
          </w:p>
        </w:tc>
        <w:tc>
          <w:tcPr>
            <w:tcBorders>
              <w:top w:val="single" w:color="000000" w:sz="8"/>
              <w:left w:val="none" w:color="FFFFFF" w:sz="0"/>
              <w:bottom w:val="single" w:color="000000" w:sz="8"/>
              <w:right w:val="none" w:color="FFFFFF" w:sz="0"/>
            </w:tcBorders>
          </w:tcPr>
          <w:p>
            <w:pPr>
              <w:jc w:val="center"/>
            </w:pPr>
            <w:r>
              <w:rPr>
                <w:rFonts w:ascii="Cambria" w:cs="Cambria" w:eastAsia="Cambria" w:hAnsi="Cambria"/>
                <w:b/>
                <w:bCs/>
                <w:sz w:val="16"/>
                <w:szCs w:val="16"/>
              </w:rPr>
              <w:t xml:space="preserve">F1-Macro</w:t>
            </w:r>
          </w:p>
        </w:tc>
        <w:tc>
          <w:tcPr>
            <w:tcBorders>
              <w:top w:val="single" w:color="000000" w:sz="8"/>
              <w:left w:val="none" w:color="FFFFFF" w:sz="0"/>
              <w:bottom w:val="single" w:color="000000" w:sz="8"/>
              <w:right w:val="none" w:color="FFFFFF" w:sz="0"/>
            </w:tcBorders>
          </w:tcPr>
          <w:p>
            <w:pPr>
              <w:jc w:val="center"/>
            </w:pPr>
            <w:r>
              <w:rPr>
                <w:rFonts w:ascii="Cambria" w:cs="Cambria" w:eastAsia="Cambria" w:hAnsi="Cambria"/>
                <w:b/>
                <w:bCs/>
                <w:sz w:val="16"/>
                <w:szCs w:val="16"/>
              </w:rPr>
              <w:t xml:space="preserve">Accuracy</w:t>
            </w:r>
          </w:p>
        </w:tc>
      </w:tr>
      <w:tr>
        <w:tc>
          <w:tcPr>
            <w:tcBorders>
              <w:top w:val="none" w:color="FFFFFF" w:sz="0"/>
              <w:left w:val="none" w:color="FFFFFF" w:sz="0"/>
              <w:bottom w:val="none" w:color="FFFFFF" w:sz="0"/>
              <w:right w:val="none" w:color="FFFFFF" w:sz="0"/>
            </w:tcBorders>
          </w:tcPr>
          <w:p>
            <w:r>
              <w:rPr>
                <w:rFonts w:ascii="Cambria" w:cs="Cambria" w:eastAsia="Cambria" w:hAnsi="Cambria"/>
                <w:sz w:val="16"/>
                <w:szCs w:val="16"/>
              </w:rPr>
              <w:t xml:space="preserve">mBERT [10]</w:t>
            </w:r>
          </w:p>
        </w:tc>
        <w:tc>
          <w:tcPr>
            <w:tcBorders>
              <w:top w:val="none" w:color="FFFFFF" w:sz="0"/>
              <w:left w:val="none" w:color="FFFFFF" w:sz="0"/>
              <w:bottom w:val="none" w:color="FFFFFF" w:sz="0"/>
              <w:right w:val="none" w:color="FFFFFF" w:sz="0"/>
            </w:tcBorders>
          </w:tcPr>
          <w:p>
            <w:pPr>
              <w:jc w:val="center"/>
            </w:pPr>
            <w:r>
              <w:rPr>
                <w:rFonts w:ascii="Cambria" w:cs="Cambria" w:eastAsia="Cambria" w:hAnsi="Cambria"/>
                <w:sz w:val="16"/>
                <w:szCs w:val="16"/>
              </w:rPr>
              <w:t xml:space="preserve">77.93%</w:t>
            </w:r>
          </w:p>
        </w:tc>
        <w:tc>
          <w:tcPr>
            <w:tcBorders>
              <w:top w:val="none" w:color="FFFFFF" w:sz="0"/>
              <w:left w:val="none" w:color="FFFFFF" w:sz="0"/>
              <w:bottom w:val="none" w:color="FFFFFF" w:sz="0"/>
              <w:right w:val="none" w:color="FFFFFF" w:sz="0"/>
            </w:tcBorders>
          </w:tcPr>
          <w:p>
            <w:pPr>
              <w:jc w:val="center"/>
            </w:pPr>
            <w:r>
              <w:rPr>
                <w:rFonts w:ascii="Cambria" w:cs="Cambria" w:eastAsia="Cambria" w:hAnsi="Cambria"/>
                <w:sz w:val="16"/>
                <w:szCs w:val="16"/>
              </w:rPr>
              <w:t xml:space="preserve">77.54%</w:t>
            </w:r>
          </w:p>
        </w:tc>
      </w:tr>
      <w:tr>
        <w:tc>
          <w:tcPr>
            <w:tcBorders>
              <w:top w:val="none" w:color="FFFFFF" w:sz="0"/>
              <w:left w:val="none" w:color="FFFFFF" w:sz="0"/>
              <w:bottom w:val="none" w:color="FFFFFF" w:sz="0"/>
              <w:right w:val="none" w:color="FFFFFF" w:sz="0"/>
            </w:tcBorders>
          </w:tcPr>
          <w:p>
            <w:r>
              <w:rPr>
                <w:rFonts w:ascii="Cambria" w:cs="Cambria" w:eastAsia="Cambria" w:hAnsi="Cambria"/>
                <w:sz w:val="16"/>
                <w:szCs w:val="16"/>
              </w:rPr>
              <w:t xml:space="preserve">XLM-R Base [11]</w:t>
            </w:r>
          </w:p>
        </w:tc>
        <w:tc>
          <w:tcPr>
            <w:tcBorders>
              <w:top w:val="none" w:color="FFFFFF" w:sz="0"/>
              <w:left w:val="none" w:color="FFFFFF" w:sz="0"/>
              <w:bottom w:val="none" w:color="FFFFFF" w:sz="0"/>
              <w:right w:val="none" w:color="FFFFFF" w:sz="0"/>
            </w:tcBorders>
          </w:tcPr>
          <w:p>
            <w:pPr>
              <w:jc w:val="center"/>
            </w:pPr>
            <w:r>
              <w:rPr>
                <w:rFonts w:ascii="Cambria" w:cs="Cambria" w:eastAsia="Cambria" w:hAnsi="Cambria"/>
                <w:sz w:val="16"/>
                <w:szCs w:val="16"/>
              </w:rPr>
              <w:t xml:space="preserve">78.38%</w:t>
            </w:r>
          </w:p>
        </w:tc>
        <w:tc>
          <w:tcPr>
            <w:tcBorders>
              <w:top w:val="none" w:color="FFFFFF" w:sz="0"/>
              <w:left w:val="none" w:color="FFFFFF" w:sz="0"/>
              <w:bottom w:val="none" w:color="FFFFFF" w:sz="0"/>
              <w:right w:val="none" w:color="FFFFFF" w:sz="0"/>
            </w:tcBorders>
          </w:tcPr>
          <w:p>
            <w:pPr>
              <w:jc w:val="center"/>
            </w:pPr>
            <w:r>
              <w:rPr>
                <w:rFonts w:ascii="Cambria" w:cs="Cambria" w:eastAsia="Cambria" w:hAnsi="Cambria"/>
                <w:sz w:val="16"/>
                <w:szCs w:val="16"/>
              </w:rPr>
              <w:t xml:space="preserve">78.14%</w:t>
            </w:r>
          </w:p>
        </w:tc>
      </w:tr>
      <w:tr>
        <w:tc>
          <w:tcPr>
            <w:tcBorders>
              <w:top w:val="none" w:color="FFFFFF" w:sz="0"/>
              <w:left w:val="none" w:color="FFFFFF" w:sz="0"/>
              <w:bottom w:val="none" w:color="FFFFFF" w:sz="0"/>
              <w:right w:val="none" w:color="FFFFFF" w:sz="0"/>
            </w:tcBorders>
          </w:tcPr>
          <w:p>
            <w:r>
              <w:rPr>
                <w:rFonts w:ascii="Cambria" w:cs="Cambria" w:eastAsia="Cambria" w:hAnsi="Cambria"/>
                <w:sz w:val="16"/>
                <w:szCs w:val="16"/>
              </w:rPr>
              <w:t xml:space="preserve">IndoBERT Base [9]</w:t>
            </w:r>
          </w:p>
        </w:tc>
        <w:tc>
          <w:tcPr>
            <w:tcBorders>
              <w:top w:val="none" w:color="FFFFFF" w:sz="0"/>
              <w:left w:val="none" w:color="FFFFFF" w:sz="0"/>
              <w:bottom w:val="none" w:color="FFFFFF" w:sz="0"/>
              <w:right w:val="none" w:color="FFFFFF" w:sz="0"/>
            </w:tcBorders>
          </w:tcPr>
          <w:p>
            <w:pPr>
              <w:jc w:val="center"/>
            </w:pPr>
            <w:r>
              <w:rPr>
                <w:rFonts w:ascii="Cambria" w:cs="Cambria" w:eastAsia="Cambria" w:hAnsi="Cambria"/>
                <w:sz w:val="16"/>
                <w:szCs w:val="16"/>
              </w:rPr>
              <w:t xml:space="preserve">79.19%</w:t>
            </w:r>
          </w:p>
        </w:tc>
        <w:tc>
          <w:tcPr>
            <w:tcBorders>
              <w:top w:val="none" w:color="FFFFFF" w:sz="0"/>
              <w:left w:val="none" w:color="FFFFFF" w:sz="0"/>
              <w:bottom w:val="none" w:color="FFFFFF" w:sz="0"/>
              <w:right w:val="none" w:color="FFFFFF" w:sz="0"/>
            </w:tcBorders>
          </w:tcPr>
          <w:p>
            <w:pPr>
              <w:jc w:val="center"/>
            </w:pPr>
            <w:r>
              <w:rPr>
                <w:rFonts w:ascii="Cambria" w:cs="Cambria" w:eastAsia="Cambria" w:hAnsi="Cambria"/>
                <w:sz w:val="16"/>
                <w:szCs w:val="16"/>
              </w:rPr>
              <w:t xml:space="preserve">79.04%</w:t>
            </w:r>
          </w:p>
        </w:tc>
      </w:tr>
      <w:tr>
        <w:tc>
          <w:tcPr>
            <w:tcBorders>
              <w:top w:val="none" w:color="FFFFFF" w:sz="0"/>
              <w:left w:val="none" w:color="FFFFFF" w:sz="0"/>
              <w:bottom w:val="none" w:color="FFFFFF" w:sz="0"/>
              <w:right w:val="none" w:color="FFFFFF" w:sz="0"/>
            </w:tcBorders>
          </w:tcPr>
          <w:p>
            <w:r>
              <w:rPr>
                <w:rFonts w:ascii="Cambria" w:cs="Cambria" w:eastAsia="Cambria" w:hAnsi="Cambria"/>
                <w:b/>
                <w:bCs/>
                <w:sz w:val="16"/>
                <w:szCs w:val="16"/>
              </w:rPr>
              <w:t xml:space="preserve">IndoBERT + Label Smoothing</w:t>
            </w:r>
          </w:p>
        </w:tc>
        <w:tc>
          <w:tcPr>
            <w:tcBorders>
              <w:top w:val="none" w:color="FFFFFF" w:sz="0"/>
              <w:left w:val="none" w:color="FFFFFF" w:sz="0"/>
              <w:bottom w:val="none" w:color="FFFFFF" w:sz="0"/>
              <w:right w:val="none" w:color="FFFFFF" w:sz="0"/>
            </w:tcBorders>
          </w:tcPr>
          <w:p>
            <w:pPr>
              <w:jc w:val="center"/>
            </w:pPr>
            <w:r>
              <w:rPr>
                <w:rFonts w:ascii="Cambria" w:cs="Cambria" w:eastAsia="Cambria" w:hAnsi="Cambria"/>
                <w:b/>
                <w:bCs/>
                <w:sz w:val="16"/>
                <w:szCs w:val="16"/>
              </w:rPr>
              <w:t xml:space="preserve">81.38%</w:t>
            </w:r>
          </w:p>
        </w:tc>
        <w:tc>
          <w:tcPr>
            <w:tcBorders>
              <w:top w:val="none" w:color="FFFFFF" w:sz="0"/>
              <w:left w:val="none" w:color="FFFFFF" w:sz="0"/>
              <w:bottom w:val="none" w:color="FFFFFF" w:sz="0"/>
              <w:right w:val="none" w:color="FFFFFF" w:sz="0"/>
            </w:tcBorders>
          </w:tcPr>
          <w:p>
            <w:pPr>
              <w:jc w:val="center"/>
            </w:pPr>
            <w:r>
              <w:rPr>
                <w:rFonts w:ascii="Cambria" w:cs="Cambria" w:eastAsia="Cambria" w:hAnsi="Cambria"/>
                <w:b/>
                <w:bCs/>
                <w:sz w:val="16"/>
                <w:szCs w:val="16"/>
              </w:rPr>
              <w:t xml:space="preserve">81.24%</w:t>
            </w:r>
          </w:p>
        </w:tc>
      </w:tr>
      <w:tr>
        <w:tc>
          <w:tcPr>
            <w:tcBorders>
              <w:top w:val="none" w:color="FFFFFF" w:sz="0"/>
              <w:left w:val="none" w:color="FFFFFF" w:sz="0"/>
              <w:bottom w:val="single" w:color="000000" w:sz="8"/>
              <w:right w:val="none" w:color="FFFFFF" w:sz="0"/>
            </w:tcBorders>
          </w:tcPr>
          <w:p>
            <w:r>
              <w:rPr>
                <w:rFonts w:ascii="Cambria" w:cs="Cambria" w:eastAsia="Cambria" w:hAnsi="Cambria"/>
                <w:sz w:val="16"/>
                <w:szCs w:val="16"/>
              </w:rPr>
              <w:t xml:space="preserve">XLM-R Large</w:t>
            </w:r>
          </w:p>
        </w:tc>
        <w:tc>
          <w:tcPr>
            <w:tcBorders>
              <w:top w:val="none" w:color="FFFFFF" w:sz="0"/>
              <w:left w:val="none" w:color="FFFFFF" w:sz="0"/>
              <w:bottom w:val="single" w:color="000000" w:sz="8"/>
              <w:right w:val="none" w:color="FFFFFF" w:sz="0"/>
            </w:tcBorders>
          </w:tcPr>
          <w:p>
            <w:pPr>
              <w:jc w:val="center"/>
            </w:pPr>
            <w:r>
              <w:rPr>
                <w:rFonts w:ascii="Cambria" w:cs="Cambria" w:eastAsia="Cambria" w:hAnsi="Cambria"/>
                <w:sz w:val="16"/>
                <w:szCs w:val="16"/>
              </w:rPr>
              <w:t xml:space="preserve">81.11%</w:t>
            </w:r>
          </w:p>
        </w:tc>
        <w:tc>
          <w:tcPr>
            <w:tcBorders>
              <w:top w:val="none" w:color="FFFFFF" w:sz="0"/>
              <w:left w:val="none" w:color="FFFFFF" w:sz="0"/>
              <w:bottom w:val="single" w:color="000000" w:sz="8"/>
              <w:right w:val="none" w:color="FFFFFF" w:sz="0"/>
            </w:tcBorders>
          </w:tcPr>
          <w:p>
            <w:pPr>
              <w:jc w:val="center"/>
            </w:pPr>
            <w:r>
              <w:rPr>
                <w:rFonts w:ascii="Cambria" w:cs="Cambria" w:eastAsia="Cambria" w:hAnsi="Cambria"/>
                <w:sz w:val="16"/>
                <w:szCs w:val="16"/>
              </w:rPr>
              <w:t xml:space="preserve">81.04%</w:t>
            </w:r>
          </w:p>
        </w:tc>
      </w:tr>
    </w:tbl>
    <w:p>
      <w:pPr>
        <w:spacing w:before="200" w:after="60"/>
      </w:pPr>
      <w:r>
        <w:rPr>
          <w:rFonts w:ascii="Cambria" w:cs="Cambria" w:eastAsia="Cambria" w:hAnsi="Cambria"/>
          <w:b/>
          <w:bCs/>
          <w:sz w:val="20"/>
          <w:szCs w:val="20"/>
        </w:rPr>
        <w:t xml:space="preserve">B. Ensemble Overfitting Analysis</w:t>
      </w:r>
    </w:p>
    <w:p>
      <w:pPr>
        <w:spacing w:after="120"/>
        <w:ind w:firstLine="720"/>
        <w:jc w:val="both"/>
      </w:pPr>
      <w:r>
        <w:rPr>
          <w:rFonts w:ascii="Cambria" w:cs="Cambria" w:eastAsia="Cambria" w:hAnsi="Cambria"/>
          <w:sz w:val="20"/>
          <w:szCs w:val="20"/>
        </w:rPr>
        <w:t xml:space="preserve">During preliminary experiments, ensemble methods including soft voting, weighted voting, and meta-learner stacking were explored. Table 3 presents a critical finding that these ensemble methods suffered from severe overfitting. While meta-learner stacking achieved an impressive 94.09% F1 on validation data, it dropped dramatically to 79.50% on test data, representing a gap of 14.59%.</w:t>
      </w:r>
    </w:p>
    <w:p>
      <w:pPr>
        <w:spacing w:before="120" w:after="60"/>
        <w:jc w:val="center"/>
      </w:pPr>
      <w:r>
        <w:rPr>
          <w:rFonts w:ascii="Cambria" w:cs="Cambria" w:eastAsia="Cambria" w:hAnsi="Cambria"/>
          <w:sz w:val="16"/>
          <w:szCs w:val="16"/>
        </w:rPr>
        <w:t xml:space="preserve">Table 3. Ensemble Overfitting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000000" w:sz="8"/>
              <w:left w:val="none" w:color="FFFFFF" w:sz="0"/>
              <w:bottom w:val="single" w:color="000000" w:sz="8"/>
              <w:right w:val="none" w:color="FFFFFF" w:sz="0"/>
            </w:tcBorders>
          </w:tcPr>
          <w:p>
            <w:pPr>
              <w:jc w:val="center"/>
            </w:pPr>
            <w:r>
              <w:rPr>
                <w:rFonts w:ascii="Cambria" w:cs="Cambria" w:eastAsia="Cambria" w:hAnsi="Cambria"/>
                <w:b/>
                <w:bCs/>
                <w:sz w:val="16"/>
                <w:szCs w:val="16"/>
              </w:rPr>
              <w:t xml:space="preserve">Method</w:t>
            </w:r>
          </w:p>
        </w:tc>
        <w:tc>
          <w:tcPr>
            <w:tcBorders>
              <w:top w:val="single" w:color="000000" w:sz="8"/>
              <w:left w:val="none" w:color="FFFFFF" w:sz="0"/>
              <w:bottom w:val="single" w:color="000000" w:sz="8"/>
              <w:right w:val="none" w:color="FFFFFF" w:sz="0"/>
            </w:tcBorders>
          </w:tcPr>
          <w:p>
            <w:pPr>
              <w:jc w:val="center"/>
            </w:pPr>
            <w:r>
              <w:rPr>
                <w:rFonts w:ascii="Cambria" w:cs="Cambria" w:eastAsia="Cambria" w:hAnsi="Cambria"/>
                <w:b/>
                <w:bCs/>
                <w:sz w:val="16"/>
                <w:szCs w:val="16"/>
              </w:rPr>
              <w:t xml:space="preserve">Val F1</w:t>
            </w:r>
          </w:p>
        </w:tc>
        <w:tc>
          <w:tcPr>
            <w:tcBorders>
              <w:top w:val="single" w:color="000000" w:sz="8"/>
              <w:left w:val="none" w:color="FFFFFF" w:sz="0"/>
              <w:bottom w:val="single" w:color="000000" w:sz="8"/>
              <w:right w:val="none" w:color="FFFFFF" w:sz="0"/>
            </w:tcBorders>
          </w:tcPr>
          <w:p>
            <w:pPr>
              <w:jc w:val="center"/>
            </w:pPr>
            <w:r>
              <w:rPr>
                <w:rFonts w:ascii="Cambria" w:cs="Cambria" w:eastAsia="Cambria" w:hAnsi="Cambria"/>
                <w:b/>
                <w:bCs/>
                <w:sz w:val="16"/>
                <w:szCs w:val="16"/>
              </w:rPr>
              <w:t xml:space="preserve">Test F1</w:t>
            </w:r>
          </w:p>
        </w:tc>
        <w:tc>
          <w:tcPr>
            <w:tcBorders>
              <w:top w:val="single" w:color="000000" w:sz="8"/>
              <w:left w:val="none" w:color="FFFFFF" w:sz="0"/>
              <w:bottom w:val="single" w:color="000000" w:sz="8"/>
              <w:right w:val="none" w:color="FFFFFF" w:sz="0"/>
            </w:tcBorders>
          </w:tcPr>
          <w:p>
            <w:pPr>
              <w:jc w:val="center"/>
            </w:pPr>
            <w:r>
              <w:rPr>
                <w:rFonts w:ascii="Cambria" w:cs="Cambria" w:eastAsia="Cambria" w:hAnsi="Cambria"/>
                <w:b/>
                <w:bCs/>
                <w:sz w:val="16"/>
                <w:szCs w:val="16"/>
              </w:rPr>
              <w:t xml:space="preserve">Gap</w:t>
            </w:r>
          </w:p>
        </w:tc>
      </w:tr>
      <w:tr>
        <w:tc>
          <w:tcPr>
            <w:tcBorders>
              <w:top w:val="none" w:color="FFFFFF" w:sz="0"/>
              <w:left w:val="none" w:color="FFFFFF" w:sz="0"/>
              <w:bottom w:val="none" w:color="FFFFFF" w:sz="0"/>
              <w:right w:val="none" w:color="FFFFFF" w:sz="0"/>
            </w:tcBorders>
          </w:tcPr>
          <w:p>
            <w:r>
              <w:rPr>
                <w:rFonts w:ascii="Cambria" w:cs="Cambria" w:eastAsia="Cambria" w:hAnsi="Cambria"/>
                <w:b/>
                <w:bCs/>
                <w:sz w:val="16"/>
                <w:szCs w:val="16"/>
              </w:rPr>
              <w:t xml:space="preserve">Single Model (Ours)</w:t>
            </w:r>
          </w:p>
        </w:tc>
        <w:tc>
          <w:tcPr>
            <w:tcBorders>
              <w:top w:val="none" w:color="FFFFFF" w:sz="0"/>
              <w:left w:val="none" w:color="FFFFFF" w:sz="0"/>
              <w:bottom w:val="none" w:color="FFFFFF" w:sz="0"/>
              <w:right w:val="none" w:color="FFFFFF" w:sz="0"/>
            </w:tcBorders>
          </w:tcPr>
          <w:p>
            <w:pPr>
              <w:jc w:val="center"/>
            </w:pPr>
            <w:r>
              <w:rPr>
                <w:rFonts w:ascii="Cambria" w:cs="Cambria" w:eastAsia="Cambria" w:hAnsi="Cambria"/>
                <w:b/>
                <w:bCs/>
                <w:sz w:val="16"/>
                <w:szCs w:val="16"/>
              </w:rPr>
              <w:t xml:space="preserve">81.13%</w:t>
            </w:r>
          </w:p>
        </w:tc>
        <w:tc>
          <w:tcPr>
            <w:tcBorders>
              <w:top w:val="none" w:color="FFFFFF" w:sz="0"/>
              <w:left w:val="none" w:color="FFFFFF" w:sz="0"/>
              <w:bottom w:val="none" w:color="FFFFFF" w:sz="0"/>
              <w:right w:val="none" w:color="FFFFFF" w:sz="0"/>
            </w:tcBorders>
          </w:tcPr>
          <w:p>
            <w:pPr>
              <w:jc w:val="center"/>
            </w:pPr>
            <w:r>
              <w:rPr>
                <w:rFonts w:ascii="Cambria" w:cs="Cambria" w:eastAsia="Cambria" w:hAnsi="Cambria"/>
                <w:b/>
                <w:bCs/>
                <w:sz w:val="16"/>
                <w:szCs w:val="16"/>
              </w:rPr>
              <w:t xml:space="preserve">81.38%</w:t>
            </w:r>
          </w:p>
        </w:tc>
        <w:tc>
          <w:tcPr>
            <w:tcBorders>
              <w:top w:val="none" w:color="FFFFFF" w:sz="0"/>
              <w:left w:val="none" w:color="FFFFFF" w:sz="0"/>
              <w:bottom w:val="none" w:color="FFFFFF" w:sz="0"/>
              <w:right w:val="none" w:color="FFFFFF" w:sz="0"/>
            </w:tcBorders>
          </w:tcPr>
          <w:p>
            <w:pPr>
              <w:jc w:val="center"/>
            </w:pPr>
            <w:r>
              <w:rPr>
                <w:rFonts w:ascii="Cambria" w:cs="Cambria" w:eastAsia="Cambria" w:hAnsi="Cambria"/>
                <w:b/>
                <w:bCs/>
                <w:sz w:val="16"/>
                <w:szCs w:val="16"/>
              </w:rPr>
              <w:t xml:space="preserve">-0.25%</w:t>
            </w:r>
          </w:p>
        </w:tc>
      </w:tr>
      <w:tr>
        <w:tc>
          <w:tcPr>
            <w:tcBorders>
              <w:top w:val="none" w:color="FFFFFF" w:sz="0"/>
              <w:left w:val="none" w:color="FFFFFF" w:sz="0"/>
              <w:bottom w:val="none" w:color="FFFFFF" w:sz="0"/>
              <w:right w:val="none" w:color="FFFFFF" w:sz="0"/>
            </w:tcBorders>
          </w:tcPr>
          <w:p>
            <w:r>
              <w:rPr>
                <w:rFonts w:ascii="Cambria" w:cs="Cambria" w:eastAsia="Cambria" w:hAnsi="Cambria"/>
                <w:sz w:val="16"/>
                <w:szCs w:val="16"/>
              </w:rPr>
              <w:t xml:space="preserve">Soft Voting</w:t>
            </w:r>
          </w:p>
        </w:tc>
        <w:tc>
          <w:tcPr>
            <w:tcBorders>
              <w:top w:val="none" w:color="FFFFFF" w:sz="0"/>
              <w:left w:val="none" w:color="FFFFFF" w:sz="0"/>
              <w:bottom w:val="none" w:color="FFFFFF" w:sz="0"/>
              <w:right w:val="none" w:color="FFFFFF" w:sz="0"/>
            </w:tcBorders>
          </w:tcPr>
          <w:p>
            <w:pPr>
              <w:jc w:val="center"/>
            </w:pPr>
            <w:r>
              <w:rPr>
                <w:rFonts w:ascii="Cambria" w:cs="Cambria" w:eastAsia="Cambria" w:hAnsi="Cambria"/>
                <w:sz w:val="16"/>
                <w:szCs w:val="16"/>
              </w:rPr>
              <w:t xml:space="preserve">82.50%</w:t>
            </w:r>
          </w:p>
        </w:tc>
        <w:tc>
          <w:tcPr>
            <w:tcBorders>
              <w:top w:val="none" w:color="FFFFFF" w:sz="0"/>
              <w:left w:val="none" w:color="FFFFFF" w:sz="0"/>
              <w:bottom w:val="none" w:color="FFFFFF" w:sz="0"/>
              <w:right w:val="none" w:color="FFFFFF" w:sz="0"/>
            </w:tcBorders>
          </w:tcPr>
          <w:p>
            <w:pPr>
              <w:jc w:val="center"/>
            </w:pPr>
            <w:r>
              <w:rPr>
                <w:rFonts w:ascii="Cambria" w:cs="Cambria" w:eastAsia="Cambria" w:hAnsi="Cambria"/>
                <w:sz w:val="16"/>
                <w:szCs w:val="16"/>
              </w:rPr>
              <w:t xml:space="preserve">79.80%</w:t>
            </w:r>
          </w:p>
        </w:tc>
        <w:tc>
          <w:tcPr>
            <w:tcBorders>
              <w:top w:val="none" w:color="FFFFFF" w:sz="0"/>
              <w:left w:val="none" w:color="FFFFFF" w:sz="0"/>
              <w:bottom w:val="none" w:color="FFFFFF" w:sz="0"/>
              <w:right w:val="none" w:color="FFFFFF" w:sz="0"/>
            </w:tcBorders>
          </w:tcPr>
          <w:p>
            <w:pPr>
              <w:jc w:val="center"/>
            </w:pPr>
            <w:r>
              <w:rPr>
                <w:rFonts w:ascii="Cambria" w:cs="Cambria" w:eastAsia="Cambria" w:hAnsi="Cambria"/>
                <w:sz w:val="16"/>
                <w:szCs w:val="16"/>
              </w:rPr>
              <w:t xml:space="preserve">+2.70%</w:t>
            </w:r>
          </w:p>
        </w:tc>
      </w:tr>
      <w:tr>
        <w:tc>
          <w:tcPr>
            <w:tcBorders>
              <w:top w:val="none" w:color="FFFFFF" w:sz="0"/>
              <w:left w:val="none" w:color="FFFFFF" w:sz="0"/>
              <w:bottom w:val="none" w:color="FFFFFF" w:sz="0"/>
              <w:right w:val="none" w:color="FFFFFF" w:sz="0"/>
            </w:tcBorders>
          </w:tcPr>
          <w:p>
            <w:r>
              <w:rPr>
                <w:rFonts w:ascii="Cambria" w:cs="Cambria" w:eastAsia="Cambria" w:hAnsi="Cambria"/>
                <w:sz w:val="16"/>
                <w:szCs w:val="16"/>
              </w:rPr>
              <w:t xml:space="preserve">Weighted Voting</w:t>
            </w:r>
          </w:p>
        </w:tc>
        <w:tc>
          <w:tcPr>
            <w:tcBorders>
              <w:top w:val="none" w:color="FFFFFF" w:sz="0"/>
              <w:left w:val="none" w:color="FFFFFF" w:sz="0"/>
              <w:bottom w:val="none" w:color="FFFFFF" w:sz="0"/>
              <w:right w:val="none" w:color="FFFFFF" w:sz="0"/>
            </w:tcBorders>
          </w:tcPr>
          <w:p>
            <w:pPr>
              <w:jc w:val="center"/>
            </w:pPr>
            <w:r>
              <w:rPr>
                <w:rFonts w:ascii="Cambria" w:cs="Cambria" w:eastAsia="Cambria" w:hAnsi="Cambria"/>
                <w:sz w:val="16"/>
                <w:szCs w:val="16"/>
              </w:rPr>
              <w:t xml:space="preserve">84.20%</w:t>
            </w:r>
          </w:p>
        </w:tc>
        <w:tc>
          <w:tcPr>
            <w:tcBorders>
              <w:top w:val="none" w:color="FFFFFF" w:sz="0"/>
              <w:left w:val="none" w:color="FFFFFF" w:sz="0"/>
              <w:bottom w:val="none" w:color="FFFFFF" w:sz="0"/>
              <w:right w:val="none" w:color="FFFFFF" w:sz="0"/>
            </w:tcBorders>
          </w:tcPr>
          <w:p>
            <w:pPr>
              <w:jc w:val="center"/>
            </w:pPr>
            <w:r>
              <w:rPr>
                <w:rFonts w:ascii="Cambria" w:cs="Cambria" w:eastAsia="Cambria" w:hAnsi="Cambria"/>
                <w:sz w:val="16"/>
                <w:szCs w:val="16"/>
              </w:rPr>
              <w:t xml:space="preserve">78.50%</w:t>
            </w:r>
          </w:p>
        </w:tc>
        <w:tc>
          <w:tcPr>
            <w:tcBorders>
              <w:top w:val="none" w:color="FFFFFF" w:sz="0"/>
              <w:left w:val="none" w:color="FFFFFF" w:sz="0"/>
              <w:bottom w:val="none" w:color="FFFFFF" w:sz="0"/>
              <w:right w:val="none" w:color="FFFFFF" w:sz="0"/>
            </w:tcBorders>
          </w:tcPr>
          <w:p>
            <w:pPr>
              <w:jc w:val="center"/>
            </w:pPr>
            <w:r>
              <w:rPr>
                <w:rFonts w:ascii="Cambria" w:cs="Cambria" w:eastAsia="Cambria" w:hAnsi="Cambria"/>
                <w:sz w:val="16"/>
                <w:szCs w:val="16"/>
              </w:rPr>
              <w:t xml:space="preserve">+5.70%</w:t>
            </w:r>
          </w:p>
        </w:tc>
      </w:tr>
      <w:tr>
        <w:tc>
          <w:tcPr>
            <w:tcBorders>
              <w:top w:val="none" w:color="FFFFFF" w:sz="0"/>
              <w:left w:val="none" w:color="FFFFFF" w:sz="0"/>
              <w:bottom w:val="single" w:color="000000" w:sz="8"/>
              <w:right w:val="none" w:color="FFFFFF" w:sz="0"/>
            </w:tcBorders>
          </w:tcPr>
          <w:p>
            <w:r>
              <w:rPr>
                <w:rFonts w:ascii="Cambria" w:cs="Cambria" w:eastAsia="Cambria" w:hAnsi="Cambria"/>
                <w:sz w:val="16"/>
                <w:szCs w:val="16"/>
              </w:rPr>
              <w:t xml:space="preserve">Meta-Learner Stacking</w:t>
            </w:r>
          </w:p>
        </w:tc>
        <w:tc>
          <w:tcPr>
            <w:tcBorders>
              <w:top w:val="none" w:color="FFFFFF" w:sz="0"/>
              <w:left w:val="none" w:color="FFFFFF" w:sz="0"/>
              <w:bottom w:val="single" w:color="000000" w:sz="8"/>
              <w:right w:val="none" w:color="FFFFFF" w:sz="0"/>
            </w:tcBorders>
          </w:tcPr>
          <w:p>
            <w:pPr>
              <w:jc w:val="center"/>
            </w:pPr>
            <w:r>
              <w:rPr>
                <w:rFonts w:ascii="Cambria" w:cs="Cambria" w:eastAsia="Cambria" w:hAnsi="Cambria"/>
                <w:sz w:val="16"/>
                <w:szCs w:val="16"/>
              </w:rPr>
              <w:t xml:space="preserve">94.09%</w:t>
            </w:r>
          </w:p>
        </w:tc>
        <w:tc>
          <w:tcPr>
            <w:tcBorders>
              <w:top w:val="none" w:color="FFFFFF" w:sz="0"/>
              <w:left w:val="none" w:color="FFFFFF" w:sz="0"/>
              <w:bottom w:val="single" w:color="000000" w:sz="8"/>
              <w:right w:val="none" w:color="FFFFFF" w:sz="0"/>
            </w:tcBorders>
          </w:tcPr>
          <w:p>
            <w:pPr>
              <w:jc w:val="center"/>
            </w:pPr>
            <w:r>
              <w:rPr>
                <w:rFonts w:ascii="Cambria" w:cs="Cambria" w:eastAsia="Cambria" w:hAnsi="Cambria"/>
                <w:sz w:val="16"/>
                <w:szCs w:val="16"/>
              </w:rPr>
              <w:t xml:space="preserve">79.50%</w:t>
            </w:r>
          </w:p>
        </w:tc>
        <w:tc>
          <w:tcPr>
            <w:tcBorders>
              <w:top w:val="none" w:color="FFFFFF" w:sz="0"/>
              <w:left w:val="none" w:color="FFFFFF" w:sz="0"/>
              <w:bottom w:val="single" w:color="000000" w:sz="8"/>
              <w:right w:val="none" w:color="FFFFFF" w:sz="0"/>
            </w:tcBorders>
          </w:tcPr>
          <w:p>
            <w:pPr>
              <w:jc w:val="center"/>
            </w:pPr>
            <w:r>
              <w:rPr>
                <w:rFonts w:ascii="Cambria" w:cs="Cambria" w:eastAsia="Cambria" w:hAnsi="Cambria"/>
                <w:sz w:val="16"/>
                <w:szCs w:val="16"/>
              </w:rPr>
              <w:t xml:space="preserve">+14.59%</w:t>
            </w:r>
          </w:p>
        </w:tc>
      </w:tr>
    </w:tbl>
    <w:p>
      <w:pPr>
        <w:spacing w:before="200" w:after="60"/>
      </w:pPr>
      <w:r>
        <w:rPr>
          <w:rFonts w:ascii="Cambria" w:cs="Cambria" w:eastAsia="Cambria" w:hAnsi="Cambria"/>
          <w:b/>
          <w:bCs/>
          <w:sz w:val="20"/>
          <w:szCs w:val="20"/>
        </w:rPr>
        <w:t xml:space="preserve">C. Per-Class Performance</w:t>
      </w:r>
    </w:p>
    <w:p>
      <w:pPr>
        <w:spacing w:after="120"/>
        <w:ind w:firstLine="720"/>
        <w:jc w:val="both"/>
      </w:pPr>
      <w:r>
        <w:rPr>
          <w:rFonts w:ascii="Cambria" w:cs="Cambria" w:eastAsia="Cambria" w:hAnsi="Cambria"/>
          <w:sz w:val="20"/>
          <w:szCs w:val="20"/>
        </w:rPr>
        <w:t xml:space="preserve">The per-class analysis in Table 4 reveals that Light Hate remains the most challenging category with the lowest F1-score of 74.77%. This finding is consistent with the inherent ambiguity of subtle offensive language that relies heavily on cultural context and sarcasm [20].</w:t>
      </w:r>
    </w:p>
    <w:p>
      <w:pPr>
        <w:spacing w:before="120" w:after="60"/>
        <w:jc w:val="center"/>
      </w:pPr>
      <w:r>
        <w:rPr>
          <w:rFonts w:ascii="Cambria" w:cs="Cambria" w:eastAsia="Cambria" w:hAnsi="Cambria"/>
          <w:sz w:val="16"/>
          <w:szCs w:val="16"/>
        </w:rPr>
        <w:t xml:space="preserve">Table 4. Per-Class Performance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000000" w:sz="8"/>
              <w:left w:val="none" w:color="FFFFFF" w:sz="0"/>
              <w:bottom w:val="single" w:color="000000" w:sz="8"/>
              <w:right w:val="none" w:color="FFFFFF" w:sz="0"/>
            </w:tcBorders>
          </w:tcPr>
          <w:p>
            <w:pPr>
              <w:jc w:val="center"/>
            </w:pPr>
            <w:r>
              <w:rPr>
                <w:rFonts w:ascii="Cambria" w:cs="Cambria" w:eastAsia="Cambria" w:hAnsi="Cambria"/>
                <w:b/>
                <w:bCs/>
                <w:sz w:val="16"/>
                <w:szCs w:val="16"/>
              </w:rPr>
              <w:t xml:space="preserve">Class</w:t>
            </w:r>
          </w:p>
        </w:tc>
        <w:tc>
          <w:tcPr>
            <w:tcBorders>
              <w:top w:val="single" w:color="000000" w:sz="8"/>
              <w:left w:val="none" w:color="FFFFFF" w:sz="0"/>
              <w:bottom w:val="single" w:color="000000" w:sz="8"/>
              <w:right w:val="none" w:color="FFFFFF" w:sz="0"/>
            </w:tcBorders>
          </w:tcPr>
          <w:p>
            <w:pPr>
              <w:jc w:val="center"/>
            </w:pPr>
            <w:r>
              <w:rPr>
                <w:rFonts w:ascii="Cambria" w:cs="Cambria" w:eastAsia="Cambria" w:hAnsi="Cambria"/>
                <w:b/>
                <w:bCs/>
                <w:sz w:val="16"/>
                <w:szCs w:val="16"/>
              </w:rPr>
              <w:t xml:space="preserve">F1-Score</w:t>
            </w:r>
          </w:p>
        </w:tc>
        <w:tc>
          <w:tcPr>
            <w:tcBorders>
              <w:top w:val="single" w:color="000000" w:sz="8"/>
              <w:left w:val="none" w:color="FFFFFF" w:sz="0"/>
              <w:bottom w:val="single" w:color="000000" w:sz="8"/>
              <w:right w:val="none" w:color="FFFFFF" w:sz="0"/>
            </w:tcBorders>
          </w:tcPr>
          <w:p>
            <w:pPr>
              <w:jc w:val="center"/>
            </w:pPr>
            <w:r>
              <w:rPr>
                <w:rFonts w:ascii="Cambria" w:cs="Cambria" w:eastAsia="Cambria" w:hAnsi="Cambria"/>
                <w:b/>
                <w:bCs/>
                <w:sz w:val="16"/>
                <w:szCs w:val="16"/>
              </w:rPr>
              <w:t xml:space="preserve">Precision</w:t>
            </w:r>
          </w:p>
        </w:tc>
        <w:tc>
          <w:tcPr>
            <w:tcBorders>
              <w:top w:val="single" w:color="000000" w:sz="8"/>
              <w:left w:val="none" w:color="FFFFFF" w:sz="0"/>
              <w:bottom w:val="single" w:color="000000" w:sz="8"/>
              <w:right w:val="none" w:color="FFFFFF" w:sz="0"/>
            </w:tcBorders>
          </w:tcPr>
          <w:p>
            <w:pPr>
              <w:jc w:val="center"/>
            </w:pPr>
            <w:r>
              <w:rPr>
                <w:rFonts w:ascii="Cambria" w:cs="Cambria" w:eastAsia="Cambria" w:hAnsi="Cambria"/>
                <w:b/>
                <w:bCs/>
                <w:sz w:val="16"/>
                <w:szCs w:val="16"/>
              </w:rPr>
              <w:t xml:space="preserve">Recall</w:t>
            </w:r>
          </w:p>
        </w:tc>
      </w:tr>
      <w:tr>
        <w:tc>
          <w:tcPr>
            <w:tcBorders>
              <w:top w:val="none" w:color="FFFFFF" w:sz="0"/>
              <w:left w:val="none" w:color="FFFFFF" w:sz="0"/>
              <w:bottom w:val="none" w:color="FFFFFF" w:sz="0"/>
              <w:right w:val="none" w:color="FFFFFF" w:sz="0"/>
            </w:tcBorders>
          </w:tcPr>
          <w:p>
            <w:r>
              <w:rPr>
                <w:rFonts w:ascii="Cambria" w:cs="Cambria" w:eastAsia="Cambria" w:hAnsi="Cambria"/>
                <w:sz w:val="16"/>
                <w:szCs w:val="16"/>
              </w:rPr>
              <w:t xml:space="preserve">Neutral</w:t>
            </w:r>
          </w:p>
        </w:tc>
        <w:tc>
          <w:tcPr>
            <w:tcBorders>
              <w:top w:val="none" w:color="FFFFFF" w:sz="0"/>
              <w:left w:val="none" w:color="FFFFFF" w:sz="0"/>
              <w:bottom w:val="none" w:color="FFFFFF" w:sz="0"/>
              <w:right w:val="none" w:color="FFFFFF" w:sz="0"/>
            </w:tcBorders>
          </w:tcPr>
          <w:p>
            <w:pPr>
              <w:jc w:val="center"/>
            </w:pPr>
            <w:r>
              <w:rPr>
                <w:rFonts w:ascii="Cambria" w:cs="Cambria" w:eastAsia="Cambria" w:hAnsi="Cambria"/>
                <w:sz w:val="16"/>
                <w:szCs w:val="16"/>
              </w:rPr>
              <w:t xml:space="preserve">79.83%</w:t>
            </w:r>
          </w:p>
        </w:tc>
        <w:tc>
          <w:tcPr>
            <w:tcBorders>
              <w:top w:val="none" w:color="FFFFFF" w:sz="0"/>
              <w:left w:val="none" w:color="FFFFFF" w:sz="0"/>
              <w:bottom w:val="none" w:color="FFFFFF" w:sz="0"/>
              <w:right w:val="none" w:color="FFFFFF" w:sz="0"/>
            </w:tcBorders>
          </w:tcPr>
          <w:p>
            <w:pPr>
              <w:jc w:val="center"/>
            </w:pPr>
            <w:r>
              <w:rPr>
                <w:rFonts w:ascii="Cambria" w:cs="Cambria" w:eastAsia="Cambria" w:hAnsi="Cambria"/>
                <w:sz w:val="16"/>
                <w:szCs w:val="16"/>
              </w:rPr>
              <w:t xml:space="preserve">80.39%</w:t>
            </w:r>
          </w:p>
        </w:tc>
        <w:tc>
          <w:tcPr>
            <w:tcBorders>
              <w:top w:val="none" w:color="FFFFFF" w:sz="0"/>
              <w:left w:val="none" w:color="FFFFFF" w:sz="0"/>
              <w:bottom w:val="none" w:color="FFFFFF" w:sz="0"/>
              <w:right w:val="none" w:color="FFFFFF" w:sz="0"/>
            </w:tcBorders>
          </w:tcPr>
          <w:p>
            <w:pPr>
              <w:jc w:val="center"/>
            </w:pPr>
            <w:r>
              <w:rPr>
                <w:rFonts w:ascii="Cambria" w:cs="Cambria" w:eastAsia="Cambria" w:hAnsi="Cambria"/>
                <w:sz w:val="16"/>
                <w:szCs w:val="16"/>
              </w:rPr>
              <w:t xml:space="preserve">79.35%</w:t>
            </w:r>
          </w:p>
        </w:tc>
      </w:tr>
      <w:tr>
        <w:tc>
          <w:tcPr>
            <w:tcBorders>
              <w:top w:val="none" w:color="FFFFFF" w:sz="0"/>
              <w:left w:val="none" w:color="FFFFFF" w:sz="0"/>
              <w:bottom w:val="none" w:color="FFFFFF" w:sz="0"/>
              <w:right w:val="none" w:color="FFFFFF" w:sz="0"/>
            </w:tcBorders>
          </w:tcPr>
          <w:p>
            <w:r>
              <w:rPr>
                <w:rFonts w:ascii="Cambria" w:cs="Cambria" w:eastAsia="Cambria" w:hAnsi="Cambria"/>
                <w:b/>
                <w:bCs/>
                <w:sz w:val="16"/>
                <w:szCs w:val="16"/>
              </w:rPr>
              <w:t xml:space="preserve">Light Hate (Bottleneck)</w:t>
            </w:r>
          </w:p>
        </w:tc>
        <w:tc>
          <w:tcPr>
            <w:tcBorders>
              <w:top w:val="none" w:color="FFFFFF" w:sz="0"/>
              <w:left w:val="none" w:color="FFFFFF" w:sz="0"/>
              <w:bottom w:val="none" w:color="FFFFFF" w:sz="0"/>
              <w:right w:val="none" w:color="FFFFFF" w:sz="0"/>
            </w:tcBorders>
          </w:tcPr>
          <w:p>
            <w:pPr>
              <w:jc w:val="center"/>
            </w:pPr>
            <w:r>
              <w:rPr>
                <w:rFonts w:ascii="Cambria" w:cs="Cambria" w:eastAsia="Cambria" w:hAnsi="Cambria"/>
                <w:b/>
                <w:bCs/>
                <w:sz w:val="16"/>
                <w:szCs w:val="16"/>
              </w:rPr>
              <w:t xml:space="preserve">74.77%</w:t>
            </w:r>
          </w:p>
        </w:tc>
        <w:tc>
          <w:tcPr>
            <w:tcBorders>
              <w:top w:val="none" w:color="FFFFFF" w:sz="0"/>
              <w:left w:val="none" w:color="FFFFFF" w:sz="0"/>
              <w:bottom w:val="none" w:color="FFFFFF" w:sz="0"/>
              <w:right w:val="none" w:color="FFFFFF" w:sz="0"/>
            </w:tcBorders>
          </w:tcPr>
          <w:p>
            <w:pPr>
              <w:jc w:val="center"/>
            </w:pPr>
            <w:r>
              <w:rPr>
                <w:rFonts w:ascii="Cambria" w:cs="Cambria" w:eastAsia="Cambria" w:hAnsi="Cambria"/>
                <w:sz w:val="16"/>
                <w:szCs w:val="16"/>
              </w:rPr>
              <w:t xml:space="preserve">73.40%</w:t>
            </w:r>
          </w:p>
        </w:tc>
        <w:tc>
          <w:tcPr>
            <w:tcBorders>
              <w:top w:val="none" w:color="FFFFFF" w:sz="0"/>
              <w:left w:val="none" w:color="FFFFFF" w:sz="0"/>
              <w:bottom w:val="none" w:color="FFFFFF" w:sz="0"/>
              <w:right w:val="none" w:color="FFFFFF" w:sz="0"/>
            </w:tcBorders>
          </w:tcPr>
          <w:p>
            <w:pPr>
              <w:jc w:val="center"/>
            </w:pPr>
            <w:r>
              <w:rPr>
                <w:rFonts w:ascii="Cambria" w:cs="Cambria" w:eastAsia="Cambria" w:hAnsi="Cambria"/>
                <w:sz w:val="16"/>
                <w:szCs w:val="16"/>
              </w:rPr>
              <w:t xml:space="preserve">76.25%</w:t>
            </w:r>
          </w:p>
        </w:tc>
      </w:tr>
      <w:tr>
        <w:tc>
          <w:tcPr>
            <w:tcBorders>
              <w:top w:val="none" w:color="FFFFFF" w:sz="0"/>
              <w:left w:val="none" w:color="FFFFFF" w:sz="0"/>
              <w:bottom w:val="none" w:color="FFFFFF" w:sz="0"/>
              <w:right w:val="none" w:color="FFFFFF" w:sz="0"/>
            </w:tcBorders>
          </w:tcPr>
          <w:p>
            <w:r>
              <w:rPr>
                <w:rFonts w:ascii="Cambria" w:cs="Cambria" w:eastAsia="Cambria" w:hAnsi="Cambria"/>
                <w:sz w:val="16"/>
                <w:szCs w:val="16"/>
              </w:rPr>
              <w:t xml:space="preserve">Moderate Hate</w:t>
            </w:r>
          </w:p>
        </w:tc>
        <w:tc>
          <w:tcPr>
            <w:tcBorders>
              <w:top w:val="none" w:color="FFFFFF" w:sz="0"/>
              <w:left w:val="none" w:color="FFFFFF" w:sz="0"/>
              <w:bottom w:val="none" w:color="FFFFFF" w:sz="0"/>
              <w:right w:val="none" w:color="FFFFFF" w:sz="0"/>
            </w:tcBorders>
          </w:tcPr>
          <w:p>
            <w:pPr>
              <w:jc w:val="center"/>
            </w:pPr>
            <w:r>
              <w:rPr>
                <w:rFonts w:ascii="Cambria" w:cs="Cambria" w:eastAsia="Cambria" w:hAnsi="Cambria"/>
                <w:sz w:val="16"/>
                <w:szCs w:val="16"/>
              </w:rPr>
              <w:t xml:space="preserve">85.09%</w:t>
            </w:r>
          </w:p>
        </w:tc>
        <w:tc>
          <w:tcPr>
            <w:tcBorders>
              <w:top w:val="none" w:color="FFFFFF" w:sz="0"/>
              <w:left w:val="none" w:color="FFFFFF" w:sz="0"/>
              <w:bottom w:val="none" w:color="FFFFFF" w:sz="0"/>
              <w:right w:val="none" w:color="FFFFFF" w:sz="0"/>
            </w:tcBorders>
          </w:tcPr>
          <w:p>
            <w:pPr>
              <w:jc w:val="center"/>
            </w:pPr>
            <w:r>
              <w:rPr>
                <w:rFonts w:ascii="Cambria" w:cs="Cambria" w:eastAsia="Cambria" w:hAnsi="Cambria"/>
                <w:sz w:val="16"/>
                <w:szCs w:val="16"/>
              </w:rPr>
              <w:t xml:space="preserve">86.30%</w:t>
            </w:r>
          </w:p>
        </w:tc>
        <w:tc>
          <w:tcPr>
            <w:tcBorders>
              <w:top w:val="none" w:color="FFFFFF" w:sz="0"/>
              <w:left w:val="none" w:color="FFFFFF" w:sz="0"/>
              <w:bottom w:val="none" w:color="FFFFFF" w:sz="0"/>
              <w:right w:val="none" w:color="FFFFFF" w:sz="0"/>
            </w:tcBorders>
          </w:tcPr>
          <w:p>
            <w:pPr>
              <w:jc w:val="center"/>
            </w:pPr>
            <w:r>
              <w:rPr>
                <w:rFonts w:ascii="Cambria" w:cs="Cambria" w:eastAsia="Cambria" w:hAnsi="Cambria"/>
                <w:sz w:val="16"/>
                <w:szCs w:val="16"/>
              </w:rPr>
              <w:t xml:space="preserve">84.00%</w:t>
            </w:r>
          </w:p>
        </w:tc>
      </w:tr>
      <w:tr>
        <w:tc>
          <w:tcPr>
            <w:tcBorders>
              <w:top w:val="none" w:color="FFFFFF" w:sz="0"/>
              <w:left w:val="none" w:color="FFFFFF" w:sz="0"/>
              <w:bottom w:val="single" w:color="000000" w:sz="8"/>
              <w:right w:val="none" w:color="FFFFFF" w:sz="0"/>
            </w:tcBorders>
          </w:tcPr>
          <w:p>
            <w:r>
              <w:rPr>
                <w:rFonts w:ascii="Cambria" w:cs="Cambria" w:eastAsia="Cambria" w:hAnsi="Cambria"/>
                <w:sz w:val="16"/>
                <w:szCs w:val="16"/>
              </w:rPr>
              <w:t xml:space="preserve">Severe Hate</w:t>
            </w:r>
          </w:p>
        </w:tc>
        <w:tc>
          <w:tcPr>
            <w:tcBorders>
              <w:top w:val="none" w:color="FFFFFF" w:sz="0"/>
              <w:left w:val="none" w:color="FFFFFF" w:sz="0"/>
              <w:bottom w:val="single" w:color="000000" w:sz="8"/>
              <w:right w:val="none" w:color="FFFFFF" w:sz="0"/>
            </w:tcBorders>
          </w:tcPr>
          <w:p>
            <w:pPr>
              <w:jc w:val="center"/>
            </w:pPr>
            <w:r>
              <w:rPr>
                <w:rFonts w:ascii="Cambria" w:cs="Cambria" w:eastAsia="Cambria" w:hAnsi="Cambria"/>
                <w:sz w:val="16"/>
                <w:szCs w:val="16"/>
              </w:rPr>
              <w:t xml:space="preserve">85.84%</w:t>
            </w:r>
          </w:p>
        </w:tc>
        <w:tc>
          <w:tcPr>
            <w:tcBorders>
              <w:top w:val="none" w:color="FFFFFF" w:sz="0"/>
              <w:left w:val="none" w:color="FFFFFF" w:sz="0"/>
              <w:bottom w:val="single" w:color="000000" w:sz="8"/>
              <w:right w:val="none" w:color="FFFFFF" w:sz="0"/>
            </w:tcBorders>
          </w:tcPr>
          <w:p>
            <w:pPr>
              <w:jc w:val="center"/>
            </w:pPr>
            <w:r>
              <w:rPr>
                <w:rFonts w:ascii="Cambria" w:cs="Cambria" w:eastAsia="Cambria" w:hAnsi="Cambria"/>
                <w:sz w:val="16"/>
                <w:szCs w:val="16"/>
              </w:rPr>
              <w:t xml:space="preserve">85.71%</w:t>
            </w:r>
          </w:p>
        </w:tc>
        <w:tc>
          <w:tcPr>
            <w:tcBorders>
              <w:top w:val="none" w:color="FFFFFF" w:sz="0"/>
              <w:left w:val="none" w:color="FFFFFF" w:sz="0"/>
              <w:bottom w:val="single" w:color="000000" w:sz="8"/>
              <w:right w:val="none" w:color="FFFFFF" w:sz="0"/>
            </w:tcBorders>
          </w:tcPr>
          <w:p>
            <w:pPr>
              <w:jc w:val="center"/>
            </w:pPr>
            <w:r>
              <w:rPr>
                <w:rFonts w:ascii="Cambria" w:cs="Cambria" w:eastAsia="Cambria" w:hAnsi="Cambria"/>
                <w:sz w:val="16"/>
                <w:szCs w:val="16"/>
              </w:rPr>
              <w:t xml:space="preserve">86.00%</w:t>
            </w:r>
          </w:p>
        </w:tc>
      </w:tr>
    </w:tbl>
    <w:p>
      <w:pPr>
        <w:spacing w:before="200" w:after="60"/>
      </w:pPr>
      <w:r>
        <w:rPr>
          <w:rFonts w:ascii="Cambria" w:cs="Cambria" w:eastAsia="Cambria" w:hAnsi="Cambria"/>
          <w:b/>
          <w:bCs/>
          <w:sz w:val="20"/>
          <w:szCs w:val="20"/>
        </w:rPr>
        <w:t xml:space="preserve">D. Hard Negative Analysis</w:t>
      </w:r>
    </w:p>
    <w:p>
      <w:pPr>
        <w:spacing w:after="120"/>
        <w:ind w:firstLine="720"/>
        <w:jc w:val="both"/>
      </w:pPr>
      <w:r>
        <w:rPr>
          <w:rFonts w:ascii="Cambria" w:cs="Cambria" w:eastAsia="Cambria" w:hAnsi="Cambria"/>
          <w:sz w:val="20"/>
          <w:szCs w:val="20"/>
        </w:rPr>
        <w:t xml:space="preserve">Hard negatives were identified as test samples where model confidence was below 0.6 or prediction was incorrect. Analysis revealed that 5.9% of the test set consisting of 59 samples fell into this category. The key finding is that all classes show maximum confusion with the Light Hate category, identifying it as the fundamental bottleneck [21]. This suggests that Light Hate is inherently ambiguous, often involving sarcasm, cultural references, or implicit offensive content that requires deeper contextual understanding [22].</w:t>
      </w:r>
    </w:p>
    <w:p>
      <w:pPr>
        <w:spacing w:before="200" w:after="60"/>
      </w:pPr>
      <w:r>
        <w:rPr>
          <w:rFonts w:ascii="Cambria" w:cs="Cambria" w:eastAsia="Cambria" w:hAnsi="Cambria"/>
          <w:b/>
          <w:bCs/>
          <w:sz w:val="20"/>
          <w:szCs w:val="20"/>
        </w:rPr>
        <w:t xml:space="preserve">E. Discussion</w:t>
      </w:r>
    </w:p>
    <w:p>
      <w:pPr>
        <w:spacing w:after="120"/>
        <w:ind w:firstLine="720"/>
        <w:jc w:val="both"/>
      </w:pPr>
      <w:r>
        <w:rPr>
          <w:rFonts w:ascii="Cambria" w:cs="Cambria" w:eastAsia="Cambria" w:hAnsi="Cambria"/>
          <w:sz w:val="20"/>
          <w:szCs w:val="20"/>
        </w:rPr>
        <w:t xml:space="preserve">Label smoothing prevents the model from becoming overconfident on noisy labels [16]. This is particularly beneficial given that part of the dataset in Phase 4 was augmented using LLMs, which may introduce inherent ambiguity in label boundaries. The regularization effect of label smoothing with ε=0.1 helps the model generalize better by distributing probability mass across classes.</w:t>
      </w:r>
    </w:p>
    <w:p>
      <w:pPr>
        <w:spacing w:after="120"/>
        <w:ind w:firstLine="720"/>
        <w:jc w:val="both"/>
      </w:pPr>
      <w:r>
        <w:rPr>
          <w:rFonts w:ascii="Cambria" w:cs="Cambria" w:eastAsia="Cambria" w:hAnsi="Cambria"/>
          <w:sz w:val="20"/>
          <w:szCs w:val="20"/>
        </w:rPr>
        <w:t xml:space="preserve">The failure of ensemble methods can be attributed to several factors. First, the validation set size of 1,002 samples was insufficient for training a robust meta-learner without overfitting. Second, the base models share similar inductive biases as they are all transformer-based, reducing ensemble diversity [23]. Third, the meta-learner using XGBoost [24] memorized validation patterns rather than learning generalizable decision rules. This finding has important implications for low-resource NLP, demonstrating that simple well-regularized models often outperform complex architectures when data is limited [25].</w:t>
      </w:r>
    </w:p>
    <w:p>
      <w:pPr>
        <w:spacing w:before="200" w:after="60"/>
      </w:pPr>
      <w:r>
        <w:rPr>
          <w:rFonts w:ascii="Cambria" w:cs="Cambria" w:eastAsia="Cambria" w:hAnsi="Cambria"/>
          <w:b/>
          <w:bCs/>
          <w:sz w:val="20"/>
          <w:szCs w:val="20"/>
        </w:rPr>
        <w:t xml:space="preserve">F. Limitations</w:t>
      </w:r>
    </w:p>
    <w:p>
      <w:pPr>
        <w:spacing w:after="120"/>
        <w:ind w:firstLine="720"/>
        <w:jc w:val="both"/>
      </w:pPr>
      <w:r>
        <w:rPr>
          <w:rFonts w:ascii="Cambria" w:cs="Cambria" w:eastAsia="Cambria" w:hAnsi="Cambria"/>
          <w:sz w:val="20"/>
          <w:szCs w:val="20"/>
        </w:rPr>
        <w:t xml:space="preserve">This research has several limitations. First, the LLM-augmented data in Phase 4 may introduce biases from the generation model. Second, hate speech severity classification is inherently subjective and may vary across annotators and cultural contexts. Third, the model only processes text and does not consider multimodal content such as images or videos that often accompany hate speech on social media platforms.</w:t>
      </w:r>
    </w:p>
    <w:p>
      <w:pPr>
        <w:spacing w:before="200" w:after="100"/>
      </w:pPr>
      <w:r>
        <w:rPr>
          <w:rFonts w:ascii="Cambria" w:cs="Cambria" w:eastAsia="Cambria" w:hAnsi="Cambria"/>
          <w:b/>
          <w:bCs/>
          <w:sz w:val="20"/>
          <w:szCs w:val="20"/>
        </w:rPr>
        <w:t xml:space="preserve">CONCLUSION</w:t>
      </w:r>
    </w:p>
    <w:p>
      <w:pPr>
        <w:spacing w:after="120"/>
        <w:ind w:firstLine="720"/>
        <w:jc w:val="both"/>
      </w:pPr>
      <w:r>
        <w:rPr>
          <w:rFonts w:ascii="Cambria" w:cs="Cambria" w:eastAsia="Cambria" w:hAnsi="Cambria"/>
          <w:sz w:val="20"/>
          <w:szCs w:val="20"/>
        </w:rPr>
        <w:t xml:space="preserve">This paper presents a rigorous evaluation of Javanese hate speech detection with a critical finding that a single IndoBERT model with label smoothing (ε=0.1) achieves 81.38% F1-Macro, significantly outperforming complex ensemble methods that showed severe overfitting. The validation-test gap of only 0.25% confirms genuine generalization, in contrast to preliminary ensemble experiments that achieved 94.09% validation but only 79.50% test performance.</w:t>
      </w:r>
    </w:p>
    <w:p>
      <w:pPr>
        <w:spacing w:after="120"/>
        <w:ind w:firstLine="720"/>
        <w:jc w:val="both"/>
      </w:pPr>
      <w:r>
        <w:rPr>
          <w:rFonts w:ascii="Cambria" w:cs="Cambria" w:eastAsia="Cambria" w:hAnsi="Cambria"/>
          <w:sz w:val="20"/>
          <w:szCs w:val="20"/>
        </w:rPr>
        <w:t xml:space="preserve">The hard negative analysis reveals that Light Hate is the fundamental bottleneck with all classes showing maximum confusion with this category. Future work should focus on improving Light Hate detection through enhanced annotation guidelines that better capture sarcasm and cultural context, multimodal approaches incorporating visual and contextual signals, and cross-lingual transfer learning from related languages with larger annotated resources.</w:t>
      </w:r>
    </w:p>
    <w:p>
      <w:pPr>
        <w:spacing w:before="200" w:after="100"/>
      </w:pPr>
      <w:r>
        <w:rPr>
          <w:rFonts w:ascii="Cambria" w:cs="Cambria" w:eastAsia="Cambria" w:hAnsi="Cambria"/>
          <w:b/>
          <w:bCs/>
          <w:sz w:val="20"/>
          <w:szCs w:val="20"/>
        </w:rPr>
        <w:t xml:space="preserve">REFERENCE</w:t>
      </w:r>
    </w:p>
    <w:p>
      <w:pPr>
        <w:spacing w:after="40"/>
        <w:ind w:left="284" w:hanging="284"/>
        <w:jc w:val="both"/>
      </w:pPr>
      <w:r>
        <w:rPr>
          <w:rFonts w:ascii="Cambria" w:cs="Cambria" w:eastAsia="Cambria" w:hAnsi="Cambria"/>
          <w:sz w:val="16"/>
          <w:szCs w:val="16"/>
        </w:rPr>
        <w:t xml:space="preserve">[1]	A. F. Aji et al., "One Country, 700+ Languages: NLP Challenges for Underrepresented Languages and Dialects in Indonesia," in Proc. ACL, Dublin, 2022, pp. 7226-7249.</w:t>
      </w:r>
    </w:p>
    <w:p>
      <w:pPr>
        <w:spacing w:after="40"/>
        <w:ind w:left="284" w:hanging="284"/>
        <w:jc w:val="both"/>
      </w:pPr>
      <w:r>
        <w:rPr>
          <w:rFonts w:ascii="Cambria" w:cs="Cambria" w:eastAsia="Cambria" w:hAnsi="Cambria"/>
          <w:sz w:val="16"/>
          <w:szCs w:val="16"/>
        </w:rPr>
        <w:t xml:space="preserve">[2]	S. D. A. Putri, M. O. Ibrohim, and I. Budi, "Abusive Language and Hate Speech Detection for Javanese and Sundanese Languages in Tweets," in WCSE, 2021, pp. 461-465.</w:t>
      </w:r>
    </w:p>
    <w:p>
      <w:pPr>
        <w:spacing w:after="40"/>
        <w:ind w:left="284" w:hanging="284"/>
        <w:jc w:val="both"/>
      </w:pPr>
      <w:r>
        <w:rPr>
          <w:rFonts w:ascii="Cambria" w:cs="Cambria" w:eastAsia="Cambria" w:hAnsi="Cambria"/>
          <w:sz w:val="16"/>
          <w:szCs w:val="16"/>
        </w:rPr>
        <w:t xml:space="preserve">[3]	M. O. Ibrohim and I. Budi, "Multi-label Hate Speech and Abusive Language Detection in Indonesian Twitter," in Proc. ALW3, 2019, pp. 46-57.</w:t>
      </w:r>
    </w:p>
    <w:p>
      <w:pPr>
        <w:spacing w:after="40"/>
        <w:ind w:left="284" w:hanging="284"/>
        <w:jc w:val="both"/>
      </w:pPr>
      <w:r>
        <w:rPr>
          <w:rFonts w:ascii="Cambria" w:cs="Cambria" w:eastAsia="Cambria" w:hAnsi="Cambria"/>
          <w:sz w:val="16"/>
          <w:szCs w:val="16"/>
        </w:rPr>
        <w:t xml:space="preserve">[4]	F. Koto, J. H. Lau, and T. Baldwin, "IndoBERTweet: A Pretrained Language Model for Indonesian Twitter," in Proc. EMNLP, 2021, pp. 10660-10668.</w:t>
      </w:r>
    </w:p>
    <w:p>
      <w:pPr>
        <w:spacing w:after="40"/>
        <w:ind w:left="284" w:hanging="284"/>
        <w:jc w:val="both"/>
      </w:pPr>
      <w:r>
        <w:rPr>
          <w:rFonts w:ascii="Cambria" w:cs="Cambria" w:eastAsia="Cambria" w:hAnsi="Cambria"/>
          <w:sz w:val="16"/>
          <w:szCs w:val="16"/>
        </w:rPr>
        <w:t xml:space="preserve">[5]	S. Poedjosoedarmo, "Javanese Speech Levels," Indonesia, no. 6, pp. 54-81, 1968.</w:t>
      </w:r>
    </w:p>
    <w:p>
      <w:pPr>
        <w:spacing w:after="40"/>
        <w:ind w:left="284" w:hanging="284"/>
        <w:jc w:val="both"/>
      </w:pPr>
      <w:r>
        <w:rPr>
          <w:rFonts w:ascii="Cambria" w:cs="Cambria" w:eastAsia="Cambria" w:hAnsi="Cambria"/>
          <w:sz w:val="16"/>
          <w:szCs w:val="16"/>
        </w:rPr>
        <w:t xml:space="preserve">[6]	G. I. Winata et al., "Are Multilingual Models Effective in Code-Switching?," in Proc. Workshop on Code-Switching, 2021, pp. 142-153.</w:t>
      </w:r>
    </w:p>
    <w:p>
      <w:pPr>
        <w:spacing w:after="40"/>
        <w:ind w:left="284" w:hanging="284"/>
        <w:jc w:val="both"/>
      </w:pPr>
      <w:r>
        <w:rPr>
          <w:rFonts w:ascii="Cambria" w:cs="Cambria" w:eastAsia="Cambria" w:hAnsi="Cambria"/>
          <w:sz w:val="16"/>
          <w:szCs w:val="16"/>
        </w:rPr>
        <w:t xml:space="preserve">[7]	S. Cahyawijaya et al., "NusaCrowd: Open Source Initiative for Indonesian NLP Resources," in Findings of ACL, Toronto, 2023, pp. 13745-13818.</w:t>
      </w:r>
    </w:p>
    <w:p>
      <w:pPr>
        <w:spacing w:after="40"/>
        <w:ind w:left="284" w:hanging="284"/>
        <w:jc w:val="both"/>
      </w:pPr>
      <w:r>
        <w:rPr>
          <w:rFonts w:ascii="Cambria" w:cs="Cambria" w:eastAsia="Cambria" w:hAnsi="Cambria"/>
          <w:sz w:val="16"/>
          <w:szCs w:val="16"/>
        </w:rPr>
        <w:t xml:space="preserve">[8]	B. Wilie et al., "IndoNLU: Benchmark and Resources for Evaluating Indonesian NLU," in Proc. AACL, 2020, pp. 843-857.</w:t>
      </w:r>
    </w:p>
    <w:p>
      <w:pPr>
        <w:spacing w:after="40"/>
        <w:ind w:left="284" w:hanging="284"/>
        <w:jc w:val="both"/>
      </w:pPr>
      <w:r>
        <w:rPr>
          <w:rFonts w:ascii="Cambria" w:cs="Cambria" w:eastAsia="Cambria" w:hAnsi="Cambria"/>
          <w:sz w:val="16"/>
          <w:szCs w:val="16"/>
        </w:rPr>
        <w:t xml:space="preserve">[9]	F. Koto, A. Rahimi, J. H. Lau, and T. Baldwin, "IndoLEM and IndoBERT: A Benchmark Dataset and Pre-trained Language Model for Indonesian NLP," in Proc. COLING, 2020, pp. 757-770.</w:t>
      </w:r>
    </w:p>
    <w:p>
      <w:pPr>
        <w:spacing w:after="40"/>
        <w:ind w:left="284" w:hanging="284"/>
        <w:jc w:val="both"/>
      </w:pPr>
      <w:r>
        <w:rPr>
          <w:rFonts w:ascii="Cambria" w:cs="Cambria" w:eastAsia="Cambria" w:hAnsi="Cambria"/>
          <w:sz w:val="16"/>
          <w:szCs w:val="16"/>
        </w:rPr>
        <w:t xml:space="preserve">[10]	J. Devlin, M.-W. Chang, K. Lee, and K. Toutanova, "BERT: Pre-training of Deep Bidirectional Transformers for Language Understanding," in Proc. NAACL-HLT, 2019, pp. 4171-4186.</w:t>
      </w:r>
    </w:p>
    <w:p>
      <w:pPr>
        <w:spacing w:after="40"/>
        <w:ind w:left="284" w:hanging="284"/>
        <w:jc w:val="both"/>
      </w:pPr>
      <w:r>
        <w:rPr>
          <w:rFonts w:ascii="Cambria" w:cs="Cambria" w:eastAsia="Cambria" w:hAnsi="Cambria"/>
          <w:sz w:val="16"/>
          <w:szCs w:val="16"/>
        </w:rPr>
        <w:t xml:space="preserve">[11]	A. Conneau et al., "Unsupervised Cross-lingual Representation Learning at Scale," in Proc. ACL, 2020, pp. 8440-8451.</w:t>
      </w:r>
    </w:p>
    <w:p>
      <w:pPr>
        <w:spacing w:after="40"/>
        <w:ind w:left="284" w:hanging="284"/>
        <w:jc w:val="both"/>
      </w:pPr>
      <w:r>
        <w:rPr>
          <w:rFonts w:ascii="Cambria" w:cs="Cambria" w:eastAsia="Cambria" w:hAnsi="Cambria"/>
          <w:sz w:val="16"/>
          <w:szCs w:val="16"/>
        </w:rPr>
        <w:t xml:space="preserve">[12]	L. Aroyo and C. Welty, "Truth Is a Lie: Crowd Truth and the Seven Myths of Human Annotation," AI Magazine, vol. 36, no. 1, pp. 15-24, 2015.</w:t>
      </w:r>
    </w:p>
    <w:p>
      <w:pPr>
        <w:spacing w:after="40"/>
        <w:ind w:left="284" w:hanging="284"/>
        <w:jc w:val="both"/>
      </w:pPr>
      <w:r>
        <w:rPr>
          <w:rFonts w:ascii="Cambria" w:cs="Cambria" w:eastAsia="Cambria" w:hAnsi="Cambria"/>
          <w:sz w:val="16"/>
          <w:szCs w:val="16"/>
        </w:rPr>
        <w:t xml:space="preserve">[13]	D. Kiela et al., "Dynabench: Rethinking Benchmarking in NLP," in Proc. NAACL, 2021, pp. 4110-4124.</w:t>
      </w:r>
    </w:p>
    <w:p>
      <w:pPr>
        <w:spacing w:after="40"/>
        <w:ind w:left="284" w:hanging="284"/>
        <w:jc w:val="both"/>
      </w:pPr>
      <w:r>
        <w:rPr>
          <w:rFonts w:ascii="Cambria" w:cs="Cambria" w:eastAsia="Cambria" w:hAnsi="Cambria"/>
          <w:sz w:val="16"/>
          <w:szCs w:val="16"/>
        </w:rPr>
        <w:t xml:space="preserve">[14]	S. Ruder, M. E. Peters, S. Swayamdipta, and T. Wolf, "Transfer Learning in Natural Language Processing," in Proc. NAACL Tutorials, 2019, pp. 15-18.</w:t>
      </w:r>
    </w:p>
    <w:p>
      <w:pPr>
        <w:spacing w:after="40"/>
        <w:ind w:left="284" w:hanging="284"/>
        <w:jc w:val="both"/>
      </w:pPr>
      <w:r>
        <w:rPr>
          <w:rFonts w:ascii="Cambria" w:cs="Cambria" w:eastAsia="Cambria" w:hAnsi="Cambria"/>
          <w:sz w:val="16"/>
          <w:szCs w:val="16"/>
        </w:rPr>
        <w:t xml:space="preserve">[15]	T.-Y. Lin, P. Goyal, R. Girshick, K. He, and P. Dollár, "Focal Loss for Dense Object Detection," IEEE Trans. PAMI, vol. 42, no. 2, pp. 318-327, 2020.</w:t>
      </w:r>
    </w:p>
    <w:p>
      <w:pPr>
        <w:spacing w:after="40"/>
        <w:ind w:left="284" w:hanging="284"/>
        <w:jc w:val="both"/>
      </w:pPr>
      <w:r>
        <w:rPr>
          <w:rFonts w:ascii="Cambria" w:cs="Cambria" w:eastAsia="Cambria" w:hAnsi="Cambria"/>
          <w:sz w:val="16"/>
          <w:szCs w:val="16"/>
        </w:rPr>
        <w:t xml:space="preserve">[16]	R. Müller, S. Kornblith, and G. E. Hinton, "When Does Label Smoothing Help?," in NeurIPS, vol. 32, 2019, pp. 4694-4703.</w:t>
      </w:r>
    </w:p>
    <w:p>
      <w:pPr>
        <w:spacing w:after="40"/>
        <w:ind w:left="284" w:hanging="284"/>
        <w:jc w:val="both"/>
      </w:pPr>
      <w:r>
        <w:rPr>
          <w:rFonts w:ascii="Cambria" w:cs="Cambria" w:eastAsia="Cambria" w:hAnsi="Cambria"/>
          <w:sz w:val="16"/>
          <w:szCs w:val="16"/>
        </w:rPr>
        <w:t xml:space="preserve">[17]	I. Loshchilov and F. Hutter, "Decoupled Weight Decay Regularization," in Proc. ICLR, 2019.</w:t>
      </w:r>
    </w:p>
    <w:p>
      <w:pPr>
        <w:spacing w:after="40"/>
        <w:ind w:left="284" w:hanging="284"/>
        <w:jc w:val="both"/>
      </w:pPr>
      <w:r>
        <w:rPr>
          <w:rFonts w:ascii="Cambria" w:cs="Cambria" w:eastAsia="Cambria" w:hAnsi="Cambria"/>
          <w:sz w:val="16"/>
          <w:szCs w:val="16"/>
        </w:rPr>
        <w:t xml:space="preserve">[18]	B. Lakshminarayanan, A. Pritzel, and C. Blundell, "Simple and Scalable Predictive Uncertainty Estimation Using Deep Ensembles," in NeurIPS, vol. 30, 2017, pp. 6402-6413.</w:t>
      </w:r>
    </w:p>
    <w:p>
      <w:pPr>
        <w:spacing w:after="40"/>
        <w:ind w:left="284" w:hanging="284"/>
        <w:jc w:val="both"/>
      </w:pPr>
      <w:r>
        <w:rPr>
          <w:rFonts w:ascii="Cambria" w:cs="Cambria" w:eastAsia="Cambria" w:hAnsi="Cambria"/>
          <w:sz w:val="16"/>
          <w:szCs w:val="16"/>
        </w:rPr>
        <w:t xml:space="preserve">[19]	T. G. Dietterich, "Ensemble Methods in Machine Learning," in MCS, 2000, pp. 1-15.</w:t>
      </w:r>
    </w:p>
    <w:p>
      <w:pPr>
        <w:spacing w:after="40"/>
        <w:ind w:left="284" w:hanging="284"/>
        <w:jc w:val="both"/>
      </w:pPr>
      <w:r>
        <w:rPr>
          <w:rFonts w:ascii="Cambria" w:cs="Cambria" w:eastAsia="Cambria" w:hAnsi="Cambria"/>
          <w:sz w:val="16"/>
          <w:szCs w:val="16"/>
        </w:rPr>
        <w:t xml:space="preserve">[20]	E. W. Pamungkas, V. Basile, and V. Patti, "A Joint Learning Approach with Knowledge Injection for Zero-Shot Cross-Lingual Hate Speech Detection," Information Processing &amp; Management, vol. 58, no. 4, p. 102544, 2021.</w:t>
      </w:r>
    </w:p>
    <w:p>
      <w:pPr>
        <w:spacing w:after="40"/>
        <w:ind w:left="284" w:hanging="284"/>
        <w:jc w:val="both"/>
      </w:pPr>
      <w:r>
        <w:rPr>
          <w:rFonts w:ascii="Cambria" w:cs="Cambria" w:eastAsia="Cambria" w:hAnsi="Cambria"/>
          <w:sz w:val="16"/>
          <w:szCs w:val="16"/>
        </w:rPr>
        <w:t xml:space="preserve">[21]	Y. Zhou et al., "Challenges in Automated Debiasing for Toxic Language Detection," in Proc. EACL, 2021, pp. 3143-3155.</w:t>
      </w:r>
    </w:p>
    <w:p>
      <w:pPr>
        <w:spacing w:after="40"/>
        <w:ind w:left="284" w:hanging="284"/>
        <w:jc w:val="both"/>
      </w:pPr>
      <w:r>
        <w:rPr>
          <w:rFonts w:ascii="Cambria" w:cs="Cambria" w:eastAsia="Cambria" w:hAnsi="Cambria"/>
          <w:sz w:val="16"/>
          <w:szCs w:val="16"/>
        </w:rPr>
        <w:t xml:space="preserve">[22]	A.-M. Founta et al., "Large Scale Crowdsourcing and Characterization of Twitter Abusive Behavior," in Proc. ICWSM, 2018, pp. 491-500.</w:t>
      </w:r>
    </w:p>
    <w:p>
      <w:pPr>
        <w:spacing w:after="40"/>
        <w:ind w:left="284" w:hanging="284"/>
        <w:jc w:val="both"/>
      </w:pPr>
      <w:r>
        <w:rPr>
          <w:rFonts w:ascii="Cambria" w:cs="Cambria" w:eastAsia="Cambria" w:hAnsi="Cambria"/>
          <w:sz w:val="16"/>
          <w:szCs w:val="16"/>
        </w:rPr>
        <w:t xml:space="preserve">[23]	M. Ganaie et al., "Ensemble Deep Learning: A Review," Engineering Applications of AI, vol. 115, p. 105151, 2022.</w:t>
      </w:r>
    </w:p>
    <w:p>
      <w:pPr>
        <w:spacing w:after="40"/>
        <w:ind w:left="284" w:hanging="284"/>
        <w:jc w:val="both"/>
      </w:pPr>
      <w:r>
        <w:rPr>
          <w:rFonts w:ascii="Cambria" w:cs="Cambria" w:eastAsia="Cambria" w:hAnsi="Cambria"/>
          <w:sz w:val="16"/>
          <w:szCs w:val="16"/>
        </w:rPr>
        <w:t xml:space="preserve">[24]	T. Chen and C. Guestrin, "XGBoost: A Scalable Tree Boosting System," in Proc. KDD, 2016, pp. 785-794.</w:t>
      </w:r>
    </w:p>
    <w:p>
      <w:pPr>
        <w:spacing w:after="40"/>
        <w:ind w:left="284" w:hanging="284"/>
        <w:jc w:val="both"/>
      </w:pPr>
      <w:r>
        <w:rPr>
          <w:rFonts w:ascii="Cambria" w:cs="Cambria" w:eastAsia="Cambria" w:hAnsi="Cambria"/>
          <w:sz w:val="16"/>
          <w:szCs w:val="16"/>
        </w:rPr>
        <w:t xml:space="preserve">[25]	P. Liu et al., "Pre-train, Prompt, and Predict: A Systematic Survey of Prompting Methods in NLP," ACM Computing Surveys, vol. 55, no. 9, pp. 1-35, 2023.</w:t>
      </w:r>
    </w:p>
    <w:sectPr>
      <w:type w:val="continuous"/>
      <w:pgSz w:w="11906" w:h="16838" w:orient="portrait"/>
      <w:pgMar w:top="1417" w:right="1417" w:bottom="1417" w:left="1417" w:header="708" w:footer="708" w:gutter="0"/>
      <w:pgNumType/>
      <w:cols w:space="34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2026-01-07T07:58:32.652Z</dcterms:created>
  <dcterms:modified xsi:type="dcterms:W3CDTF">2026-01-07T07:58:32.653Z</dcterms:modified>
</cp:coreProperties>
</file>

<file path=docProps/custom.xml><?xml version="1.0" encoding="utf-8"?>
<Properties xmlns="http://schemas.openxmlformats.org/officeDocument/2006/custom-properties" xmlns:vt="http://schemas.openxmlformats.org/officeDocument/2006/docPropsVTypes"/>
</file>