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OLarticletitle"/>
      </w:pPr>
      <w:r>
        <w:t>Uncoded basic vocabulary in six Sulawesi word lists: What the absence of a cognate-set assignment in the Austronesian Basic Vocabulary Database does and does not show</w:t>
      </w:r>
    </w:p>
    <w:p>
      <w:pPr>
        <w:pStyle w:val="OLauthorname"/>
      </w:pPr>
      <w:r>
        <w:t>[Authors anonymised for review]</w:t>
      </w:r>
    </w:p>
    <w:p>
      <w:pPr>
        <w:pStyle w:val="OLauthoraffiliation"/>
      </w:pPr>
      <w:r>
        <w:t>[Affiliations anonymised for review]</w:t>
      </w:r>
    </w:p>
    <w:p>
      <w:pPr>
        <w:pStyle w:val="OLabstract"/>
      </w:pPr>
      <w:r>
        <w:t>In the Austronesian Basic Vocabulary Database (ABVD), part of every Sulawesi word list carries no cognate-set assignment, often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 forms are about one character longer, more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p>
    <w:p>
      <w:pPr>
        <w:pStyle w:val="OLabstract"/>
      </w:pPr>
      <w:r>
        <w:t>Keywords: Sulawesi languages, Austronesian Basic Vocabulary Database, cognate coding, Makasar, Tolaki, substrate, classification</w:t>
      </w:r>
    </w:p>
    <w:p>
      <w:pPr>
        <w:pStyle w:val="OLheadingA-level"/>
      </w:pPr>
      <w:r>
        <w:t>Introduction.</w:t>
      </w:r>
    </w:p>
    <w:p>
      <w:pPr>
        <w:pStyle w:val="OLtext"/>
      </w:pPr>
      <w:r>
        <w:t>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change and coinage, preferred a non-Austronesian substratum as their source. For Sulawesi the reading has been attached above all to Makasar. Lexicostatistical counts have long shown Makasar, with Konjo and Selayar, as the most divergent part of the South Sulawesi group (Mills 1975:491; Sirk 1989:71); whether a substratum lies behind the divergence has been raised and left open (Bulbeck 1992); and Bulbeck, Pasqua, and Di Lello (2000:103), citing a retention figure of 38 percent from Proto-Malayo-Polynesian, describe the remaining 62 percent of the basic vocabulary as open to investigation as borrowing from pre-Austronesian, possibly Toalean, languages.</w:t>
      </w:r>
    </w:p>
    <w:p>
      <w:pPr>
        <w:pStyle w:val="OLtextindented"/>
      </w:pP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p>
    <w:p>
      <w:pPr>
        <w:pStyle w:val="OLtextindented"/>
      </w:pPr>
      <w:r>
        <w:t>Sulawesi is a suitable place to ask. Blust (2013:82) lists eleven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Bungku-Tolaki, Muna-Buton and Wotu-Wolio but not South Sulawesi, with some branches called tentative. Our six lists represent four of these groups: South Sulawesi (Bugis, Makasar, Sa'dan Toraja), Muna-Buton (Muna), Wotu-Wolio (Wolio) and Bungku-Tolaki (Tolaki). Three of the four fall inside the proposed Celebic supergroup, a point we return to when similarity across lists is discussed.</w:t>
      </w:r>
    </w:p>
    <w:p>
      <w:pPr>
        <w:pStyle w:val="OLtextindented"/>
      </w:pP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p>
    <w:p>
      <w:pPr>
        <w:pStyle w:val="OLtextindented"/>
      </w:pP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ABVD with the released scripts and files, and the limits of each are stated with its result. Section 2 describes the data, the label, the inputs and the tests; section 3 gives the results in eight short parts; section 4 discusses what they do and do not show; section 5 concludes.</w:t>
      </w:r>
    </w:p>
    <w:p>
      <w:pPr>
        <w:pStyle w:val="OLheadingA-level"/>
      </w:pPr>
      <w:r>
        <w:t>Data and methods.</w:t>
      </w:r>
    </w:p>
    <w:p>
      <w:pPr>
        <w:pStyle w:val="OLheadingB-level"/>
      </w:pPr>
      <w:r>
        <w:t>Data.</w:t>
      </w:r>
    </w:p>
    <w:p>
      <w:pPr>
        <w:pStyle w:val="OLtext"/>
      </w:pPr>
      <w:r>
        <w:t xml:space="preserve">The data are six word lists of the ABVD, in the lexibank/abvd CLDF release at repository state 917c5a5 (7 October 2025; license CC BY 4.0): Muna (ABVD list 27; 219 forms; compiled from van den Berg), Bugis (48; 242 forms; Soppeng dialect, recopied from Zainuddin Taha with additions from Fachruddin Ambo Enre and Mills 1975), Makasar (166; 217 forms; Abd. Rajab), Wolio (192; 254 forms; J. C. Anceaux), Sa'dan Toraja (226; 216 forms; ABVD's list "Tae' (S. 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p>
    <w:p>
      <w:pPr>
        <w:pStyle w:val="OLtextindented"/>
      </w:pPr>
      <w:r>
        <w:t>ABVD's meaning list has 210 items. The six lists cover between 200 and 210 of them, and a meaning can have more than one form in a list: 117 of the 1,357 rows are a second or third form for their meaning. Every count in this paper is therefore a count of forms, with one exception noted in section 2.6, where the Makasar comparison is made by meaning. The 210-item list is ABVD's own, and we do not call it a Swadesh list. For the computation of the inputs described in section 2.3, bracketed additions by the compiler, leading and trailing punctuation and stray spaces were removed from the written form; the released files give the form exactly as ABVD records it.</w:t>
      </w:r>
    </w:p>
    <w:p>
      <w:pPr>
        <w:pStyle w:val="OLheadingB-level"/>
      </w:pPr>
      <w:r>
        <w:t>The label.</w:t>
      </w:r>
    </w:p>
    <w:p>
      <w:pPr>
        <w:pStyle w:val="OLtext"/>
      </w:pPr>
      <w:r>
        <w:t xml:space="preserve">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p>
    <w:p>
      <w:pPr>
        <w:pStyle w:val="OLtextindented"/>
      </w:pPr>
      <w:r>
        <w:t xml:space="preserve">Two points about this label matter for everything that follows. First, a cognate-set number records that ABVD's editors grouped a form with other forms. It is not a finding of inheritance. ABVD flags loans only occasionally; eleven forms in these six lists carry its loan flag (Muna 2, Bugis 1, Makasar 1, Wolio 2, Tolaki 5, none in the Sa'dan Toraja list), and five of the eleven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Muna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list in this way (no form). The label is thus not the same kind of thing in every list, and "uncoded" is not an upper bound on anything: a form of non-Austronesian or borrowed origin can carry a set number, and an inherited form can lack one.</w:t>
      </w:r>
    </w:p>
    <w:p>
      <w:pPr>
        <w:pStyle w:val="OLheadingB-level"/>
      </w:pPr>
      <w:r>
        <w:t>Inputs of the classifier.</w:t>
      </w:r>
    </w:p>
    <w:p>
      <w:pPr>
        <w:pStyle w:val="OLtext"/>
      </w:pPr>
      <w:r>
        <w:t xml:space="preserve">Twenty-five inputs are computed for every form, seventeen from the written form and eight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test stricter versions of each in section 3.5.</w:t>
      </w:r>
    </w:p>
    <w:p>
      <w:pPr>
        <w:pStyle w:val="OLtextindented"/>
      </w:pP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about it (Section 3.5). An earlier version used such an input, an integer that numbered the six lists; it was the strongest input of that model and has been removed. Table 5 lists the inputs that matter with their observed values.</w:t>
      </w:r>
    </w:p>
    <w:p>
      <w:pPr>
        <w:pStyle w:val="OLheadingB-level"/>
      </w:pPr>
      <w:r>
        <w:t>The classifier.</w:t>
      </w:r>
    </w:p>
    <w:p>
      <w:pPr>
        <w:pStyle w:val="OLtext"/>
      </w:pPr>
      <w:r>
        <w:t>The main classifier is gradient-boosted decision trees (XGBoost; Chen and Guestrin 2016) with 300 trees of depth four and a learning rate of 0.05, trained without class weighting to separate uncoded from coded forms; the score it gives a form is its estimated probability of belonging to the uncoded class, so a higher score means a form that looks more like the uncoded forms. A random forest (Breiman 2001) and a logistic regression, both from scikit-learn (Pedregosa et al. 2011) and both with the two classes weighted equally, were run on the same inputs to see whether the ranking depends on the choice of method; the equal weighting is why their recall is higher and their accuracy lower in table 3. The size of each input's contribution to the predictions is summarized by SHAP (Shapley additive explanations) values (Lundberg and Lee 2017): each prediction is attributed to the inputs, and the mean of the absolute attributions over all forms is an input's average contribution, shown in figure 1. Software: Python 3.11, scikit-learn 1.8.0, xgboost 3.0.3, shap 0.50.0.</w:t>
      </w:r>
    </w:p>
    <w:p>
      <w:pPr>
        <w:pStyle w:val="OLheadingB-level"/>
      </w:pPr>
      <w:r>
        <w:t>How the classifier is assessed.</w:t>
      </w:r>
    </w:p>
    <w:p>
      <w:pPr>
        <w:pStyle w:val="OLtext"/>
      </w:pPr>
      <w:r>
        <w:t>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ten times with different divisions, giving fifty test sets. In the held-out-list assessment the model is trained on five lists and scores the sixth, once for each list. The second assessment is what "generalizes across Sulawesi languages" means concretely: a model that has never seen a Tolaki form is asked to rank the Tolaki forms.</w:t>
      </w:r>
    </w:p>
    <w:p>
      <w:pPr>
        <w:pStyle w:val="OLtextindented"/>
      </w:pP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accuracy, the share of forms placed in the right class at a score threshold of 0.5, together with the accuracy of the trivial rule that calls every form coded (0.677), and the precision, recall and F1 score of the uncoded class. Two further baselines matter: a model given only the identity of the source list reaches an AUC of 0.680, and a model given only the eight meaning inputs reaches 0.646.</w:t>
      </w:r>
    </w:p>
    <w:p>
      <w:pPr>
        <w:pStyle w:val="OLtextindented"/>
      </w:pPr>
      <w:r>
        <w:t>Variation is reported as the standard deviation of the AUC over the ten repetition means and over the fifty test sets; these are measures of the stability of the procedure, not confidence intervals. A bootstrap over forms of the pooled out-of-sample scores (which average the ten repetitions and so run slightly higher, 0.737 [0.709, 0.766] for the full model) gives an interval of about plus or minus 0.03; it leaves out the variation of training. For the held-out-list assessment we also give, for each list, the accuracy of the majority answer for that list, since a classifier can be worse than that answer.</w:t>
      </w:r>
    </w:p>
    <w:p>
      <w:pPr>
        <w:pStyle w:val="OLheadingB-level"/>
      </w:pPr>
      <w:r>
        <w:t>The three checks and the spelling tests.</w:t>
      </w:r>
    </w:p>
    <w:p>
      <w:pPr>
        <w:pStyle w:val="OLtext"/>
      </w:pPr>
      <w:r>
        <w:t xml:space="preserve">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The same is done for Bugis, Sa'dan Toraja, Wolio, Muna and Tolaki.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Makasar forms, against the PMP entry and against the Bugis and Sa'dan Toraja forms of the same meaning.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compared with its distribution when the meaning labels of the uncoded forms are shuffled within each list (10,000 permutations); the number of look-alike pairs at the 0.34 threshold is counted beside it. Numerals are excluded from the primary set because decimal compounds are transparent across the lists. The coded forms, paired in the same way, serve as a positive control. The decision rules for the three-class count, the look-alike screens, this test and the spelling tests below were written down before the runs, on the same day and by the same analyst; none was registered externally.</w:t>
      </w:r>
    </w:p>
    <w:p>
      <w:pPr>
        <w:pStyle w:val="OLtextindented"/>
      </w:pP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p>
    <w:p>
      <w:pPr>
        <w:pStyle w:val="OLcaption"/>
      </w:pPr>
      <w:r>
        <w:t>FIGURE 2. THE WORKFLOW OF THE STUDY: DATA, LABEL, INPUTS, CLASSIFIER, AND THE THREE CHECKS ON WHAT "UNCODED" MEANS</w:t>
      </w:r>
    </w:p>
    <w:p>
      <w:pPr>
        <w:pStyle w:val="OLtext"/>
      </w:pPr>
      <w:r>
        <w:rPr>
          <w:highlight w:val="yellow"/>
        </w:rPr>
        <w:t>[Figure 2 about here — separate file]</w:t>
      </w:r>
    </w:p>
    <w:p>
      <w:pPr>
        <w:pStyle w:val="OL3ptseparator"/>
      </w:pPr>
    </w:p>
    <w:p>
      <w:pPr>
        <w:pStyle w:val="OLheadingA-level"/>
      </w:pPr>
      <w:r>
        <w:t>Results.</w:t>
      </w:r>
    </w:p>
    <w:p>
      <w:pPr>
        <w:pStyle w:val="OLheadingB-level"/>
      </w:pPr>
      <w:r>
        <w:t>How many forms are uncoded.</w:t>
      </w:r>
    </w:p>
    <w:p>
      <w:pPr>
        <w:pStyle w:val="OLtext"/>
      </w:pPr>
      <w:r>
        <w:t>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p>
    <w:p>
      <w:pPr>
        <w:pStyle w:val="OLcaption"/>
      </w:pPr>
      <w:r>
        <w:t>TABLE 1. THE LABEL BY LIST: FORMS WITH AND WITHOUT A COGNATE-SET NUMBER IN THE ABVD SNAPSHOT</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List</w:t>
            </w:r>
          </w:p>
        </w:tc>
        <w:tc>
          <w:tcPr>
            <w:tcW w:type="dxa" w:w="1040"/>
          </w:tcPr>
          <w:p>
            <w:pPr>
              <w:pStyle w:val="OLtablecolumnheading"/>
            </w:pPr>
            <w:r/>
            <w:r>
              <w:rPr>
                <w:b/>
                <w:sz w:val="16"/>
              </w:rPr>
              <w:t>Forms</w:t>
            </w:r>
          </w:p>
        </w:tc>
        <w:tc>
          <w:tcPr>
            <w:tcW w:type="dxa" w:w="1040"/>
          </w:tcPr>
          <w:p>
            <w:pPr>
              <w:pStyle w:val="OLtablecolumnheading"/>
            </w:pPr>
            <w:r/>
            <w:r>
              <w:rPr>
                <w:b/>
                <w:sz w:val="16"/>
              </w:rPr>
              <w:t>Coded (n)</w:t>
            </w:r>
          </w:p>
        </w:tc>
        <w:tc>
          <w:tcPr>
            <w:tcW w:type="dxa" w:w="1040"/>
          </w:tcPr>
          <w:p>
            <w:pPr>
              <w:pStyle w:val="OLtablecolumnheading"/>
            </w:pPr>
            <w:r/>
            <w:r>
              <w:rPr>
                <w:b/>
                <w:sz w:val="16"/>
              </w:rPr>
              <w:t>Coded (%)</w:t>
            </w:r>
          </w:p>
        </w:tc>
        <w:tc>
          <w:tcPr>
            <w:tcW w:type="dxa" w:w="1040"/>
          </w:tcPr>
          <w:p>
            <w:pPr>
              <w:pStyle w:val="OLtablecolumnheading"/>
            </w:pPr>
            <w:r/>
            <w:r>
              <w:rPr>
                <w:b/>
                <w:sz w:val="16"/>
              </w:rPr>
              <w:t>Uncoded (n)</w:t>
            </w:r>
          </w:p>
        </w:tc>
        <w:tc>
          <w:tcPr>
            <w:tcW w:type="dxa" w:w="1040"/>
          </w:tcPr>
          <w:p>
            <w:pPr>
              <w:pStyle w:val="OLtablecolumnheading"/>
            </w:pPr>
            <w:r/>
            <w:r>
              <w:rPr>
                <w:b/>
                <w:sz w:val="16"/>
              </w:rPr>
              <w:t>Uncoded (%)</w:t>
            </w:r>
          </w:p>
        </w:tc>
      </w:tr>
      <w:tr>
        <w:tc>
          <w:tcPr>
            <w:tcW w:type="dxa" w:w="1040"/>
          </w:tcPr>
          <w:p>
            <w:pPr>
              <w:pStyle w:val="OLtablecontents"/>
            </w:pPr>
            <w:r/>
            <w:r>
              <w:rPr>
                <w:sz w:val="16"/>
              </w:rPr>
              <w:t>Muna</w:t>
            </w:r>
          </w:p>
        </w:tc>
        <w:tc>
          <w:tcPr>
            <w:tcW w:type="dxa" w:w="1040"/>
          </w:tcPr>
          <w:p>
            <w:pPr>
              <w:pStyle w:val="OLtablecontents"/>
            </w:pPr>
            <w:r/>
            <w:r>
              <w:rPr>
                <w:sz w:val="16"/>
              </w:rPr>
              <w:t>219</w:t>
            </w:r>
          </w:p>
        </w:tc>
        <w:tc>
          <w:tcPr>
            <w:tcW w:type="dxa" w:w="1040"/>
          </w:tcPr>
          <w:p>
            <w:pPr>
              <w:pStyle w:val="OLtablecontents"/>
            </w:pPr>
            <w:r/>
            <w:r>
              <w:rPr>
                <w:sz w:val="16"/>
              </w:rPr>
              <w:t>185</w:t>
            </w:r>
          </w:p>
        </w:tc>
        <w:tc>
          <w:tcPr>
            <w:tcW w:type="dxa" w:w="1040"/>
          </w:tcPr>
          <w:p>
            <w:pPr>
              <w:pStyle w:val="OLtablecontents"/>
            </w:pPr>
            <w:r/>
            <w:r>
              <w:rPr>
                <w:sz w:val="16"/>
              </w:rPr>
              <w:t>84.5</w:t>
            </w:r>
          </w:p>
        </w:tc>
        <w:tc>
          <w:tcPr>
            <w:tcW w:type="dxa" w:w="1040"/>
          </w:tcPr>
          <w:p>
            <w:pPr>
              <w:pStyle w:val="OLtablecontents"/>
            </w:pPr>
            <w:r/>
            <w:r>
              <w:rPr>
                <w:sz w:val="16"/>
              </w:rPr>
              <w:t>34</w:t>
            </w:r>
          </w:p>
        </w:tc>
        <w:tc>
          <w:tcPr>
            <w:tcW w:type="dxa" w:w="1040"/>
          </w:tcPr>
          <w:p>
            <w:pPr>
              <w:pStyle w:val="OLtablecontents"/>
            </w:pPr>
            <w:r/>
            <w:r>
              <w:rPr>
                <w:sz w:val="16"/>
              </w:rPr>
              <w:t>15.5</w:t>
            </w:r>
          </w:p>
        </w:tc>
      </w:tr>
      <w:tr>
        <w:tc>
          <w:tcPr>
            <w:tcW w:type="dxa" w:w="1040"/>
          </w:tcPr>
          <w:p>
            <w:pPr>
              <w:pStyle w:val="OLtablecontents"/>
            </w:pPr>
            <w:r/>
            <w:r>
              <w:rPr>
                <w:sz w:val="16"/>
              </w:rPr>
              <w:t>Bugis</w:t>
            </w:r>
          </w:p>
        </w:tc>
        <w:tc>
          <w:tcPr>
            <w:tcW w:type="dxa" w:w="1040"/>
          </w:tcPr>
          <w:p>
            <w:pPr>
              <w:pStyle w:val="OLtablecontents"/>
            </w:pPr>
            <w:r/>
            <w:r>
              <w:rPr>
                <w:sz w:val="16"/>
              </w:rPr>
              <w:t>242</w:t>
            </w:r>
          </w:p>
        </w:tc>
        <w:tc>
          <w:tcPr>
            <w:tcW w:type="dxa" w:w="1040"/>
          </w:tcPr>
          <w:p>
            <w:pPr>
              <w:pStyle w:val="OLtablecontents"/>
            </w:pPr>
            <w:r/>
            <w:r>
              <w:rPr>
                <w:sz w:val="16"/>
              </w:rPr>
              <w:t>180</w:t>
            </w:r>
          </w:p>
        </w:tc>
        <w:tc>
          <w:tcPr>
            <w:tcW w:type="dxa" w:w="1040"/>
          </w:tcPr>
          <w:p>
            <w:pPr>
              <w:pStyle w:val="OLtablecontents"/>
            </w:pPr>
            <w:r/>
            <w:r>
              <w:rPr>
                <w:sz w:val="16"/>
              </w:rPr>
              <w:t>74.4</w:t>
            </w:r>
          </w:p>
        </w:tc>
        <w:tc>
          <w:tcPr>
            <w:tcW w:type="dxa" w:w="1040"/>
          </w:tcPr>
          <w:p>
            <w:pPr>
              <w:pStyle w:val="OLtablecontents"/>
            </w:pPr>
            <w:r/>
            <w:r>
              <w:rPr>
                <w:sz w:val="16"/>
              </w:rPr>
              <w:t>62</w:t>
            </w:r>
          </w:p>
        </w:tc>
        <w:tc>
          <w:tcPr>
            <w:tcW w:type="dxa" w:w="1040"/>
          </w:tcPr>
          <w:p>
            <w:pPr>
              <w:pStyle w:val="OLtablecontents"/>
            </w:pPr>
            <w:r/>
            <w:r>
              <w:rPr>
                <w:sz w:val="16"/>
              </w:rPr>
              <w:t>25.6</w:t>
            </w:r>
          </w:p>
        </w:tc>
      </w:tr>
      <w:tr>
        <w:tc>
          <w:tcPr>
            <w:tcW w:type="dxa" w:w="1040"/>
          </w:tcPr>
          <w:p>
            <w:pPr>
              <w:pStyle w:val="OLtablecontents"/>
            </w:pPr>
            <w:r/>
            <w:r>
              <w:rPr>
                <w:sz w:val="16"/>
              </w:rPr>
              <w:t>Makasar</w:t>
            </w:r>
          </w:p>
        </w:tc>
        <w:tc>
          <w:tcPr>
            <w:tcW w:type="dxa" w:w="1040"/>
          </w:tcPr>
          <w:p>
            <w:pPr>
              <w:pStyle w:val="OLtablecontents"/>
            </w:pPr>
            <w:r/>
            <w:r>
              <w:rPr>
                <w:sz w:val="16"/>
              </w:rPr>
              <w:t>217</w:t>
            </w:r>
          </w:p>
        </w:tc>
        <w:tc>
          <w:tcPr>
            <w:tcW w:type="dxa" w:w="1040"/>
          </w:tcPr>
          <w:p>
            <w:pPr>
              <w:pStyle w:val="OLtablecontents"/>
            </w:pPr>
            <w:r/>
            <w:r>
              <w:rPr>
                <w:sz w:val="16"/>
              </w:rPr>
              <w:t>137</w:t>
            </w:r>
          </w:p>
        </w:tc>
        <w:tc>
          <w:tcPr>
            <w:tcW w:type="dxa" w:w="1040"/>
          </w:tcPr>
          <w:p>
            <w:pPr>
              <w:pStyle w:val="OLtablecontents"/>
            </w:pPr>
            <w:r/>
            <w:r>
              <w:rPr>
                <w:sz w:val="16"/>
              </w:rPr>
              <w:t>63.1</w:t>
            </w:r>
          </w:p>
        </w:tc>
        <w:tc>
          <w:tcPr>
            <w:tcW w:type="dxa" w:w="1040"/>
          </w:tcPr>
          <w:p>
            <w:pPr>
              <w:pStyle w:val="OLtablecontents"/>
            </w:pPr>
            <w:r/>
            <w:r>
              <w:rPr>
                <w:sz w:val="16"/>
              </w:rPr>
              <w:t>80</w:t>
            </w:r>
          </w:p>
        </w:tc>
        <w:tc>
          <w:tcPr>
            <w:tcW w:type="dxa" w:w="1040"/>
          </w:tcPr>
          <w:p>
            <w:pPr>
              <w:pStyle w:val="OLtablecontents"/>
            </w:pPr>
            <w:r/>
            <w:r>
              <w:rPr>
                <w:sz w:val="16"/>
              </w:rPr>
              <w:t>36.9</w:t>
            </w:r>
          </w:p>
        </w:tc>
      </w:tr>
      <w:tr>
        <w:tc>
          <w:tcPr>
            <w:tcW w:type="dxa" w:w="1040"/>
          </w:tcPr>
          <w:p>
            <w:pPr>
              <w:pStyle w:val="OLtablecontents"/>
            </w:pPr>
            <w:r/>
            <w:r>
              <w:rPr>
                <w:sz w:val="16"/>
              </w:rPr>
              <w:t>Wolio</w:t>
            </w:r>
          </w:p>
        </w:tc>
        <w:tc>
          <w:tcPr>
            <w:tcW w:type="dxa" w:w="1040"/>
          </w:tcPr>
          <w:p>
            <w:pPr>
              <w:pStyle w:val="OLtablecontents"/>
            </w:pPr>
            <w:r/>
            <w:r>
              <w:rPr>
                <w:sz w:val="16"/>
              </w:rPr>
              <w:t>254</w:t>
            </w:r>
          </w:p>
        </w:tc>
        <w:tc>
          <w:tcPr>
            <w:tcW w:type="dxa" w:w="1040"/>
          </w:tcPr>
          <w:p>
            <w:pPr>
              <w:pStyle w:val="OLtablecontents"/>
            </w:pPr>
            <w:r/>
            <w:r>
              <w:rPr>
                <w:sz w:val="16"/>
              </w:rPr>
              <w:t>171</w:t>
            </w:r>
          </w:p>
        </w:tc>
        <w:tc>
          <w:tcPr>
            <w:tcW w:type="dxa" w:w="1040"/>
          </w:tcPr>
          <w:p>
            <w:pPr>
              <w:pStyle w:val="OLtablecontents"/>
            </w:pPr>
            <w:r/>
            <w:r>
              <w:rPr>
                <w:sz w:val="16"/>
              </w:rPr>
              <w:t>67.3</w:t>
            </w:r>
          </w:p>
        </w:tc>
        <w:tc>
          <w:tcPr>
            <w:tcW w:type="dxa" w:w="1040"/>
          </w:tcPr>
          <w:p>
            <w:pPr>
              <w:pStyle w:val="OLtablecontents"/>
            </w:pPr>
            <w:r/>
            <w:r>
              <w:rPr>
                <w:sz w:val="16"/>
              </w:rPr>
              <w:t>83</w:t>
            </w:r>
          </w:p>
        </w:tc>
        <w:tc>
          <w:tcPr>
            <w:tcW w:type="dxa" w:w="1040"/>
          </w:tcPr>
          <w:p>
            <w:pPr>
              <w:pStyle w:val="OLtablecontents"/>
            </w:pPr>
            <w:r/>
            <w:r>
              <w:rPr>
                <w:sz w:val="16"/>
              </w:rPr>
              <w:t>32.7</w:t>
            </w:r>
          </w:p>
        </w:tc>
      </w:tr>
      <w:tr>
        <w:tc>
          <w:tcPr>
            <w:tcW w:type="dxa" w:w="1040"/>
          </w:tcPr>
          <w:p>
            <w:pPr>
              <w:pStyle w:val="OLtablecontents"/>
            </w:pPr>
            <w:r/>
            <w:r>
              <w:rPr>
                <w:sz w:val="16"/>
              </w:rPr>
              <w:t>Sa'dan Toraja</w:t>
            </w:r>
          </w:p>
        </w:tc>
        <w:tc>
          <w:tcPr>
            <w:tcW w:type="dxa" w:w="1040"/>
          </w:tcPr>
          <w:p>
            <w:pPr>
              <w:pStyle w:val="OLtablecontents"/>
            </w:pPr>
            <w:r/>
            <w:r>
              <w:rPr>
                <w:sz w:val="16"/>
              </w:rPr>
              <w:t>216</w:t>
            </w:r>
          </w:p>
        </w:tc>
        <w:tc>
          <w:tcPr>
            <w:tcW w:type="dxa" w:w="1040"/>
          </w:tcPr>
          <w:p>
            <w:pPr>
              <w:pStyle w:val="OLtablecontents"/>
            </w:pPr>
            <w:r/>
            <w:r>
              <w:rPr>
                <w:sz w:val="16"/>
              </w:rPr>
              <w:t>171</w:t>
            </w:r>
          </w:p>
        </w:tc>
        <w:tc>
          <w:tcPr>
            <w:tcW w:type="dxa" w:w="1040"/>
          </w:tcPr>
          <w:p>
            <w:pPr>
              <w:pStyle w:val="OLtablecontents"/>
            </w:pPr>
            <w:r/>
            <w:r>
              <w:rPr>
                <w:sz w:val="16"/>
              </w:rPr>
              <w:t>79.2</w:t>
            </w:r>
          </w:p>
        </w:tc>
        <w:tc>
          <w:tcPr>
            <w:tcW w:type="dxa" w:w="1040"/>
          </w:tcPr>
          <w:p>
            <w:pPr>
              <w:pStyle w:val="OLtablecontents"/>
            </w:pPr>
            <w:r/>
            <w:r>
              <w:rPr>
                <w:sz w:val="16"/>
              </w:rPr>
              <w:t>45</w:t>
            </w:r>
          </w:p>
        </w:tc>
        <w:tc>
          <w:tcPr>
            <w:tcW w:type="dxa" w:w="1040"/>
          </w:tcPr>
          <w:p>
            <w:pPr>
              <w:pStyle w:val="OLtablecontents"/>
            </w:pPr>
            <w:r/>
            <w:r>
              <w:rPr>
                <w:sz w:val="16"/>
              </w:rPr>
              <w:t>20.8</w:t>
            </w:r>
          </w:p>
        </w:tc>
      </w:tr>
      <w:tr>
        <w:tc>
          <w:tcPr>
            <w:tcW w:type="dxa" w:w="1040"/>
          </w:tcPr>
          <w:p>
            <w:pPr>
              <w:pStyle w:val="OLtablecontents"/>
            </w:pPr>
            <w:r/>
            <w:r>
              <w:rPr>
                <w:sz w:val="16"/>
              </w:rPr>
              <w:t>Tolaki</w:t>
            </w:r>
          </w:p>
        </w:tc>
        <w:tc>
          <w:tcPr>
            <w:tcW w:type="dxa" w:w="1040"/>
          </w:tcPr>
          <w:p>
            <w:pPr>
              <w:pStyle w:val="OLtablecontents"/>
            </w:pPr>
            <w:r/>
            <w:r>
              <w:rPr>
                <w:sz w:val="16"/>
              </w:rPr>
              <w:t>209</w:t>
            </w:r>
          </w:p>
        </w:tc>
        <w:tc>
          <w:tcPr>
            <w:tcW w:type="dxa" w:w="1040"/>
          </w:tcPr>
          <w:p>
            <w:pPr>
              <w:pStyle w:val="OLtablecontents"/>
            </w:pPr>
            <w:r/>
            <w:r>
              <w:rPr>
                <w:sz w:val="16"/>
              </w:rPr>
              <w:t>75</w:t>
            </w:r>
          </w:p>
        </w:tc>
        <w:tc>
          <w:tcPr>
            <w:tcW w:type="dxa" w:w="1040"/>
          </w:tcPr>
          <w:p>
            <w:pPr>
              <w:pStyle w:val="OLtablecontents"/>
            </w:pPr>
            <w:r/>
            <w:r>
              <w:rPr>
                <w:sz w:val="16"/>
              </w:rPr>
              <w:t>35.9</w:t>
            </w:r>
          </w:p>
        </w:tc>
        <w:tc>
          <w:tcPr>
            <w:tcW w:type="dxa" w:w="1040"/>
          </w:tcPr>
          <w:p>
            <w:pPr>
              <w:pStyle w:val="OLtablecontents"/>
            </w:pPr>
            <w:r/>
            <w:r>
              <w:rPr>
                <w:sz w:val="16"/>
              </w:rPr>
              <w:t>134</w:t>
            </w:r>
          </w:p>
        </w:tc>
        <w:tc>
          <w:tcPr>
            <w:tcW w:type="dxa" w:w="1040"/>
          </w:tcPr>
          <w:p>
            <w:pPr>
              <w:pStyle w:val="OLtablecontents"/>
            </w:pPr>
            <w:r/>
            <w:r>
              <w:rPr>
                <w:sz w:val="16"/>
              </w:rPr>
              <w:t>64.1</w:t>
            </w:r>
          </w:p>
        </w:tc>
      </w:tr>
      <w:tr>
        <w:tc>
          <w:tcPr>
            <w:tcW w:type="dxa" w:w="1040"/>
          </w:tcPr>
          <w:p>
            <w:pPr>
              <w:pStyle w:val="OLtablecontents"/>
            </w:pPr>
            <w:r/>
            <w:r>
              <w:rPr>
                <w:sz w:val="16"/>
              </w:rPr>
              <w:t>All six lists</w:t>
            </w:r>
          </w:p>
        </w:tc>
        <w:tc>
          <w:tcPr>
            <w:tcW w:type="dxa" w:w="1040"/>
          </w:tcPr>
          <w:p>
            <w:pPr>
              <w:pStyle w:val="OLtablecontents"/>
            </w:pPr>
            <w:r/>
            <w:r>
              <w:rPr>
                <w:sz w:val="16"/>
              </w:rPr>
              <w:t>1,357</w:t>
            </w:r>
          </w:p>
        </w:tc>
        <w:tc>
          <w:tcPr>
            <w:tcW w:type="dxa" w:w="1040"/>
          </w:tcPr>
          <w:p>
            <w:pPr>
              <w:pStyle w:val="OLtablecontents"/>
            </w:pPr>
            <w:r/>
            <w:r>
              <w:rPr>
                <w:sz w:val="16"/>
              </w:rPr>
              <w:t>919</w:t>
            </w:r>
          </w:p>
        </w:tc>
        <w:tc>
          <w:tcPr>
            <w:tcW w:type="dxa" w:w="1040"/>
          </w:tcPr>
          <w:p>
            <w:pPr>
              <w:pStyle w:val="OLtablecontents"/>
            </w:pPr>
            <w:r/>
            <w:r>
              <w:rPr>
                <w:sz w:val="16"/>
              </w:rPr>
              <w:t>67.7</w:t>
            </w:r>
          </w:p>
        </w:tc>
        <w:tc>
          <w:tcPr>
            <w:tcW w:type="dxa" w:w="1040"/>
          </w:tcPr>
          <w:p>
            <w:pPr>
              <w:pStyle w:val="OLtablecontents"/>
            </w:pPr>
            <w:r/>
            <w:r>
              <w:rPr>
                <w:sz w:val="16"/>
              </w:rPr>
              <w:t>438</w:t>
            </w:r>
          </w:p>
        </w:tc>
        <w:tc>
          <w:tcPr>
            <w:tcW w:type="dxa" w:w="1040"/>
          </w:tcPr>
          <w:p>
            <w:pPr>
              <w:pStyle w:val="OLtablecontents"/>
            </w:pPr>
            <w:r/>
            <w:r>
              <w:rPr>
                <w:sz w:val="16"/>
              </w:rPr>
              <w:t>32.3</w:t>
            </w:r>
          </w:p>
        </w:tc>
      </w:tr>
    </w:tbl>
    <w:p>
      <w:pPr>
        <w:pStyle w:val="OLtext"/>
      </w:pPr>
      <w:r>
        <w:rPr>
          <w:sz w:val="16"/>
        </w:rPr>
        <w:t>Note. Of the 185 coded Muna forms, 44 belong only to sets whose other members are in ABVD's second Muna list (Wuna, list 147); counted as uncoded they would put Muna at 35.6 percent. The five Tolaki dialect lists are not cross-coded with the Tolaki list in this way.</w:t>
      </w:r>
    </w:p>
    <w:p>
      <w:pPr>
        <w:pStyle w:val="OL3ptseparator"/>
      </w:pPr>
    </w:p>
    <w:p>
      <w:pPr>
        <w:pStyle w:val="OLheadingB-level"/>
      </w:pPr>
      <w:r>
        <w:t>Makasar.</w:t>
      </w:r>
    </w:p>
    <w:p>
      <w:pPr>
        <w:pStyle w:val="OLtext"/>
      </w:pPr>
      <w:r>
        <w:t>Table 2 gives, for each list, the share of meanings whose form is in the same cognate set as the PMP entry, coded in another set, or uncoded.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meaning cannot be in the set whatever its origin; if every uncoded Makasar meaning turned out to belong there, the share would be 74.1 percent. With ABVD's doubtful assignments counted, the first class is 42.8 percent.</w:t>
      </w:r>
    </w:p>
    <w:p>
      <w:pPr>
        <w:pStyle w:val="OLcaption"/>
      </w:pPr>
      <w:r>
        <w:t>TABLE 2. MEANINGS WITH A PROTO-MALAYO-POLYNESIAN ENTRY, BY THE CODING OF THE LIST'S FORM</w:t>
      </w:r>
    </w:p>
    <w:tbl>
      <w:tblPr>
        <w:tblStyle w:val="TableGrid"/>
        <w:tblW w:type="auto" w:w="0"/>
        <w:tblLook w:firstColumn="1" w:firstRow="1" w:lastColumn="0" w:lastRow="0" w:noHBand="0" w:noVBand="1" w:val="04A0"/>
      </w:tblPr>
      <w:tblGrid>
        <w:gridCol w:w="1248"/>
        <w:gridCol w:w="1248"/>
        <w:gridCol w:w="1248"/>
        <w:gridCol w:w="1248"/>
        <w:gridCol w:w="1248"/>
      </w:tblGrid>
      <w:tr>
        <w:tc>
          <w:tcPr>
            <w:tcW w:type="dxa" w:w="1248"/>
          </w:tcPr>
          <w:p>
            <w:pPr>
              <w:pStyle w:val="OLtablecolumnheading"/>
            </w:pPr>
            <w:r/>
            <w:r>
              <w:rPr>
                <w:b/>
                <w:sz w:val="16"/>
              </w:rPr>
              <w:t>List</w:t>
            </w:r>
          </w:p>
        </w:tc>
        <w:tc>
          <w:tcPr>
            <w:tcW w:type="dxa" w:w="1248"/>
          </w:tcPr>
          <w:p>
            <w:pPr>
              <w:pStyle w:val="OLtablecolumnheading"/>
            </w:pPr>
            <w:r/>
            <w:r>
              <w:rPr>
                <w:b/>
                <w:sz w:val="16"/>
              </w:rPr>
              <w:t>Meanings with a PMP entry</w:t>
            </w:r>
          </w:p>
        </w:tc>
        <w:tc>
          <w:tcPr>
            <w:tcW w:type="dxa" w:w="1248"/>
          </w:tcPr>
          <w:p>
            <w:pPr>
              <w:pStyle w:val="OLtablecolumnheading"/>
            </w:pPr>
            <w:r/>
            <w:r>
              <w:rPr>
                <w:b/>
                <w:sz w:val="16"/>
              </w:rPr>
              <w:t>In the PMP entry's set, % [95% CI] (n)</w:t>
            </w:r>
          </w:p>
        </w:tc>
        <w:tc>
          <w:tcPr>
            <w:tcW w:type="dxa" w:w="1248"/>
          </w:tcPr>
          <w:p>
            <w:pPr>
              <w:pStyle w:val="OLtablecolumnheading"/>
            </w:pPr>
            <w:r/>
            <w:r>
              <w:rPr>
                <w:b/>
                <w:sz w:val="16"/>
              </w:rPr>
              <w:t>Coded in another set, % [95% CI] (n)</w:t>
            </w:r>
          </w:p>
        </w:tc>
        <w:tc>
          <w:tcPr>
            <w:tcW w:type="dxa" w:w="1248"/>
          </w:tcPr>
          <w:p>
            <w:pPr>
              <w:pStyle w:val="OLtablecolumnheading"/>
            </w:pPr>
            <w:r/>
            <w:r>
              <w:rPr>
                <w:b/>
                <w:sz w:val="16"/>
              </w:rPr>
              <w:t>No cognate set, % [95% CI] (n)</w:t>
            </w:r>
          </w:p>
        </w:tc>
      </w:tr>
      <w:tr>
        <w:tc>
          <w:tcPr>
            <w:tcW w:type="dxa" w:w="1248"/>
          </w:tcPr>
          <w:p>
            <w:pPr>
              <w:pStyle w:val="OLtablecontents"/>
            </w:pPr>
            <w:r/>
            <w:r>
              <w:rPr>
                <w:sz w:val="16"/>
              </w:rPr>
              <w:t>Makasar</w:t>
            </w:r>
          </w:p>
        </w:tc>
        <w:tc>
          <w:tcPr>
            <w:tcW w:type="dxa" w:w="1248"/>
          </w:tcPr>
          <w:p>
            <w:pPr>
              <w:pStyle w:val="OLtablecontents"/>
            </w:pPr>
            <w:r/>
            <w:r>
              <w:rPr>
                <w:sz w:val="16"/>
              </w:rPr>
              <w:t>201</w:t>
            </w:r>
          </w:p>
        </w:tc>
        <w:tc>
          <w:tcPr>
            <w:tcW w:type="dxa" w:w="1248"/>
          </w:tcPr>
          <w:p>
            <w:pPr>
              <w:pStyle w:val="OLtablecontents"/>
            </w:pPr>
            <w:r/>
            <w:r>
              <w:rPr>
                <w:sz w:val="16"/>
              </w:rPr>
              <w:t>39.3 [32.8, 46.2] (79)</w:t>
            </w:r>
          </w:p>
        </w:tc>
        <w:tc>
          <w:tcPr>
            <w:tcW w:type="dxa" w:w="1248"/>
          </w:tcPr>
          <w:p>
            <w:pPr>
              <w:pStyle w:val="OLtablecontents"/>
            </w:pPr>
            <w:r/>
            <w:r>
              <w:rPr>
                <w:sz w:val="16"/>
              </w:rPr>
              <w:t>25.9 [20.3, 32.3] (52)</w:t>
            </w:r>
          </w:p>
        </w:tc>
        <w:tc>
          <w:tcPr>
            <w:tcW w:type="dxa" w:w="1248"/>
          </w:tcPr>
          <w:p>
            <w:pPr>
              <w:pStyle w:val="OLtablecontents"/>
            </w:pPr>
            <w:r/>
            <w:r>
              <w:rPr>
                <w:sz w:val="16"/>
              </w:rPr>
              <w:t>34.8 [28.6, 41.6] (70)</w:t>
            </w:r>
          </w:p>
        </w:tc>
      </w:tr>
      <w:tr>
        <w:tc>
          <w:tcPr>
            <w:tcW w:type="dxa" w:w="1248"/>
          </w:tcPr>
          <w:p>
            <w:pPr>
              <w:pStyle w:val="OLtablecontents"/>
            </w:pPr>
            <w:r/>
            <w:r>
              <w:rPr>
                <w:sz w:val="16"/>
              </w:rPr>
              <w:t>Bugis</w:t>
            </w:r>
          </w:p>
        </w:tc>
        <w:tc>
          <w:tcPr>
            <w:tcW w:type="dxa" w:w="1248"/>
          </w:tcPr>
          <w:p>
            <w:pPr>
              <w:pStyle w:val="OLtablecontents"/>
            </w:pPr>
            <w:r/>
            <w:r>
              <w:rPr>
                <w:sz w:val="16"/>
              </w:rPr>
              <w:t>201</w:t>
            </w:r>
          </w:p>
        </w:tc>
        <w:tc>
          <w:tcPr>
            <w:tcW w:type="dxa" w:w="1248"/>
          </w:tcPr>
          <w:p>
            <w:pPr>
              <w:pStyle w:val="OLtablecontents"/>
            </w:pPr>
            <w:r/>
            <w:r>
              <w:rPr>
                <w:sz w:val="16"/>
              </w:rPr>
              <w:t>48.3 [41.4, 55.1] (97)</w:t>
            </w:r>
          </w:p>
        </w:tc>
        <w:tc>
          <w:tcPr>
            <w:tcW w:type="dxa" w:w="1248"/>
          </w:tcPr>
          <w:p>
            <w:pPr>
              <w:pStyle w:val="OLtablecontents"/>
            </w:pPr>
            <w:r/>
            <w:r>
              <w:rPr>
                <w:sz w:val="16"/>
              </w:rPr>
              <w:t>28.4 [22.6, 34.9] (57)</w:t>
            </w:r>
          </w:p>
        </w:tc>
        <w:tc>
          <w:tcPr>
            <w:tcW w:type="dxa" w:w="1248"/>
          </w:tcPr>
          <w:p>
            <w:pPr>
              <w:pStyle w:val="OLtablecontents"/>
            </w:pPr>
            <w:r/>
            <w:r>
              <w:rPr>
                <w:sz w:val="16"/>
              </w:rPr>
              <w:t>23.4 [18.1, 29.7] (47)</w:t>
            </w:r>
          </w:p>
        </w:tc>
      </w:tr>
      <w:tr>
        <w:tc>
          <w:tcPr>
            <w:tcW w:type="dxa" w:w="1248"/>
          </w:tcPr>
          <w:p>
            <w:pPr>
              <w:pStyle w:val="OLtablecontents"/>
            </w:pPr>
            <w:r/>
            <w:r>
              <w:rPr>
                <w:sz w:val="16"/>
              </w:rPr>
              <w:t>Sa'dan Toraja</w:t>
            </w:r>
          </w:p>
        </w:tc>
        <w:tc>
          <w:tcPr>
            <w:tcW w:type="dxa" w:w="1248"/>
          </w:tcPr>
          <w:p>
            <w:pPr>
              <w:pStyle w:val="OLtablecontents"/>
            </w:pPr>
            <w:r/>
            <w:r>
              <w:rPr>
                <w:sz w:val="16"/>
              </w:rPr>
              <w:t>200</w:t>
            </w:r>
          </w:p>
        </w:tc>
        <w:tc>
          <w:tcPr>
            <w:tcW w:type="dxa" w:w="1248"/>
          </w:tcPr>
          <w:p>
            <w:pPr>
              <w:pStyle w:val="OLtablecontents"/>
            </w:pPr>
            <w:r/>
            <w:r>
              <w:rPr>
                <w:sz w:val="16"/>
              </w:rPr>
              <w:t>48.0 [41.2, 54.9] (96)</w:t>
            </w:r>
          </w:p>
        </w:tc>
        <w:tc>
          <w:tcPr>
            <w:tcW w:type="dxa" w:w="1248"/>
          </w:tcPr>
          <w:p>
            <w:pPr>
              <w:pStyle w:val="OLtablecontents"/>
            </w:pPr>
            <w:r/>
            <w:r>
              <w:rPr>
                <w:sz w:val="16"/>
              </w:rPr>
              <w:t>33.0 [26.9, 39.8] (66)</w:t>
            </w:r>
          </w:p>
        </w:tc>
        <w:tc>
          <w:tcPr>
            <w:tcW w:type="dxa" w:w="1248"/>
          </w:tcPr>
          <w:p>
            <w:pPr>
              <w:pStyle w:val="OLtablecontents"/>
            </w:pPr>
            <w:r/>
            <w:r>
              <w:rPr>
                <w:sz w:val="16"/>
              </w:rPr>
              <w:t>19.0 [14.2, 25.0] (38)</w:t>
            </w:r>
          </w:p>
        </w:tc>
      </w:tr>
      <w:tr>
        <w:tc>
          <w:tcPr>
            <w:tcW w:type="dxa" w:w="1248"/>
          </w:tcPr>
          <w:p>
            <w:pPr>
              <w:pStyle w:val="OLtablecontents"/>
            </w:pPr>
            <w:r/>
            <w:r>
              <w:rPr>
                <w:sz w:val="16"/>
              </w:rPr>
              <w:t>Wolio</w:t>
            </w:r>
          </w:p>
        </w:tc>
        <w:tc>
          <w:tcPr>
            <w:tcW w:type="dxa" w:w="1248"/>
          </w:tcPr>
          <w:p>
            <w:pPr>
              <w:pStyle w:val="OLtablecontents"/>
            </w:pPr>
            <w:r/>
            <w:r>
              <w:rPr>
                <w:sz w:val="16"/>
              </w:rPr>
              <w:t>197</w:t>
            </w:r>
          </w:p>
        </w:tc>
        <w:tc>
          <w:tcPr>
            <w:tcW w:type="dxa" w:w="1248"/>
          </w:tcPr>
          <w:p>
            <w:pPr>
              <w:pStyle w:val="OLtablecontents"/>
            </w:pPr>
            <w:r/>
            <w:r>
              <w:rPr>
                <w:sz w:val="16"/>
              </w:rPr>
              <w:t>42.6 [35.9, 49.6] (84)</w:t>
            </w:r>
          </w:p>
        </w:tc>
        <w:tc>
          <w:tcPr>
            <w:tcW w:type="dxa" w:w="1248"/>
          </w:tcPr>
          <w:p>
            <w:pPr>
              <w:pStyle w:val="OLtablecontents"/>
            </w:pPr>
            <w:r/>
            <w:r>
              <w:rPr>
                <w:sz w:val="16"/>
              </w:rPr>
              <w:t>33.0 [26.8, 39.8] (65)</w:t>
            </w:r>
          </w:p>
        </w:tc>
        <w:tc>
          <w:tcPr>
            <w:tcW w:type="dxa" w:w="1248"/>
          </w:tcPr>
          <w:p>
            <w:pPr>
              <w:pStyle w:val="OLtablecontents"/>
            </w:pPr>
            <w:r/>
            <w:r>
              <w:rPr>
                <w:sz w:val="16"/>
              </w:rPr>
              <w:t>24.4 [18.9, 30.8] (48)</w:t>
            </w:r>
          </w:p>
        </w:tc>
      </w:tr>
      <w:tr>
        <w:tc>
          <w:tcPr>
            <w:tcW w:type="dxa" w:w="1248"/>
          </w:tcPr>
          <w:p>
            <w:pPr>
              <w:pStyle w:val="OLtablecontents"/>
            </w:pPr>
            <w:r/>
            <w:r>
              <w:rPr>
                <w:sz w:val="16"/>
              </w:rPr>
              <w:t>Muna</w:t>
            </w:r>
          </w:p>
        </w:tc>
        <w:tc>
          <w:tcPr>
            <w:tcW w:type="dxa" w:w="1248"/>
          </w:tcPr>
          <w:p>
            <w:pPr>
              <w:pStyle w:val="OLtablecontents"/>
            </w:pPr>
            <w:r/>
            <w:r>
              <w:rPr>
                <w:sz w:val="16"/>
              </w:rPr>
              <w:t>201</w:t>
            </w:r>
          </w:p>
        </w:tc>
        <w:tc>
          <w:tcPr>
            <w:tcW w:type="dxa" w:w="1248"/>
          </w:tcPr>
          <w:p>
            <w:pPr>
              <w:pStyle w:val="OLtablecontents"/>
            </w:pPr>
            <w:r/>
            <w:r>
              <w:rPr>
                <w:sz w:val="16"/>
              </w:rPr>
              <w:t>35.8 [29.5, 42.7] (72)</w:t>
            </w:r>
          </w:p>
        </w:tc>
        <w:tc>
          <w:tcPr>
            <w:tcW w:type="dxa" w:w="1248"/>
          </w:tcPr>
          <w:p>
            <w:pPr>
              <w:pStyle w:val="OLtablecontents"/>
            </w:pPr>
            <w:r/>
            <w:r>
              <w:rPr>
                <w:sz w:val="16"/>
              </w:rPr>
              <w:t>49.8 [42.9, 56.6] (100)</w:t>
            </w:r>
          </w:p>
        </w:tc>
        <w:tc>
          <w:tcPr>
            <w:tcW w:type="dxa" w:w="1248"/>
          </w:tcPr>
          <w:p>
            <w:pPr>
              <w:pStyle w:val="OLtablecontents"/>
            </w:pPr>
            <w:r/>
            <w:r>
              <w:rPr>
                <w:sz w:val="16"/>
              </w:rPr>
              <w:t>14.4 [10.2, 20.0] (29)</w:t>
            </w:r>
          </w:p>
        </w:tc>
      </w:tr>
      <w:tr>
        <w:tc>
          <w:tcPr>
            <w:tcW w:type="dxa" w:w="1248"/>
          </w:tcPr>
          <w:p>
            <w:pPr>
              <w:pStyle w:val="OLtablecontents"/>
            </w:pPr>
            <w:r/>
            <w:r>
              <w:rPr>
                <w:sz w:val="16"/>
              </w:rPr>
              <w:t>Tolaki</w:t>
            </w:r>
          </w:p>
        </w:tc>
        <w:tc>
          <w:tcPr>
            <w:tcW w:type="dxa" w:w="1248"/>
          </w:tcPr>
          <w:p>
            <w:pPr>
              <w:pStyle w:val="OLtablecontents"/>
            </w:pPr>
            <w:r/>
            <w:r>
              <w:rPr>
                <w:sz w:val="16"/>
              </w:rPr>
              <w:t>191</w:t>
            </w:r>
          </w:p>
        </w:tc>
        <w:tc>
          <w:tcPr>
            <w:tcW w:type="dxa" w:w="1248"/>
          </w:tcPr>
          <w:p>
            <w:pPr>
              <w:pStyle w:val="OLtablecontents"/>
            </w:pPr>
            <w:r/>
            <w:r>
              <w:rPr>
                <w:sz w:val="16"/>
              </w:rPr>
              <w:t>26.2 [20.5, 32.8] (50)</w:t>
            </w:r>
          </w:p>
        </w:tc>
        <w:tc>
          <w:tcPr>
            <w:tcW w:type="dxa" w:w="1248"/>
          </w:tcPr>
          <w:p>
            <w:pPr>
              <w:pStyle w:val="OLtablecontents"/>
            </w:pPr>
            <w:r/>
            <w:r>
              <w:rPr>
                <w:sz w:val="16"/>
              </w:rPr>
              <w:t>9.9 [6.5, 15.0] (19)</w:t>
            </w:r>
          </w:p>
        </w:tc>
        <w:tc>
          <w:tcPr>
            <w:tcW w:type="dxa" w:w="1248"/>
          </w:tcPr>
          <w:p>
            <w:pPr>
              <w:pStyle w:val="OLtablecontents"/>
            </w:pPr>
            <w:r/>
            <w:r>
              <w:rPr>
                <w:sz w:val="16"/>
              </w:rPr>
              <w:t>63.9 [56.9, 70.4] (122)</w:t>
            </w:r>
          </w:p>
        </w:tc>
      </w:tr>
    </w:tbl>
    <w:p>
      <w:pPr>
        <w:pStyle w:val="OLtext"/>
      </w:pPr>
      <w:r>
        <w:rPr>
          <w:sz w:val="16"/>
        </w:rPr>
        <w:t>Note. Wilson 95 percent intervals; the unit is the meaning. The column "In the PMP entry's set" is a lower bound on the share ABVD would count as retained, since an uncoded meaning cannot share a set with the PMP entry. Figure 3 draws the same shares.</w:t>
      </w:r>
    </w:p>
    <w:p>
      <w:pPr>
        <w:pStyle w:val="OL3ptseparator"/>
      </w:pPr>
    </w:p>
    <w:p>
      <w:pPr>
        <w:pStyle w:val="OLcaption"/>
      </w:pPr>
      <w:r>
        <w:t>FIGURE 3. MEANINGS WITH A PROTO-MALAYO-POLYNESIAN ENTRY, BY THE CODING OF THE LIST'S FORM (THE SHARES OF TABLE 2)</w:t>
      </w:r>
    </w:p>
    <w:p>
      <w:pPr>
        <w:pStyle w:val="OLtext"/>
      </w:pPr>
      <w:r>
        <w:rPr>
          <w:highlight w:val="yellow"/>
        </w:rPr>
        <w:t>[Figure 3 about here — separate file]</w:t>
      </w:r>
    </w:p>
    <w:p>
      <w:pPr>
        <w:pStyle w:val="OL3ptseparator"/>
      </w:pPr>
    </w:p>
    <w:p>
      <w:pPr>
        <w:pStyle w:val="OLtextindented"/>
      </w:pPr>
      <w:r>
        <w:t>What distinguishes Makasar from its two relatives in these data is one fact. On the meanings shared with each relative, Makasar has more uncoded meanings than Bugis (exact McNemar test, p = 0.006) and than Sa'dan Toraja (p = 0.0001; both unadjusted). Its lower share in the PMP set and its smaller share of cognate sets held in common with each relative (41.4 and 39.2 percent of the meanings present in both lists, against 53.1 percent between Bugis and Sa'dan Toraja) are the same fact counted again: on the meanings coded in both lists, Makasar is in the PMP set for 70 of 110 meanings against Bugis's 69, and for 70 of 115 against Sa'dan Toraja's 71. Those conditional figures decide nothing about the uncoded forms, because they would be the same whether the uncoded forms are cognates that have not been coded or words that have replaced the inherited ones.</w:t>
      </w:r>
    </w:p>
    <w:p>
      <w:pPr>
        <w:pStyle w:val="OLtextindented"/>
      </w:pPr>
      <w:r>
        <w:t>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among the coded Makasar forms.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able to judge them.</w:t>
      </w:r>
    </w:p>
    <w:p>
      <w:pPr>
        <w:pStyle w:val="OLtextindented"/>
      </w:pPr>
      <w:r>
        <w:t>How does this fit the published figure? The 38 percent cited by Bulbeck, Pasqua, and Di Lello (2000:103) comes from Bellwood (1997:115), who reports Blust's lexicostatistical comparison of 62 Austronesian languages with a 200-item reconstructed PMP list: Western Malayo-Polynesian languages retain 41 percent on average, Malay 59, Minangkabau 50, Tagalog 46, Makasar 38, Sundanese 35 and Yogyakarta Javanese 30. Our 39.3 percent is a count of the same kind, in the same tradition (ABVD's PMP list is Blust's), on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while Bugis and Sa'dan share 60. ABVD's cognate coding gives 41.4, 39.2 and 53.1 percent for the same pairs, the same order, with somewhat smaller gaps. The data are thus compatible with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p>
    <w:p>
      <w:pPr>
        <w:pStyle w:val="OLheadingB-level"/>
      </w:pPr>
      <w:r>
        <w:t>Tolaki.</w:t>
      </w:r>
    </w:p>
    <w:p>
      <w:pPr>
        <w:pStyle w:val="OLtext"/>
      </w:pPr>
      <w:r>
        <w:t>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recur in those lists. What is sparse is the cognate coding of the whole subgroup. ABVD's Proto-Bungku-Tolaki list is coded for 35.6 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and the 42 comparison lists for a median of 46.7 percent, five of them at or below the Tolaki figure. The six Tolaki lists sit on the lower side of a thinly coded subgroup, by a moderate margin, among lists almost all of which come from one compiler.</w:t>
      </w:r>
    </w:p>
    <w:p>
      <w:pPr>
        <w:pStyle w:val="OLtextindented"/>
      </w:pP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elsewhere in the subgroup. Of the 34 uncoded forms that match an entry of the Proto-Bungku-Tolaki list, seven match an entry that ABVD does assign to a cognate set; these seven are the clearest candidates for coding gaps in the plain sense, although the match is the screen's, not a cognate judgment. Twelve of the 128 uncoded forms whose meaning has a PMP entry resemble that entry by the screen (about two are expected by chance; nine remain at the strict threshold; one of the twelve is loan-flagged); the screen finds 48 percent of the Tolaki forms that ABVD itself places in the PMP set, so that figure too is an upper bound. For the remaining forms the study cannot decide between a coding gap, a chance resemblance and a loan.</w:t>
      </w:r>
    </w:p>
    <w:p>
      <w:pPr>
        <w:pStyle w:val="OLtextindented"/>
      </w:pPr>
      <w:r>
        <w:t>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 lists; the twelve PMP look-alikes are listed in the released files, and none of them should be taken as an etymology before a specialist has looked at it.</w:t>
      </w:r>
    </w:p>
    <w:p>
      <w:pPr>
        <w:pStyle w:val="OLheadingB-level"/>
      </w:pPr>
      <w:r>
        <w:t>Can uncoded forms be told apart?</w:t>
      </w:r>
    </w:p>
    <w:p>
      <w:pPr>
        <w:pStyle w:val="OLtext"/>
      </w:pPr>
      <w:r>
        <w:t>Table 3 gives the cross-validated performance of the three classifiers on the two input sets, and table 4 the held-out-list results. With the written form and the meaning as inputs, XGBoost ranks uncoded above coded forms with an AUC of 0.727 (random forest 0.727, logistic regression 0.700); with the written form alone, 0.672 (0.683, 0.671). The standard deviation over the ten repetition means is 0.007 and over the fifty test sets 0.027; the bootstrap interval around the pooled score is about plus or minus 0.03.</w:t>
      </w:r>
    </w:p>
    <w:p>
      <w:pPr>
        <w:pStyle w:val="OLcaption"/>
      </w:pPr>
      <w:r>
        <w:t>TABLE 3. CROSS-VALIDATED PERFORMANCE OF THREE CLASSIFIERS ON TWO INPUT SETS</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Inputs</w:t>
            </w:r>
          </w:p>
        </w:tc>
        <w:tc>
          <w:tcPr>
            <w:tcW w:type="dxa" w:w="780"/>
          </w:tcPr>
          <w:p>
            <w:pPr>
              <w:pStyle w:val="OLtablecolumnheading"/>
            </w:pPr>
            <w:r/>
            <w:r>
              <w:rPr>
                <w:b/>
                <w:sz w:val="16"/>
              </w:rPr>
              <w:t>Classifier</w:t>
            </w:r>
          </w:p>
        </w:tc>
        <w:tc>
          <w:tcPr>
            <w:tcW w:type="dxa" w:w="780"/>
          </w:tcPr>
          <w:p>
            <w:pPr>
              <w:pStyle w:val="OLtablecolumnheading"/>
            </w:pPr>
            <w:r/>
            <w:r>
              <w:rPr>
                <w:b/>
                <w:sz w:val="16"/>
              </w:rPr>
              <w:t>AUC</w:t>
            </w:r>
          </w:p>
        </w:tc>
        <w:tc>
          <w:tcPr>
            <w:tcW w:type="dxa" w:w="780"/>
          </w:tcPr>
          <w:p>
            <w:pPr>
              <w:pStyle w:val="OLtablecolumnheading"/>
            </w:pPr>
            <w:r/>
            <w:r>
              <w:rPr>
                <w:b/>
                <w:sz w:val="16"/>
              </w:rPr>
              <w:t>Accuracy</w:t>
            </w:r>
          </w:p>
        </w:tc>
        <w:tc>
          <w:tcPr>
            <w:tcW w:type="dxa" w:w="780"/>
          </w:tcPr>
          <w:p>
            <w:pPr>
              <w:pStyle w:val="OLtablecolumnheading"/>
            </w:pPr>
            <w:r/>
            <w:r>
              <w:rPr>
                <w:b/>
                <w:sz w:val="16"/>
              </w:rPr>
              <w:t>Always coded</w:t>
            </w:r>
          </w:p>
        </w:tc>
        <w:tc>
          <w:tcPr>
            <w:tcW w:type="dxa" w:w="780"/>
          </w:tcPr>
          <w:p>
            <w:pPr>
              <w:pStyle w:val="OLtablecolumnheading"/>
            </w:pPr>
            <w:r/>
            <w:r>
              <w:rPr>
                <w:b/>
                <w:sz w:val="16"/>
              </w:rPr>
              <w:t>Precision</w:t>
            </w:r>
          </w:p>
        </w:tc>
        <w:tc>
          <w:tcPr>
            <w:tcW w:type="dxa" w:w="780"/>
          </w:tcPr>
          <w:p>
            <w:pPr>
              <w:pStyle w:val="OLtablecolumnheading"/>
            </w:pPr>
            <w:r/>
            <w:r>
              <w:rPr>
                <w:b/>
                <w:sz w:val="16"/>
              </w:rPr>
              <w:t>Recall</w:t>
            </w:r>
          </w:p>
        </w:tc>
        <w:tc>
          <w:tcPr>
            <w:tcW w:type="dxa" w:w="780"/>
          </w:tcPr>
          <w:p>
            <w:pPr>
              <w:pStyle w:val="OLtablecolumnheading"/>
            </w:pPr>
            <w:r/>
            <w:r>
              <w:rPr>
                <w:b/>
                <w:sz w:val="16"/>
              </w:rPr>
              <w:t>F1</w:t>
            </w:r>
          </w:p>
        </w:tc>
      </w:tr>
      <w:tr>
        <w:tc>
          <w:tcPr>
            <w:tcW w:type="dxa" w:w="780"/>
          </w:tcPr>
          <w:p>
            <w:pPr>
              <w:pStyle w:val="OLtablecontents"/>
            </w:pPr>
            <w:r/>
            <w:r>
              <w:rPr>
                <w:sz w:val="16"/>
              </w:rPr>
              <w:t>form + meaning (25)</w:t>
            </w:r>
          </w:p>
        </w:tc>
        <w:tc>
          <w:tcPr>
            <w:tcW w:type="dxa" w:w="780"/>
          </w:tcPr>
          <w:p>
            <w:pPr>
              <w:pStyle w:val="OLtablecontents"/>
            </w:pPr>
            <w:r/>
            <w:r>
              <w:rPr>
                <w:sz w:val="16"/>
              </w:rPr>
              <w:t>XGBoost</w:t>
            </w:r>
          </w:p>
        </w:tc>
        <w:tc>
          <w:tcPr>
            <w:tcW w:type="dxa" w:w="780"/>
          </w:tcPr>
          <w:p>
            <w:pPr>
              <w:pStyle w:val="OLtablecontents"/>
            </w:pPr>
            <w:r/>
            <w:r>
              <w:rPr>
                <w:sz w:val="16"/>
              </w:rPr>
              <w:t>0.727</w:t>
            </w:r>
          </w:p>
        </w:tc>
        <w:tc>
          <w:tcPr>
            <w:tcW w:type="dxa" w:w="780"/>
          </w:tcPr>
          <w:p>
            <w:pPr>
              <w:pStyle w:val="OLtablecontents"/>
            </w:pPr>
            <w:r/>
            <w:r>
              <w:rPr>
                <w:sz w:val="16"/>
              </w:rPr>
              <w:t>0.719</w:t>
            </w:r>
          </w:p>
        </w:tc>
        <w:tc>
          <w:tcPr>
            <w:tcW w:type="dxa" w:w="780"/>
          </w:tcPr>
          <w:p>
            <w:pPr>
              <w:pStyle w:val="OLtablecontents"/>
            </w:pPr>
            <w:r/>
            <w:r>
              <w:rPr>
                <w:sz w:val="16"/>
              </w:rPr>
              <w:t>0.677</w:t>
            </w:r>
          </w:p>
        </w:tc>
        <w:tc>
          <w:tcPr>
            <w:tcW w:type="dxa" w:w="780"/>
          </w:tcPr>
          <w:p>
            <w:pPr>
              <w:pStyle w:val="OLtablecontents"/>
            </w:pPr>
            <w:r/>
            <w:r>
              <w:rPr>
                <w:sz w:val="16"/>
              </w:rPr>
              <w:t>0.597</w:t>
            </w:r>
          </w:p>
        </w:tc>
        <w:tc>
          <w:tcPr>
            <w:tcW w:type="dxa" w:w="780"/>
          </w:tcPr>
          <w:p>
            <w:pPr>
              <w:pStyle w:val="OLtablecontents"/>
            </w:pPr>
            <w:r/>
            <w:r>
              <w:rPr>
                <w:sz w:val="16"/>
              </w:rPr>
              <w:t>0.404</w:t>
            </w:r>
          </w:p>
        </w:tc>
        <w:tc>
          <w:tcPr>
            <w:tcW w:type="dxa" w:w="780"/>
          </w:tcPr>
          <w:p>
            <w:pPr>
              <w:pStyle w:val="OLtablecontents"/>
            </w:pPr>
            <w:r/>
            <w:r>
              <w:rPr>
                <w:sz w:val="16"/>
              </w:rPr>
              <w:t>0.480</w:t>
            </w:r>
          </w:p>
        </w:tc>
      </w:tr>
      <w:tr>
        <w:tc>
          <w:tcPr>
            <w:tcW w:type="dxa" w:w="780"/>
          </w:tcPr>
          <w:p>
            <w:pPr>
              <w:pStyle w:val="OLtablecontents"/>
            </w:pPr>
            <w:r/>
            <w:r>
              <w:rPr>
                <w:sz w:val="16"/>
              </w:rPr>
              <w:t>form + meaning (25)</w:t>
            </w:r>
          </w:p>
        </w:tc>
        <w:tc>
          <w:tcPr>
            <w:tcW w:type="dxa" w:w="780"/>
          </w:tcPr>
          <w:p>
            <w:pPr>
              <w:pStyle w:val="OLtablecontents"/>
            </w:pPr>
            <w:r/>
            <w:r>
              <w:rPr>
                <w:sz w:val="16"/>
              </w:rPr>
              <w:t>Random Forest</w:t>
            </w:r>
          </w:p>
        </w:tc>
        <w:tc>
          <w:tcPr>
            <w:tcW w:type="dxa" w:w="780"/>
          </w:tcPr>
          <w:p>
            <w:pPr>
              <w:pStyle w:val="OLtablecontents"/>
            </w:pPr>
            <w:r/>
            <w:r>
              <w:rPr>
                <w:sz w:val="16"/>
              </w:rPr>
              <w:t>0.727</w:t>
            </w:r>
          </w:p>
        </w:tc>
        <w:tc>
          <w:tcPr>
            <w:tcW w:type="dxa" w:w="780"/>
          </w:tcPr>
          <w:p>
            <w:pPr>
              <w:pStyle w:val="OLtablecontents"/>
            </w:pPr>
            <w:r/>
            <w:r>
              <w:rPr>
                <w:sz w:val="16"/>
              </w:rPr>
              <w:t>0.663</w:t>
            </w:r>
          </w:p>
        </w:tc>
        <w:tc>
          <w:tcPr>
            <w:tcW w:type="dxa" w:w="780"/>
          </w:tcPr>
          <w:p>
            <w:pPr>
              <w:pStyle w:val="OLtablecontents"/>
            </w:pPr>
            <w:r/>
            <w:r>
              <w:rPr>
                <w:sz w:val="16"/>
              </w:rPr>
              <w:t>0.677</w:t>
            </w:r>
          </w:p>
        </w:tc>
        <w:tc>
          <w:tcPr>
            <w:tcW w:type="dxa" w:w="780"/>
          </w:tcPr>
          <w:p>
            <w:pPr>
              <w:pStyle w:val="OLtablecontents"/>
            </w:pPr>
            <w:r/>
            <w:r>
              <w:rPr>
                <w:sz w:val="16"/>
              </w:rPr>
              <w:t>0.483</w:t>
            </w:r>
          </w:p>
        </w:tc>
        <w:tc>
          <w:tcPr>
            <w:tcW w:type="dxa" w:w="780"/>
          </w:tcPr>
          <w:p>
            <w:pPr>
              <w:pStyle w:val="OLtablecontents"/>
            </w:pPr>
            <w:r/>
            <w:r>
              <w:rPr>
                <w:sz w:val="16"/>
              </w:rPr>
              <w:t>0.622</w:t>
            </w:r>
          </w:p>
        </w:tc>
        <w:tc>
          <w:tcPr>
            <w:tcW w:type="dxa" w:w="780"/>
          </w:tcPr>
          <w:p>
            <w:pPr>
              <w:pStyle w:val="OLtablecontents"/>
            </w:pPr>
            <w:r/>
            <w:r>
              <w:rPr>
                <w:sz w:val="16"/>
              </w:rPr>
              <w:t>0.543</w:t>
            </w:r>
          </w:p>
        </w:tc>
      </w:tr>
      <w:tr>
        <w:tc>
          <w:tcPr>
            <w:tcW w:type="dxa" w:w="780"/>
          </w:tcPr>
          <w:p>
            <w:pPr>
              <w:pStyle w:val="OLtablecontents"/>
            </w:pPr>
            <w:r/>
            <w:r>
              <w:rPr>
                <w:sz w:val="16"/>
              </w:rPr>
              <w:t>form + meaning (25)</w:t>
            </w:r>
          </w:p>
        </w:tc>
        <w:tc>
          <w:tcPr>
            <w:tcW w:type="dxa" w:w="780"/>
          </w:tcPr>
          <w:p>
            <w:pPr>
              <w:pStyle w:val="OLtablecontents"/>
            </w:pPr>
            <w:r/>
            <w:r>
              <w:rPr>
                <w:sz w:val="16"/>
              </w:rPr>
              <w:t>Logistic regression</w:t>
            </w:r>
          </w:p>
        </w:tc>
        <w:tc>
          <w:tcPr>
            <w:tcW w:type="dxa" w:w="780"/>
          </w:tcPr>
          <w:p>
            <w:pPr>
              <w:pStyle w:val="OLtablecontents"/>
            </w:pPr>
            <w:r/>
            <w:r>
              <w:rPr>
                <w:sz w:val="16"/>
              </w:rPr>
              <w:t>0.700</w:t>
            </w:r>
          </w:p>
        </w:tc>
        <w:tc>
          <w:tcPr>
            <w:tcW w:type="dxa" w:w="780"/>
          </w:tcPr>
          <w:p>
            <w:pPr>
              <w:pStyle w:val="OLtablecontents"/>
            </w:pPr>
            <w:r/>
            <w:r>
              <w:rPr>
                <w:sz w:val="16"/>
              </w:rPr>
              <w:t>0.648</w:t>
            </w:r>
          </w:p>
        </w:tc>
        <w:tc>
          <w:tcPr>
            <w:tcW w:type="dxa" w:w="780"/>
          </w:tcPr>
          <w:p>
            <w:pPr>
              <w:pStyle w:val="OLtablecontents"/>
            </w:pPr>
            <w:r/>
            <w:r>
              <w:rPr>
                <w:sz w:val="16"/>
              </w:rPr>
              <w:t>0.677</w:t>
            </w:r>
          </w:p>
        </w:tc>
        <w:tc>
          <w:tcPr>
            <w:tcW w:type="dxa" w:w="780"/>
          </w:tcPr>
          <w:p>
            <w:pPr>
              <w:pStyle w:val="OLtablecontents"/>
            </w:pPr>
            <w:r/>
            <w:r>
              <w:rPr>
                <w:sz w:val="16"/>
              </w:rPr>
              <w:t>0.468</w:t>
            </w:r>
          </w:p>
        </w:tc>
        <w:tc>
          <w:tcPr>
            <w:tcW w:type="dxa" w:w="780"/>
          </w:tcPr>
          <w:p>
            <w:pPr>
              <w:pStyle w:val="OLtablecontents"/>
            </w:pPr>
            <w:r/>
            <w:r>
              <w:rPr>
                <w:sz w:val="16"/>
              </w:rPr>
              <w:t>0.657</w:t>
            </w:r>
          </w:p>
        </w:tc>
        <w:tc>
          <w:tcPr>
            <w:tcW w:type="dxa" w:w="780"/>
          </w:tcPr>
          <w:p>
            <w:pPr>
              <w:pStyle w:val="OLtablecontents"/>
            </w:pPr>
            <w:r/>
            <w:r>
              <w:rPr>
                <w:sz w:val="16"/>
              </w:rPr>
              <w:t>0.546</w:t>
            </w:r>
          </w:p>
        </w:tc>
      </w:tr>
      <w:tr>
        <w:tc>
          <w:tcPr>
            <w:tcW w:type="dxa" w:w="780"/>
          </w:tcPr>
          <w:p>
            <w:pPr>
              <w:pStyle w:val="OLtablecontents"/>
            </w:pPr>
            <w:r/>
            <w:r>
              <w:rPr>
                <w:sz w:val="16"/>
              </w:rPr>
              <w:t>form only (17)</w:t>
            </w:r>
          </w:p>
        </w:tc>
        <w:tc>
          <w:tcPr>
            <w:tcW w:type="dxa" w:w="780"/>
          </w:tcPr>
          <w:p>
            <w:pPr>
              <w:pStyle w:val="OLtablecontents"/>
            </w:pPr>
            <w:r/>
            <w:r>
              <w:rPr>
                <w:sz w:val="16"/>
              </w:rPr>
              <w:t>XGBoost</w:t>
            </w:r>
          </w:p>
        </w:tc>
        <w:tc>
          <w:tcPr>
            <w:tcW w:type="dxa" w:w="780"/>
          </w:tcPr>
          <w:p>
            <w:pPr>
              <w:pStyle w:val="OLtablecontents"/>
            </w:pPr>
            <w:r/>
            <w:r>
              <w:rPr>
                <w:sz w:val="16"/>
              </w:rPr>
              <w:t>0.672</w:t>
            </w:r>
          </w:p>
        </w:tc>
        <w:tc>
          <w:tcPr>
            <w:tcW w:type="dxa" w:w="780"/>
          </w:tcPr>
          <w:p>
            <w:pPr>
              <w:pStyle w:val="OLtablecontents"/>
            </w:pPr>
            <w:r/>
            <w:r>
              <w:rPr>
                <w:sz w:val="16"/>
              </w:rPr>
              <w:t>0.696</w:t>
            </w:r>
          </w:p>
        </w:tc>
        <w:tc>
          <w:tcPr>
            <w:tcW w:type="dxa" w:w="780"/>
          </w:tcPr>
          <w:p>
            <w:pPr>
              <w:pStyle w:val="OLtablecontents"/>
            </w:pPr>
            <w:r/>
            <w:r>
              <w:rPr>
                <w:sz w:val="16"/>
              </w:rPr>
              <w:t>0.677</w:t>
            </w:r>
          </w:p>
        </w:tc>
        <w:tc>
          <w:tcPr>
            <w:tcW w:type="dxa" w:w="780"/>
          </w:tcPr>
          <w:p>
            <w:pPr>
              <w:pStyle w:val="OLtablecontents"/>
            </w:pPr>
            <w:r/>
            <w:r>
              <w:rPr>
                <w:sz w:val="16"/>
              </w:rPr>
              <w:t>0.560</w:t>
            </w:r>
          </w:p>
        </w:tc>
        <w:tc>
          <w:tcPr>
            <w:tcW w:type="dxa" w:w="780"/>
          </w:tcPr>
          <w:p>
            <w:pPr>
              <w:pStyle w:val="OLtablecontents"/>
            </w:pPr>
            <w:r/>
            <w:r>
              <w:rPr>
                <w:sz w:val="16"/>
              </w:rPr>
              <w:t>0.304</w:t>
            </w:r>
          </w:p>
        </w:tc>
        <w:tc>
          <w:tcPr>
            <w:tcW w:type="dxa" w:w="780"/>
          </w:tcPr>
          <w:p>
            <w:pPr>
              <w:pStyle w:val="OLtablecontents"/>
            </w:pPr>
            <w:r/>
            <w:r>
              <w:rPr>
                <w:sz w:val="16"/>
              </w:rPr>
              <w:t>0.391</w:t>
            </w:r>
          </w:p>
        </w:tc>
      </w:tr>
      <w:tr>
        <w:tc>
          <w:tcPr>
            <w:tcW w:type="dxa" w:w="780"/>
          </w:tcPr>
          <w:p>
            <w:pPr>
              <w:pStyle w:val="OLtablecontents"/>
            </w:pPr>
            <w:r/>
            <w:r>
              <w:rPr>
                <w:sz w:val="16"/>
              </w:rPr>
              <w:t>form only (17)</w:t>
            </w:r>
          </w:p>
        </w:tc>
        <w:tc>
          <w:tcPr>
            <w:tcW w:type="dxa" w:w="780"/>
          </w:tcPr>
          <w:p>
            <w:pPr>
              <w:pStyle w:val="OLtablecontents"/>
            </w:pPr>
            <w:r/>
            <w:r>
              <w:rPr>
                <w:sz w:val="16"/>
              </w:rPr>
              <w:t>Random Forest</w:t>
            </w:r>
          </w:p>
        </w:tc>
        <w:tc>
          <w:tcPr>
            <w:tcW w:type="dxa" w:w="780"/>
          </w:tcPr>
          <w:p>
            <w:pPr>
              <w:pStyle w:val="OLtablecontents"/>
            </w:pPr>
            <w:r/>
            <w:r>
              <w:rPr>
                <w:sz w:val="16"/>
              </w:rPr>
              <w:t>0.683</w:t>
            </w:r>
          </w:p>
        </w:tc>
        <w:tc>
          <w:tcPr>
            <w:tcW w:type="dxa" w:w="780"/>
          </w:tcPr>
          <w:p>
            <w:pPr>
              <w:pStyle w:val="OLtablecontents"/>
            </w:pPr>
            <w:r/>
            <w:r>
              <w:rPr>
                <w:sz w:val="16"/>
              </w:rPr>
              <w:t>0.646</w:t>
            </w:r>
          </w:p>
        </w:tc>
        <w:tc>
          <w:tcPr>
            <w:tcW w:type="dxa" w:w="780"/>
          </w:tcPr>
          <w:p>
            <w:pPr>
              <w:pStyle w:val="OLtablecontents"/>
            </w:pPr>
            <w:r/>
            <w:r>
              <w:rPr>
                <w:sz w:val="16"/>
              </w:rPr>
              <w:t>0.677</w:t>
            </w:r>
          </w:p>
        </w:tc>
        <w:tc>
          <w:tcPr>
            <w:tcW w:type="dxa" w:w="780"/>
          </w:tcPr>
          <w:p>
            <w:pPr>
              <w:pStyle w:val="OLtablecontents"/>
            </w:pPr>
            <w:r/>
            <w:r>
              <w:rPr>
                <w:sz w:val="16"/>
              </w:rPr>
              <w:t>0.463</w:t>
            </w:r>
          </w:p>
        </w:tc>
        <w:tc>
          <w:tcPr>
            <w:tcW w:type="dxa" w:w="780"/>
          </w:tcPr>
          <w:p>
            <w:pPr>
              <w:pStyle w:val="OLtablecontents"/>
            </w:pPr>
            <w:r/>
            <w:r>
              <w:rPr>
                <w:sz w:val="16"/>
              </w:rPr>
              <w:t>0.581</w:t>
            </w:r>
          </w:p>
        </w:tc>
        <w:tc>
          <w:tcPr>
            <w:tcW w:type="dxa" w:w="780"/>
          </w:tcPr>
          <w:p>
            <w:pPr>
              <w:pStyle w:val="OLtablecontents"/>
            </w:pPr>
            <w:r/>
            <w:r>
              <w:rPr>
                <w:sz w:val="16"/>
              </w:rPr>
              <w:t>0.514</w:t>
            </w:r>
          </w:p>
        </w:tc>
      </w:tr>
      <w:tr>
        <w:tc>
          <w:tcPr>
            <w:tcW w:type="dxa" w:w="780"/>
          </w:tcPr>
          <w:p>
            <w:pPr>
              <w:pStyle w:val="OLtablecontents"/>
            </w:pPr>
            <w:r/>
            <w:r>
              <w:rPr>
                <w:sz w:val="16"/>
              </w:rPr>
              <w:t>form only (17)</w:t>
            </w:r>
          </w:p>
        </w:tc>
        <w:tc>
          <w:tcPr>
            <w:tcW w:type="dxa" w:w="780"/>
          </w:tcPr>
          <w:p>
            <w:pPr>
              <w:pStyle w:val="OLtablecontents"/>
            </w:pPr>
            <w:r/>
            <w:r>
              <w:rPr>
                <w:sz w:val="16"/>
              </w:rPr>
              <w:t>Logistic regression</w:t>
            </w:r>
          </w:p>
        </w:tc>
        <w:tc>
          <w:tcPr>
            <w:tcW w:type="dxa" w:w="780"/>
          </w:tcPr>
          <w:p>
            <w:pPr>
              <w:pStyle w:val="OLtablecontents"/>
            </w:pPr>
            <w:r/>
            <w:r>
              <w:rPr>
                <w:sz w:val="16"/>
              </w:rPr>
              <w:t>0.671</w:t>
            </w:r>
          </w:p>
        </w:tc>
        <w:tc>
          <w:tcPr>
            <w:tcW w:type="dxa" w:w="780"/>
          </w:tcPr>
          <w:p>
            <w:pPr>
              <w:pStyle w:val="OLtablecontents"/>
            </w:pPr>
            <w:r/>
            <w:r>
              <w:rPr>
                <w:sz w:val="16"/>
              </w:rPr>
              <w:t>0.629</w:t>
            </w:r>
          </w:p>
        </w:tc>
        <w:tc>
          <w:tcPr>
            <w:tcW w:type="dxa" w:w="780"/>
          </w:tcPr>
          <w:p>
            <w:pPr>
              <w:pStyle w:val="OLtablecontents"/>
            </w:pPr>
            <w:r/>
            <w:r>
              <w:rPr>
                <w:sz w:val="16"/>
              </w:rPr>
              <w:t>0.677</w:t>
            </w:r>
          </w:p>
        </w:tc>
        <w:tc>
          <w:tcPr>
            <w:tcW w:type="dxa" w:w="780"/>
          </w:tcPr>
          <w:p>
            <w:pPr>
              <w:pStyle w:val="OLtablecontents"/>
            </w:pPr>
            <w:r/>
            <w:r>
              <w:rPr>
                <w:sz w:val="16"/>
              </w:rPr>
              <w:t>0.445</w:t>
            </w:r>
          </w:p>
        </w:tc>
        <w:tc>
          <w:tcPr>
            <w:tcW w:type="dxa" w:w="780"/>
          </w:tcPr>
          <w:p>
            <w:pPr>
              <w:pStyle w:val="OLtablecontents"/>
            </w:pPr>
            <w:r/>
            <w:r>
              <w:rPr>
                <w:sz w:val="16"/>
              </w:rPr>
              <w:t>0.601</w:t>
            </w:r>
          </w:p>
        </w:tc>
        <w:tc>
          <w:tcPr>
            <w:tcW w:type="dxa" w:w="780"/>
          </w:tcPr>
          <w:p>
            <w:pPr>
              <w:pStyle w:val="OLtablecontents"/>
            </w:pPr>
            <w:r/>
            <w:r>
              <w:rPr>
                <w:sz w:val="16"/>
              </w:rPr>
              <w:t>0.511</w:t>
            </w:r>
          </w:p>
        </w:tc>
      </w:tr>
    </w:tbl>
    <w:p>
      <w:pPr>
        <w:pStyle w:val="OLtext"/>
      </w:pPr>
      <w:r>
        <w:rPr>
          <w:sz w:val="16"/>
        </w:rPr>
        <w:t>Note. Five folds, ten repetitions, fifty test sets. Precision, recall and F1 are those of the uncoded class. "Always coded" is the accuracy of calling every form coded.</w:t>
      </w:r>
    </w:p>
    <w:p>
      <w:pPr>
        <w:pStyle w:val="OLtext"/>
      </w:pPr>
      <w:r>
        <w:rPr>
          <w:sz w:val="16"/>
        </w:rPr>
        <w:t>Standard deviation of the AUC over the ten repetition means / over the fifty test sets: form + meaning (25), XGBoost: 0.007 / 0.027; form + meaning (25), Random Forest: 0.004 / 0.026; form + meaning (25), Logistic regression: 0.004 / 0.027; form only (17), XGBoost: 0.008 / 0.029; form only (17), Random Forest: 0.006 / 0.026; form only (17), Logistic regression: 0.004 / 0.031.</w:t>
      </w:r>
    </w:p>
    <w:p>
      <w:pPr>
        <w:pStyle w:val="OL3ptseparator"/>
      </w:pPr>
    </w:p>
    <w:p>
      <w:pPr>
        <w:pStyle w:val="OLtextindented"/>
      </w:pP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p>
    <w:p>
      <w:pPr>
        <w:pStyle w:val="OLcaption"/>
      </w:pPr>
      <w:r>
        <w:t>TABLE 4. ONE LIST HELD OUT: A MODEL TRAINED ON FIVE LISTS SCORES THE SIXTH</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Held-out list</w:t>
            </w:r>
          </w:p>
        </w:tc>
        <w:tc>
          <w:tcPr>
            <w:tcW w:type="dxa" w:w="780"/>
          </w:tcPr>
          <w:p>
            <w:pPr>
              <w:pStyle w:val="OLtablecolumnheading"/>
            </w:pPr>
            <w:r/>
            <w:r>
              <w:rPr>
                <w:b/>
                <w:sz w:val="16"/>
              </w:rPr>
              <w:t>n</w:t>
            </w:r>
          </w:p>
        </w:tc>
        <w:tc>
          <w:tcPr>
            <w:tcW w:type="dxa" w:w="780"/>
          </w:tcPr>
          <w:p>
            <w:pPr>
              <w:pStyle w:val="OLtablecolumnheading"/>
            </w:pPr>
            <w:r/>
            <w:r>
              <w:rPr>
                <w:b/>
                <w:sz w:val="16"/>
              </w:rPr>
              <w:t>Uncoded</w:t>
            </w:r>
          </w:p>
        </w:tc>
        <w:tc>
          <w:tcPr>
            <w:tcW w:type="dxa" w:w="780"/>
          </w:tcPr>
          <w:p>
            <w:pPr>
              <w:pStyle w:val="OLtablecolumnheading"/>
            </w:pPr>
            <w:r/>
            <w:r>
              <w:rPr>
                <w:b/>
                <w:sz w:val="16"/>
              </w:rPr>
              <w:t>AUC (F+M)</w:t>
            </w:r>
          </w:p>
        </w:tc>
        <w:tc>
          <w:tcPr>
            <w:tcW w:type="dxa" w:w="780"/>
          </w:tcPr>
          <w:p>
            <w:pPr>
              <w:pStyle w:val="OLtablecolumnheading"/>
            </w:pPr>
            <w:r/>
            <w:r>
              <w:rPr>
                <w:b/>
                <w:sz w:val="16"/>
              </w:rPr>
              <w:t>Acc. (F+M)</w:t>
            </w:r>
          </w:p>
        </w:tc>
        <w:tc>
          <w:tcPr>
            <w:tcW w:type="dxa" w:w="780"/>
          </w:tcPr>
          <w:p>
            <w:pPr>
              <w:pStyle w:val="OLtablecolumnheading"/>
            </w:pPr>
            <w:r/>
            <w:r>
              <w:rPr>
                <w:b/>
                <w:sz w:val="16"/>
              </w:rPr>
              <w:t>AUC (F)</w:t>
            </w:r>
          </w:p>
        </w:tc>
        <w:tc>
          <w:tcPr>
            <w:tcW w:type="dxa" w:w="780"/>
          </w:tcPr>
          <w:p>
            <w:pPr>
              <w:pStyle w:val="OLtablecolumnheading"/>
            </w:pPr>
            <w:r/>
            <w:r>
              <w:rPr>
                <w:b/>
                <w:sz w:val="16"/>
              </w:rPr>
              <w:t>Acc. (F)</w:t>
            </w:r>
          </w:p>
        </w:tc>
        <w:tc>
          <w:tcPr>
            <w:tcW w:type="dxa" w:w="780"/>
          </w:tcPr>
          <w:p>
            <w:pPr>
              <w:pStyle w:val="OLtablecolumnheading"/>
            </w:pPr>
            <w:r/>
            <w:r>
              <w:rPr>
                <w:b/>
                <w:sz w:val="16"/>
              </w:rPr>
              <w:t>Majority</w:t>
            </w:r>
          </w:p>
        </w:tc>
      </w:tr>
      <w:tr>
        <w:tc>
          <w:tcPr>
            <w:tcW w:type="dxa" w:w="780"/>
          </w:tcPr>
          <w:p>
            <w:pPr>
              <w:pStyle w:val="OLtablecontents"/>
            </w:pPr>
            <w:r/>
            <w:r>
              <w:rPr>
                <w:sz w:val="16"/>
              </w:rPr>
              <w:t>Muna</w:t>
            </w:r>
          </w:p>
        </w:tc>
        <w:tc>
          <w:tcPr>
            <w:tcW w:type="dxa" w:w="780"/>
          </w:tcPr>
          <w:p>
            <w:pPr>
              <w:pStyle w:val="OLtablecontents"/>
            </w:pPr>
            <w:r/>
            <w:r>
              <w:rPr>
                <w:sz w:val="16"/>
              </w:rPr>
              <w:t>219</w:t>
            </w:r>
          </w:p>
        </w:tc>
        <w:tc>
          <w:tcPr>
            <w:tcW w:type="dxa" w:w="780"/>
          </w:tcPr>
          <w:p>
            <w:pPr>
              <w:pStyle w:val="OLtablecontents"/>
            </w:pPr>
            <w:r/>
            <w:r>
              <w:rPr>
                <w:sz w:val="16"/>
              </w:rPr>
              <w:t>34</w:t>
            </w:r>
          </w:p>
        </w:tc>
        <w:tc>
          <w:tcPr>
            <w:tcW w:type="dxa" w:w="780"/>
          </w:tcPr>
          <w:p>
            <w:pPr>
              <w:pStyle w:val="OLtablecontents"/>
            </w:pPr>
            <w:r/>
            <w:r>
              <w:rPr>
                <w:sz w:val="16"/>
              </w:rPr>
              <w:t>0.614</w:t>
            </w:r>
          </w:p>
        </w:tc>
        <w:tc>
          <w:tcPr>
            <w:tcW w:type="dxa" w:w="780"/>
          </w:tcPr>
          <w:p>
            <w:pPr>
              <w:pStyle w:val="OLtablecontents"/>
            </w:pPr>
            <w:r/>
            <w:r>
              <w:rPr>
                <w:sz w:val="16"/>
              </w:rPr>
              <w:t>0.580</w:t>
            </w:r>
          </w:p>
        </w:tc>
        <w:tc>
          <w:tcPr>
            <w:tcW w:type="dxa" w:w="780"/>
          </w:tcPr>
          <w:p>
            <w:pPr>
              <w:pStyle w:val="OLtablecontents"/>
            </w:pPr>
            <w:r/>
            <w:r>
              <w:rPr>
                <w:sz w:val="16"/>
              </w:rPr>
              <w:t>0.573</w:t>
            </w:r>
          </w:p>
        </w:tc>
        <w:tc>
          <w:tcPr>
            <w:tcW w:type="dxa" w:w="780"/>
          </w:tcPr>
          <w:p>
            <w:pPr>
              <w:pStyle w:val="OLtablecontents"/>
            </w:pPr>
            <w:r/>
            <w:r>
              <w:rPr>
                <w:sz w:val="16"/>
              </w:rPr>
              <w:t>0.740</w:t>
            </w:r>
          </w:p>
        </w:tc>
        <w:tc>
          <w:tcPr>
            <w:tcW w:type="dxa" w:w="780"/>
          </w:tcPr>
          <w:p>
            <w:pPr>
              <w:pStyle w:val="OLtablecontents"/>
            </w:pPr>
            <w:r/>
            <w:r>
              <w:rPr>
                <w:sz w:val="16"/>
              </w:rPr>
              <w:t>0.845</w:t>
            </w:r>
          </w:p>
        </w:tc>
      </w:tr>
      <w:tr>
        <w:tc>
          <w:tcPr>
            <w:tcW w:type="dxa" w:w="780"/>
          </w:tcPr>
          <w:p>
            <w:pPr>
              <w:pStyle w:val="OLtablecontents"/>
            </w:pPr>
            <w:r/>
            <w:r>
              <w:rPr>
                <w:sz w:val="16"/>
              </w:rPr>
              <w:t>Bugis</w:t>
            </w:r>
          </w:p>
        </w:tc>
        <w:tc>
          <w:tcPr>
            <w:tcW w:type="dxa" w:w="780"/>
          </w:tcPr>
          <w:p>
            <w:pPr>
              <w:pStyle w:val="OLtablecontents"/>
            </w:pPr>
            <w:r/>
            <w:r>
              <w:rPr>
                <w:sz w:val="16"/>
              </w:rPr>
              <w:t>242</w:t>
            </w:r>
          </w:p>
        </w:tc>
        <w:tc>
          <w:tcPr>
            <w:tcW w:type="dxa" w:w="780"/>
          </w:tcPr>
          <w:p>
            <w:pPr>
              <w:pStyle w:val="OLtablecontents"/>
            </w:pPr>
            <w:r/>
            <w:r>
              <w:rPr>
                <w:sz w:val="16"/>
              </w:rPr>
              <w:t>62</w:t>
            </w:r>
          </w:p>
        </w:tc>
        <w:tc>
          <w:tcPr>
            <w:tcW w:type="dxa" w:w="780"/>
          </w:tcPr>
          <w:p>
            <w:pPr>
              <w:pStyle w:val="OLtablecontents"/>
            </w:pPr>
            <w:r/>
            <w:r>
              <w:rPr>
                <w:sz w:val="16"/>
              </w:rPr>
              <w:t>0.706</w:t>
            </w:r>
          </w:p>
        </w:tc>
        <w:tc>
          <w:tcPr>
            <w:tcW w:type="dxa" w:w="780"/>
          </w:tcPr>
          <w:p>
            <w:pPr>
              <w:pStyle w:val="OLtablecontents"/>
            </w:pPr>
            <w:r/>
            <w:r>
              <w:rPr>
                <w:sz w:val="16"/>
              </w:rPr>
              <w:t>0.690</w:t>
            </w:r>
          </w:p>
        </w:tc>
        <w:tc>
          <w:tcPr>
            <w:tcW w:type="dxa" w:w="780"/>
          </w:tcPr>
          <w:p>
            <w:pPr>
              <w:pStyle w:val="OLtablecontents"/>
            </w:pPr>
            <w:r/>
            <w:r>
              <w:rPr>
                <w:sz w:val="16"/>
              </w:rPr>
              <w:t>0.659</w:t>
            </w:r>
          </w:p>
        </w:tc>
        <w:tc>
          <w:tcPr>
            <w:tcW w:type="dxa" w:w="780"/>
          </w:tcPr>
          <w:p>
            <w:pPr>
              <w:pStyle w:val="OLtablecontents"/>
            </w:pPr>
            <w:r/>
            <w:r>
              <w:rPr>
                <w:sz w:val="16"/>
              </w:rPr>
              <w:t>0.707</w:t>
            </w:r>
          </w:p>
        </w:tc>
        <w:tc>
          <w:tcPr>
            <w:tcW w:type="dxa" w:w="780"/>
          </w:tcPr>
          <w:p>
            <w:pPr>
              <w:pStyle w:val="OLtablecontents"/>
            </w:pPr>
            <w:r/>
            <w:r>
              <w:rPr>
                <w:sz w:val="16"/>
              </w:rPr>
              <w:t>0.744</w:t>
            </w:r>
          </w:p>
        </w:tc>
      </w:tr>
      <w:tr>
        <w:tc>
          <w:tcPr>
            <w:tcW w:type="dxa" w:w="780"/>
          </w:tcPr>
          <w:p>
            <w:pPr>
              <w:pStyle w:val="OLtablecontents"/>
            </w:pPr>
            <w:r/>
            <w:r>
              <w:rPr>
                <w:sz w:val="16"/>
              </w:rPr>
              <w:t>Makasar</w:t>
            </w:r>
          </w:p>
        </w:tc>
        <w:tc>
          <w:tcPr>
            <w:tcW w:type="dxa" w:w="780"/>
          </w:tcPr>
          <w:p>
            <w:pPr>
              <w:pStyle w:val="OLtablecontents"/>
            </w:pPr>
            <w:r/>
            <w:r>
              <w:rPr>
                <w:sz w:val="16"/>
              </w:rPr>
              <w:t>217</w:t>
            </w:r>
          </w:p>
        </w:tc>
        <w:tc>
          <w:tcPr>
            <w:tcW w:type="dxa" w:w="780"/>
          </w:tcPr>
          <w:p>
            <w:pPr>
              <w:pStyle w:val="OLtablecontents"/>
            </w:pPr>
            <w:r/>
            <w:r>
              <w:rPr>
                <w:sz w:val="16"/>
              </w:rPr>
              <w:t>80</w:t>
            </w:r>
          </w:p>
        </w:tc>
        <w:tc>
          <w:tcPr>
            <w:tcW w:type="dxa" w:w="780"/>
          </w:tcPr>
          <w:p>
            <w:pPr>
              <w:pStyle w:val="OLtablecontents"/>
            </w:pPr>
            <w:r/>
            <w:r>
              <w:rPr>
                <w:sz w:val="16"/>
              </w:rPr>
              <w:t>0.711</w:t>
            </w:r>
          </w:p>
        </w:tc>
        <w:tc>
          <w:tcPr>
            <w:tcW w:type="dxa" w:w="780"/>
          </w:tcPr>
          <w:p>
            <w:pPr>
              <w:pStyle w:val="OLtablecontents"/>
            </w:pPr>
            <w:r/>
            <w:r>
              <w:rPr>
                <w:sz w:val="16"/>
              </w:rPr>
              <w:t>0.668</w:t>
            </w:r>
          </w:p>
        </w:tc>
        <w:tc>
          <w:tcPr>
            <w:tcW w:type="dxa" w:w="780"/>
          </w:tcPr>
          <w:p>
            <w:pPr>
              <w:pStyle w:val="OLtablecontents"/>
            </w:pPr>
            <w:r/>
            <w:r>
              <w:rPr>
                <w:sz w:val="16"/>
              </w:rPr>
              <w:t>0.655</w:t>
            </w:r>
          </w:p>
        </w:tc>
        <w:tc>
          <w:tcPr>
            <w:tcW w:type="dxa" w:w="780"/>
          </w:tcPr>
          <w:p>
            <w:pPr>
              <w:pStyle w:val="OLtablecontents"/>
            </w:pPr>
            <w:r/>
            <w:r>
              <w:rPr>
                <w:sz w:val="16"/>
              </w:rPr>
              <w:t>0.664</w:t>
            </w:r>
          </w:p>
        </w:tc>
        <w:tc>
          <w:tcPr>
            <w:tcW w:type="dxa" w:w="780"/>
          </w:tcPr>
          <w:p>
            <w:pPr>
              <w:pStyle w:val="OLtablecontents"/>
            </w:pPr>
            <w:r/>
            <w:r>
              <w:rPr>
                <w:sz w:val="16"/>
              </w:rPr>
              <w:t>0.631</w:t>
            </w:r>
          </w:p>
        </w:tc>
      </w:tr>
      <w:tr>
        <w:tc>
          <w:tcPr>
            <w:tcW w:type="dxa" w:w="780"/>
          </w:tcPr>
          <w:p>
            <w:pPr>
              <w:pStyle w:val="OLtablecontents"/>
            </w:pPr>
            <w:r/>
            <w:r>
              <w:rPr>
                <w:sz w:val="16"/>
              </w:rPr>
              <w:t>Wolio</w:t>
            </w:r>
          </w:p>
        </w:tc>
        <w:tc>
          <w:tcPr>
            <w:tcW w:type="dxa" w:w="780"/>
          </w:tcPr>
          <w:p>
            <w:pPr>
              <w:pStyle w:val="OLtablecontents"/>
            </w:pPr>
            <w:r/>
            <w:r>
              <w:rPr>
                <w:sz w:val="16"/>
              </w:rPr>
              <w:t>254</w:t>
            </w:r>
          </w:p>
        </w:tc>
        <w:tc>
          <w:tcPr>
            <w:tcW w:type="dxa" w:w="780"/>
          </w:tcPr>
          <w:p>
            <w:pPr>
              <w:pStyle w:val="OLtablecontents"/>
            </w:pPr>
            <w:r/>
            <w:r>
              <w:rPr>
                <w:sz w:val="16"/>
              </w:rPr>
              <w:t>83</w:t>
            </w:r>
          </w:p>
        </w:tc>
        <w:tc>
          <w:tcPr>
            <w:tcW w:type="dxa" w:w="780"/>
          </w:tcPr>
          <w:p>
            <w:pPr>
              <w:pStyle w:val="OLtablecontents"/>
            </w:pPr>
            <w:r/>
            <w:r>
              <w:rPr>
                <w:sz w:val="16"/>
              </w:rPr>
              <w:t>0.667</w:t>
            </w:r>
          </w:p>
        </w:tc>
        <w:tc>
          <w:tcPr>
            <w:tcW w:type="dxa" w:w="780"/>
          </w:tcPr>
          <w:p>
            <w:pPr>
              <w:pStyle w:val="OLtablecontents"/>
            </w:pPr>
            <w:r/>
            <w:r>
              <w:rPr>
                <w:sz w:val="16"/>
              </w:rPr>
              <w:t>0.650</w:t>
            </w:r>
          </w:p>
        </w:tc>
        <w:tc>
          <w:tcPr>
            <w:tcW w:type="dxa" w:w="780"/>
          </w:tcPr>
          <w:p>
            <w:pPr>
              <w:pStyle w:val="OLtablecontents"/>
            </w:pPr>
            <w:r/>
            <w:r>
              <w:rPr>
                <w:sz w:val="16"/>
              </w:rPr>
              <w:t>0.597</w:t>
            </w:r>
          </w:p>
        </w:tc>
        <w:tc>
          <w:tcPr>
            <w:tcW w:type="dxa" w:w="780"/>
          </w:tcPr>
          <w:p>
            <w:pPr>
              <w:pStyle w:val="OLtablecontents"/>
            </w:pPr>
            <w:r/>
            <w:r>
              <w:rPr>
                <w:sz w:val="16"/>
              </w:rPr>
              <w:t>0.622</w:t>
            </w:r>
          </w:p>
        </w:tc>
        <w:tc>
          <w:tcPr>
            <w:tcW w:type="dxa" w:w="780"/>
          </w:tcPr>
          <w:p>
            <w:pPr>
              <w:pStyle w:val="OLtablecontents"/>
            </w:pPr>
            <w:r/>
            <w:r>
              <w:rPr>
                <w:sz w:val="16"/>
              </w:rPr>
              <w:t>0.673</w:t>
            </w:r>
          </w:p>
        </w:tc>
      </w:tr>
      <w:tr>
        <w:tc>
          <w:tcPr>
            <w:tcW w:type="dxa" w:w="780"/>
          </w:tcPr>
          <w:p>
            <w:pPr>
              <w:pStyle w:val="OLtablecontents"/>
            </w:pPr>
            <w:r/>
            <w:r>
              <w:rPr>
                <w:sz w:val="16"/>
              </w:rPr>
              <w:t>Sa'dan Toraja</w:t>
            </w:r>
          </w:p>
        </w:tc>
        <w:tc>
          <w:tcPr>
            <w:tcW w:type="dxa" w:w="780"/>
          </w:tcPr>
          <w:p>
            <w:pPr>
              <w:pStyle w:val="OLtablecontents"/>
            </w:pPr>
            <w:r/>
            <w:r>
              <w:rPr>
                <w:sz w:val="16"/>
              </w:rPr>
              <w:t>216</w:t>
            </w:r>
          </w:p>
        </w:tc>
        <w:tc>
          <w:tcPr>
            <w:tcW w:type="dxa" w:w="780"/>
          </w:tcPr>
          <w:p>
            <w:pPr>
              <w:pStyle w:val="OLtablecontents"/>
            </w:pPr>
            <w:r/>
            <w:r>
              <w:rPr>
                <w:sz w:val="16"/>
              </w:rPr>
              <w:t>45</w:t>
            </w:r>
          </w:p>
        </w:tc>
        <w:tc>
          <w:tcPr>
            <w:tcW w:type="dxa" w:w="780"/>
          </w:tcPr>
          <w:p>
            <w:pPr>
              <w:pStyle w:val="OLtablecontents"/>
            </w:pPr>
            <w:r/>
            <w:r>
              <w:rPr>
                <w:sz w:val="16"/>
              </w:rPr>
              <w:t>0.697</w:t>
            </w:r>
          </w:p>
        </w:tc>
        <w:tc>
          <w:tcPr>
            <w:tcW w:type="dxa" w:w="780"/>
          </w:tcPr>
          <w:p>
            <w:pPr>
              <w:pStyle w:val="OLtablecontents"/>
            </w:pPr>
            <w:r/>
            <w:r>
              <w:rPr>
                <w:sz w:val="16"/>
              </w:rPr>
              <w:t>0.759</w:t>
            </w:r>
          </w:p>
        </w:tc>
        <w:tc>
          <w:tcPr>
            <w:tcW w:type="dxa" w:w="780"/>
          </w:tcPr>
          <w:p>
            <w:pPr>
              <w:pStyle w:val="OLtablecontents"/>
            </w:pPr>
            <w:r/>
            <w:r>
              <w:rPr>
                <w:sz w:val="16"/>
              </w:rPr>
              <w:t>0.604</w:t>
            </w:r>
          </w:p>
        </w:tc>
        <w:tc>
          <w:tcPr>
            <w:tcW w:type="dxa" w:w="780"/>
          </w:tcPr>
          <w:p>
            <w:pPr>
              <w:pStyle w:val="OLtablecontents"/>
            </w:pPr>
            <w:r/>
            <w:r>
              <w:rPr>
                <w:sz w:val="16"/>
              </w:rPr>
              <w:t>0.736</w:t>
            </w:r>
          </w:p>
        </w:tc>
        <w:tc>
          <w:tcPr>
            <w:tcW w:type="dxa" w:w="780"/>
          </w:tcPr>
          <w:p>
            <w:pPr>
              <w:pStyle w:val="OLtablecontents"/>
            </w:pPr>
            <w:r/>
            <w:r>
              <w:rPr>
                <w:sz w:val="16"/>
              </w:rPr>
              <w:t>0.792</w:t>
            </w:r>
          </w:p>
        </w:tc>
      </w:tr>
      <w:tr>
        <w:tc>
          <w:tcPr>
            <w:tcW w:type="dxa" w:w="780"/>
          </w:tcPr>
          <w:p>
            <w:pPr>
              <w:pStyle w:val="OLtablecontents"/>
            </w:pPr>
            <w:r/>
            <w:r>
              <w:rPr>
                <w:sz w:val="16"/>
              </w:rPr>
              <w:t>Tolaki</w:t>
            </w:r>
          </w:p>
        </w:tc>
        <w:tc>
          <w:tcPr>
            <w:tcW w:type="dxa" w:w="780"/>
          </w:tcPr>
          <w:p>
            <w:pPr>
              <w:pStyle w:val="OLtablecontents"/>
            </w:pPr>
            <w:r/>
            <w:r>
              <w:rPr>
                <w:sz w:val="16"/>
              </w:rPr>
              <w:t>209</w:t>
            </w:r>
          </w:p>
        </w:tc>
        <w:tc>
          <w:tcPr>
            <w:tcW w:type="dxa" w:w="780"/>
          </w:tcPr>
          <w:p>
            <w:pPr>
              <w:pStyle w:val="OLtablecontents"/>
            </w:pPr>
            <w:r/>
            <w:r>
              <w:rPr>
                <w:sz w:val="16"/>
              </w:rPr>
              <w:t>134</w:t>
            </w:r>
          </w:p>
        </w:tc>
        <w:tc>
          <w:tcPr>
            <w:tcW w:type="dxa" w:w="780"/>
          </w:tcPr>
          <w:p>
            <w:pPr>
              <w:pStyle w:val="OLtablecontents"/>
            </w:pPr>
            <w:r/>
            <w:r>
              <w:rPr>
                <w:sz w:val="16"/>
              </w:rPr>
              <w:t>0.809</w:t>
            </w:r>
          </w:p>
        </w:tc>
        <w:tc>
          <w:tcPr>
            <w:tcW w:type="dxa" w:w="780"/>
          </w:tcPr>
          <w:p>
            <w:pPr>
              <w:pStyle w:val="OLtablecontents"/>
            </w:pPr>
            <w:r/>
            <w:r>
              <w:rPr>
                <w:sz w:val="16"/>
              </w:rPr>
              <w:t>0.498</w:t>
            </w:r>
          </w:p>
        </w:tc>
        <w:tc>
          <w:tcPr>
            <w:tcW w:type="dxa" w:w="780"/>
          </w:tcPr>
          <w:p>
            <w:pPr>
              <w:pStyle w:val="OLtablecontents"/>
            </w:pPr>
            <w:r/>
            <w:r>
              <w:rPr>
                <w:sz w:val="16"/>
              </w:rPr>
              <w:t>0.760</w:t>
            </w:r>
          </w:p>
        </w:tc>
        <w:tc>
          <w:tcPr>
            <w:tcW w:type="dxa" w:w="780"/>
          </w:tcPr>
          <w:p>
            <w:pPr>
              <w:pStyle w:val="OLtablecontents"/>
            </w:pPr>
            <w:r/>
            <w:r>
              <w:rPr>
                <w:sz w:val="16"/>
              </w:rPr>
              <w:t>0.426</w:t>
            </w:r>
          </w:p>
        </w:tc>
        <w:tc>
          <w:tcPr>
            <w:tcW w:type="dxa" w:w="780"/>
          </w:tcPr>
          <w:p>
            <w:pPr>
              <w:pStyle w:val="OLtablecontents"/>
            </w:pPr>
            <w:r/>
            <w:r>
              <w:rPr>
                <w:sz w:val="16"/>
              </w:rPr>
              <w:t>0.641</w:t>
            </w:r>
          </w:p>
        </w:tc>
      </w:tr>
      <w:tr>
        <w:tc>
          <w:tcPr>
            <w:tcW w:type="dxa" w:w="780"/>
          </w:tcPr>
          <w:p>
            <w:pPr>
              <w:pStyle w:val="OLtablecontents"/>
            </w:pPr>
            <w:r/>
            <w:r>
              <w:rPr>
                <w:sz w:val="16"/>
              </w:rPr>
              <w:t>Mean (standard deviation) over the six lists</w:t>
            </w:r>
          </w:p>
        </w:tc>
        <w:tc>
          <w:tcPr>
            <w:tcW w:type="dxa" w:w="780"/>
          </w:tcPr>
          <w:p>
            <w:pPr>
              <w:pStyle w:val="OLtablecontents"/>
            </w:pPr>
            <w:r/>
          </w:p>
        </w:tc>
        <w:tc>
          <w:tcPr>
            <w:tcW w:type="dxa" w:w="780"/>
          </w:tcPr>
          <w:p>
            <w:pPr>
              <w:pStyle w:val="OLtablecontents"/>
            </w:pPr>
            <w:r/>
          </w:p>
        </w:tc>
        <w:tc>
          <w:tcPr>
            <w:tcW w:type="dxa" w:w="780"/>
          </w:tcPr>
          <w:p>
            <w:pPr>
              <w:pStyle w:val="OLtablecontents"/>
            </w:pPr>
            <w:r/>
            <w:r>
              <w:rPr>
                <w:sz w:val="16"/>
              </w:rPr>
              <w:t>0.701 (0.059)</w:t>
            </w:r>
          </w:p>
        </w:tc>
        <w:tc>
          <w:tcPr>
            <w:tcW w:type="dxa" w:w="780"/>
          </w:tcPr>
          <w:p>
            <w:pPr>
              <w:pStyle w:val="OLtablecontents"/>
            </w:pPr>
            <w:r/>
          </w:p>
        </w:tc>
        <w:tc>
          <w:tcPr>
            <w:tcW w:type="dxa" w:w="780"/>
          </w:tcPr>
          <w:p>
            <w:pPr>
              <w:pStyle w:val="OLtablecontents"/>
            </w:pPr>
            <w:r/>
            <w:r>
              <w:rPr>
                <w:sz w:val="16"/>
              </w:rPr>
              <w:t>0.641 (0.061)</w:t>
            </w:r>
          </w:p>
        </w:tc>
        <w:tc>
          <w:tcPr>
            <w:tcW w:type="dxa" w:w="780"/>
          </w:tcPr>
          <w:p>
            <w:pPr>
              <w:pStyle w:val="OLtablecontents"/>
            </w:pPr>
            <w:r/>
          </w:p>
        </w:tc>
        <w:tc>
          <w:tcPr>
            <w:tcW w:type="dxa" w:w="780"/>
          </w:tcPr>
          <w:p>
            <w:pPr>
              <w:pStyle w:val="OLtablecontents"/>
            </w:pPr>
            <w:r/>
          </w:p>
        </w:tc>
      </w:tr>
    </w:tbl>
    <w:p>
      <w:pPr>
        <w:pStyle w:val="OLtext"/>
      </w:pPr>
      <w:r>
        <w:rPr>
          <w:sz w:val="16"/>
        </w:rPr>
        <w:t>Note. F+M = form and meaning inputs (25); F = form inputs only (17); Majority = accuracy of the majority answer for that list. Figure 4 plots the two AUC columns.</w:t>
      </w:r>
    </w:p>
    <w:p>
      <w:pPr>
        <w:pStyle w:val="OL3ptseparator"/>
      </w:pPr>
    </w:p>
    <w:p>
      <w:pPr>
        <w:pStyle w:val="OLcaption"/>
      </w:pPr>
      <w:r>
        <w:t>FIGURE 4. AUC FOR A HELD-OUT LIST, BY INPUT SET, WITH THE CHANCE LINE AT 0.5 (THE AUC COLUMNS OF TABLE 4)</w:t>
      </w:r>
    </w:p>
    <w:p>
      <w:pPr>
        <w:pStyle w:val="OLtext"/>
      </w:pPr>
      <w:r>
        <w:rPr>
          <w:highlight w:val="yellow"/>
        </w:rPr>
        <w:t>[Figure 4 about here — separate file]</w:t>
      </w:r>
    </w:p>
    <w:p>
      <w:pPr>
        <w:pStyle w:val="OL3ptseparator"/>
      </w:pPr>
    </w:p>
    <w:p>
      <w:pPr>
        <w:pStyle w:val="OLtextindented"/>
      </w:pPr>
      <w:r>
        <w:t>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difference of −0.025).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p>
    <w:p>
      <w:pPr>
        <w:pStyle w:val="OLheadingB-level"/>
      </w:pPr>
      <w:r>
        <w:t>What distinguishes them.</w:t>
      </w:r>
    </w:p>
    <w:p>
      <w:pPr>
        <w:pStyle w:val="OLtext"/>
      </w:pPr>
      <w:r>
        <w:t>Table 5 gives, for each input that matters, its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These properties are correlated with one another and are one bundle, not ten separate findings.</w:t>
      </w:r>
    </w:p>
    <w:p>
      <w:pPr>
        <w:pStyle w:val="OLcaption"/>
      </w:pPr>
      <w:r>
        <w:t>TABLE 5. THE PROFILE: UNCODED AGAINST CODED FORMS, WITHIN LISTS</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Property</w:t>
            </w:r>
          </w:p>
        </w:tc>
        <w:tc>
          <w:tcPr>
            <w:tcW w:type="dxa" w:w="891"/>
          </w:tcPr>
          <w:p>
            <w:pPr>
              <w:pStyle w:val="OLtablecolumnheading"/>
            </w:pPr>
            <w:r/>
            <w:r>
              <w:rPr>
                <w:b/>
                <w:sz w:val="16"/>
              </w:rPr>
              <w:t>Uncoded</w:t>
            </w:r>
          </w:p>
        </w:tc>
        <w:tc>
          <w:tcPr>
            <w:tcW w:type="dxa" w:w="891"/>
          </w:tcPr>
          <w:p>
            <w:pPr>
              <w:pStyle w:val="OLtablecolumnheading"/>
            </w:pPr>
            <w:r/>
            <w:r>
              <w:rPr>
                <w:b/>
                <w:sz w:val="16"/>
              </w:rPr>
              <w:t>Coded</w:t>
            </w:r>
          </w:p>
        </w:tc>
        <w:tc>
          <w:tcPr>
            <w:tcW w:type="dxa" w:w="891"/>
          </w:tcPr>
          <w:p>
            <w:pPr>
              <w:pStyle w:val="OLtablecolumnheading"/>
            </w:pPr>
            <w:r/>
            <w:r>
              <w:rPr>
                <w:b/>
                <w:sz w:val="16"/>
              </w:rPr>
              <w:t>Same sign (of 6)</w:t>
            </w:r>
          </w:p>
        </w:tc>
        <w:tc>
          <w:tcPr>
            <w:tcW w:type="dxa" w:w="891"/>
          </w:tcPr>
          <w:p>
            <w:pPr>
              <w:pStyle w:val="OLtablecolumnheading"/>
            </w:pPr>
            <w:r/>
            <w:r>
              <w:rPr>
                <w:b/>
                <w:sz w:val="16"/>
              </w:rPr>
              <w:t>Effect type</w:t>
            </w:r>
          </w:p>
        </w:tc>
        <w:tc>
          <w:tcPr>
            <w:tcW w:type="dxa" w:w="891"/>
          </w:tcPr>
          <w:p>
            <w:pPr>
              <w:pStyle w:val="OLtablecolumnheading"/>
            </w:pPr>
            <w:r/>
            <w:r>
              <w:rPr>
                <w:b/>
                <w:sz w:val="16"/>
              </w:rPr>
              <w:t>Effect [95% CI]</w:t>
            </w:r>
          </w:p>
        </w:tc>
        <w:tc>
          <w:tcPr>
            <w:tcW w:type="dxa" w:w="891"/>
          </w:tcPr>
          <w:p>
            <w:pPr>
              <w:pStyle w:val="OLtablecolumnheading"/>
            </w:pPr>
            <w:r/>
            <w:r>
              <w:rPr>
                <w:b/>
                <w:sz w:val="16"/>
              </w:rPr>
              <w:t>At equal letter count §</w:t>
            </w:r>
          </w:p>
        </w:tc>
      </w:tr>
      <w:tr>
        <w:tc>
          <w:tcPr>
            <w:tcW w:type="dxa" w:w="891"/>
          </w:tcPr>
          <w:p>
            <w:pPr>
              <w:pStyle w:val="OLtablecontents"/>
            </w:pPr>
            <w:r/>
            <w:r>
              <w:rPr>
                <w:sz w:val="16"/>
              </w:rPr>
              <w:t>Length in characters (hyphens, spaces and glottal marks included)</w:t>
            </w:r>
          </w:p>
        </w:tc>
        <w:tc>
          <w:tcPr>
            <w:tcW w:type="dxa" w:w="891"/>
          </w:tcPr>
          <w:p>
            <w:pPr>
              <w:pStyle w:val="OLtablecontents"/>
            </w:pPr>
            <w:r/>
            <w:r>
              <w:rPr>
                <w:sz w:val="16"/>
              </w:rPr>
              <w:t>6.10</w:t>
            </w:r>
          </w:p>
        </w:tc>
        <w:tc>
          <w:tcPr>
            <w:tcW w:type="dxa" w:w="891"/>
          </w:tcPr>
          <w:p>
            <w:pPr>
              <w:pStyle w:val="OLtablecontents"/>
            </w:pPr>
            <w:r/>
            <w:r>
              <w:rPr>
                <w:sz w:val="16"/>
              </w:rPr>
              <w:t>5.20</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+1.09 [0.87, 1.32]</w:t>
            </w:r>
          </w:p>
        </w:tc>
        <w:tc>
          <w:tcPr>
            <w:tcW w:type="dxa" w:w="891"/>
          </w:tcPr>
          <w:p>
            <w:pPr>
              <w:pStyle w:val="OLtablecontents"/>
            </w:pPr>
            <w:r/>
            <w:r>
              <w:rPr>
                <w:sz w:val="16"/>
              </w:rPr>
              <w:t>—</w:t>
            </w:r>
          </w:p>
        </w:tc>
      </w:tr>
      <w:tr>
        <w:tc>
          <w:tcPr>
            <w:tcW w:type="dxa" w:w="891"/>
          </w:tcPr>
          <w:p>
            <w:pPr>
              <w:pStyle w:val="OLtablecontents"/>
            </w:pPr>
            <w:r/>
            <w:r>
              <w:rPr>
                <w:sz w:val="16"/>
              </w:rPr>
              <w:t>Number of vowel letters</w:t>
            </w:r>
          </w:p>
        </w:tc>
        <w:tc>
          <w:tcPr>
            <w:tcW w:type="dxa" w:w="891"/>
          </w:tcPr>
          <w:p>
            <w:pPr>
              <w:pStyle w:val="OLtablecontents"/>
            </w:pPr>
            <w:r/>
            <w:r>
              <w:rPr>
                <w:sz w:val="16"/>
              </w:rPr>
              <w:t>2.88</w:t>
            </w:r>
          </w:p>
        </w:tc>
        <w:tc>
          <w:tcPr>
            <w:tcW w:type="dxa" w:w="891"/>
          </w:tcPr>
          <w:p>
            <w:pPr>
              <w:pStyle w:val="OLtablecontents"/>
            </w:pPr>
            <w:r/>
            <w:r>
              <w:rPr>
                <w:sz w:val="16"/>
              </w:rPr>
              <w:t>2.54</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+0.39 [0.30, 0.49]</w:t>
            </w:r>
          </w:p>
        </w:tc>
        <w:tc>
          <w:tcPr>
            <w:tcW w:type="dxa" w:w="891"/>
          </w:tcPr>
          <w:p>
            <w:pPr>
              <w:pStyle w:val="OLtablecontents"/>
            </w:pPr>
            <w:r/>
            <w:r>
              <w:rPr>
                <w:sz w:val="16"/>
              </w:rPr>
              <w:t>—</w:t>
            </w:r>
          </w:p>
        </w:tc>
      </w:tr>
      <w:tr>
        <w:tc>
          <w:tcPr>
            <w:tcW w:type="dxa" w:w="891"/>
          </w:tcPr>
          <w:p>
            <w:pPr>
              <w:pStyle w:val="OLtablecontents"/>
            </w:pPr>
            <w:r/>
            <w:r>
              <w:rPr>
                <w:sz w:val="16"/>
              </w:rPr>
              <w:t>Consonant-letter clusters</w:t>
            </w:r>
          </w:p>
        </w:tc>
        <w:tc>
          <w:tcPr>
            <w:tcW w:type="dxa" w:w="891"/>
          </w:tcPr>
          <w:p>
            <w:pPr>
              <w:pStyle w:val="OLtablecontents"/>
            </w:pPr>
            <w:r/>
            <w:r>
              <w:rPr>
                <w:sz w:val="16"/>
              </w:rPr>
              <w:t>0.48</w:t>
            </w:r>
          </w:p>
        </w:tc>
        <w:tc>
          <w:tcPr>
            <w:tcW w:type="dxa" w:w="891"/>
          </w:tcPr>
          <w:p>
            <w:pPr>
              <w:pStyle w:val="OLtablecontents"/>
            </w:pPr>
            <w:r/>
            <w:r>
              <w:rPr>
                <w:sz w:val="16"/>
              </w:rPr>
              <w:t>0.32</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+0.21 [0.14, 0.28]</w:t>
            </w:r>
          </w:p>
        </w:tc>
        <w:tc>
          <w:tcPr>
            <w:tcW w:type="dxa" w:w="891"/>
          </w:tcPr>
          <w:p>
            <w:pPr>
              <w:pStyle w:val="OLtablecontents"/>
            </w:pPr>
            <w:r/>
            <w:r>
              <w:rPr>
                <w:sz w:val="16"/>
              </w:rPr>
              <w:t>1.51 [1.09, 2.09]</w:t>
            </w:r>
          </w:p>
        </w:tc>
      </w:tr>
      <w:tr>
        <w:tc>
          <w:tcPr>
            <w:tcW w:type="dxa" w:w="891"/>
          </w:tcPr>
          <w:p>
            <w:pPr>
              <w:pStyle w:val="OLtablecontents"/>
            </w:pPr>
            <w:r/>
            <w:r>
              <w:rPr>
                <w:sz w:val="16"/>
              </w:rPr>
              <w:t>Glottal stop written (ʔ or ')</w:t>
            </w:r>
          </w:p>
        </w:tc>
        <w:tc>
          <w:tcPr>
            <w:tcW w:type="dxa" w:w="891"/>
          </w:tcPr>
          <w:p>
            <w:pPr>
              <w:pStyle w:val="OLtablecontents"/>
            </w:pPr>
            <w:r/>
            <w:r>
              <w:rPr>
                <w:sz w:val="16"/>
              </w:rPr>
              <w:t>23.5%</w:t>
            </w:r>
          </w:p>
        </w:tc>
        <w:tc>
          <w:tcPr>
            <w:tcW w:type="dxa" w:w="891"/>
          </w:tcPr>
          <w:p>
            <w:pPr>
              <w:pStyle w:val="OLtablecontents"/>
            </w:pPr>
            <w:r/>
            <w:r>
              <w:rPr>
                <w:sz w:val="16"/>
              </w:rPr>
              <w:t>11.6%</w:t>
            </w:r>
          </w:p>
        </w:tc>
        <w:tc>
          <w:tcPr>
            <w:tcW w:type="dxa" w:w="891"/>
          </w:tcPr>
          <w:p>
            <w:pPr>
              <w:pStyle w:val="OLtablecontents"/>
            </w:pPr>
            <w:r/>
            <w:r>
              <w:rPr>
                <w:sz w:val="16"/>
              </w:rPr>
              <w:t>5</w:t>
            </w:r>
          </w:p>
        </w:tc>
        <w:tc>
          <w:tcPr>
            <w:tcW w:type="dxa" w:w="891"/>
          </w:tcPr>
          <w:p>
            <w:pPr>
              <w:pStyle w:val="OLtablecontents"/>
            </w:pPr>
            <w:r/>
            <w:r>
              <w:rPr>
                <w:sz w:val="16"/>
              </w:rPr>
              <w:t>odds ratio ‡</w:t>
            </w:r>
          </w:p>
        </w:tc>
        <w:tc>
          <w:tcPr>
            <w:tcW w:type="dxa" w:w="891"/>
          </w:tcPr>
          <w:p>
            <w:pPr>
              <w:pStyle w:val="OLtablecontents"/>
            </w:pPr>
            <w:r/>
            <w:r>
              <w:rPr>
                <w:sz w:val="16"/>
              </w:rPr>
              <w:t>2.67 [1.88, 3.79]</w:t>
            </w:r>
          </w:p>
        </w:tc>
        <w:tc>
          <w:tcPr>
            <w:tcW w:type="dxa" w:w="891"/>
          </w:tcPr>
          <w:p>
            <w:pPr>
              <w:pStyle w:val="OLtablecontents"/>
            </w:pPr>
            <w:r/>
            <w:r>
              <w:rPr>
                <w:sz w:val="16"/>
              </w:rPr>
              <w:t>2.60 [1.79, 3.76]</w:t>
            </w:r>
          </w:p>
        </w:tc>
      </w:tr>
      <w:tr>
        <w:tc>
          <w:tcPr>
            <w:tcW w:type="dxa" w:w="891"/>
          </w:tcPr>
          <w:p>
            <w:pPr>
              <w:pStyle w:val="OLtablecontents"/>
            </w:pPr>
            <w:r/>
            <w:r>
              <w:rPr>
                <w:sz w:val="16"/>
              </w:rPr>
              <w:t>Begins with ma, me, mo, pa, ka, ta, na, po or aŋ</w:t>
            </w:r>
          </w:p>
        </w:tc>
        <w:tc>
          <w:tcPr>
            <w:tcW w:type="dxa" w:w="891"/>
          </w:tcPr>
          <w:p>
            <w:pPr>
              <w:pStyle w:val="OLtablecontents"/>
            </w:pPr>
            <w:r/>
            <w:r>
              <w:rPr>
                <w:sz w:val="16"/>
              </w:rPr>
              <w:t>37.0%</w:t>
            </w:r>
          </w:p>
        </w:tc>
        <w:tc>
          <w:tcPr>
            <w:tcW w:type="dxa" w:w="891"/>
          </w:tcPr>
          <w:p>
            <w:pPr>
              <w:pStyle w:val="OLtablecontents"/>
            </w:pPr>
            <w:r/>
            <w:r>
              <w:rPr>
                <w:sz w:val="16"/>
              </w:rPr>
              <w:t>25.2%</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1.57 [1.20, 2.04]</w:t>
            </w:r>
          </w:p>
        </w:tc>
        <w:tc>
          <w:tcPr>
            <w:tcW w:type="dxa" w:w="891"/>
          </w:tcPr>
          <w:p>
            <w:pPr>
              <w:pStyle w:val="OLtablecontents"/>
            </w:pPr>
            <w:r/>
            <w:r>
              <w:rPr>
                <w:sz w:val="16"/>
              </w:rPr>
              <w:t>1.09 [0.80, 1.48]</w:t>
            </w:r>
          </w:p>
        </w:tc>
      </w:tr>
      <w:tr>
        <w:tc>
          <w:tcPr>
            <w:tcW w:type="dxa" w:w="891"/>
          </w:tcPr>
          <w:p>
            <w:pPr>
              <w:pStyle w:val="OLtablecontents"/>
            </w:pPr>
            <w:r/>
            <w:r>
              <w:rPr>
                <w:sz w:val="16"/>
              </w:rPr>
              <w:t>Contains ŋ or ng, or mb, nd, nj, mp, nk, nc, nt</w:t>
            </w:r>
          </w:p>
        </w:tc>
        <w:tc>
          <w:tcPr>
            <w:tcW w:type="dxa" w:w="891"/>
          </w:tcPr>
          <w:p>
            <w:pPr>
              <w:pStyle w:val="OLtablecontents"/>
            </w:pPr>
            <w:r/>
            <w:r>
              <w:rPr>
                <w:sz w:val="16"/>
              </w:rPr>
              <w:t>30.4%</w:t>
            </w:r>
          </w:p>
        </w:tc>
        <w:tc>
          <w:tcPr>
            <w:tcW w:type="dxa" w:w="891"/>
          </w:tcPr>
          <w:p>
            <w:pPr>
              <w:pStyle w:val="OLtablecontents"/>
            </w:pPr>
            <w:r/>
            <w:r>
              <w:rPr>
                <w:sz w:val="16"/>
              </w:rPr>
              <w:t>23.7%</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1.55 [1.18, 2.04]</w:t>
            </w:r>
          </w:p>
        </w:tc>
        <w:tc>
          <w:tcPr>
            <w:tcW w:type="dxa" w:w="891"/>
          </w:tcPr>
          <w:p>
            <w:pPr>
              <w:pStyle w:val="OLtablecontents"/>
            </w:pPr>
            <w:r/>
            <w:r>
              <w:rPr>
                <w:sz w:val="16"/>
              </w:rPr>
              <w:t>0.95 [0.70, 1.30]</w:t>
            </w:r>
          </w:p>
        </w:tc>
      </w:tr>
      <w:tr>
        <w:tc>
          <w:tcPr>
            <w:tcW w:type="dxa" w:w="891"/>
          </w:tcPr>
          <w:p>
            <w:pPr>
              <w:pStyle w:val="OLtablecontents"/>
            </w:pPr>
            <w:r/>
            <w:r>
              <w:rPr>
                <w:sz w:val="16"/>
              </w:rPr>
              <w:t>Hyphen or repeated letter sequence</w:t>
            </w:r>
          </w:p>
        </w:tc>
        <w:tc>
          <w:tcPr>
            <w:tcW w:type="dxa" w:w="891"/>
          </w:tcPr>
          <w:p>
            <w:pPr>
              <w:pStyle w:val="OLtablecontents"/>
            </w:pPr>
            <w:r/>
            <w:r>
              <w:rPr>
                <w:sz w:val="16"/>
              </w:rPr>
              <w:t>11.9%</w:t>
            </w:r>
          </w:p>
        </w:tc>
        <w:tc>
          <w:tcPr>
            <w:tcW w:type="dxa" w:w="891"/>
          </w:tcPr>
          <w:p>
            <w:pPr>
              <w:pStyle w:val="OLtablecontents"/>
            </w:pPr>
            <w:r/>
            <w:r>
              <w:rPr>
                <w:sz w:val="16"/>
              </w:rPr>
              <w:t>9.8%</w:t>
            </w:r>
          </w:p>
        </w:tc>
        <w:tc>
          <w:tcPr>
            <w:tcW w:type="dxa" w:w="891"/>
          </w:tcPr>
          <w:p>
            <w:pPr>
              <w:pStyle w:val="OLtablecontents"/>
            </w:pPr>
            <w:r/>
            <w:r>
              <w:rPr>
                <w:sz w:val="16"/>
              </w:rPr>
              <w:t>5</w:t>
            </w:r>
          </w:p>
        </w:tc>
        <w:tc>
          <w:tcPr>
            <w:tcW w:type="dxa" w:w="891"/>
          </w:tcPr>
          <w:p>
            <w:pPr>
              <w:pStyle w:val="OLtablecontents"/>
            </w:pPr>
            <w:r/>
            <w:r>
              <w:rPr>
                <w:sz w:val="16"/>
              </w:rPr>
              <w:t>odds ratio ‡</w:t>
            </w:r>
          </w:p>
        </w:tc>
        <w:tc>
          <w:tcPr>
            <w:tcW w:type="dxa" w:w="891"/>
          </w:tcPr>
          <w:p>
            <w:pPr>
              <w:pStyle w:val="OLtablecontents"/>
            </w:pPr>
            <w:r/>
            <w:r>
              <w:rPr>
                <w:sz w:val="16"/>
              </w:rPr>
              <w:t>1.68 [1.12, 2.51]</w:t>
            </w:r>
          </w:p>
        </w:tc>
        <w:tc>
          <w:tcPr>
            <w:tcW w:type="dxa" w:w="891"/>
          </w:tcPr>
          <w:p>
            <w:pPr>
              <w:pStyle w:val="OLtablecontents"/>
            </w:pPr>
            <w:r/>
            <w:r>
              <w:rPr>
                <w:sz w:val="16"/>
              </w:rPr>
              <w:t>—</w:t>
            </w:r>
          </w:p>
        </w:tc>
      </w:tr>
      <w:tr>
        <w:tc>
          <w:tcPr>
            <w:tcW w:type="dxa" w:w="891"/>
          </w:tcPr>
          <w:p>
            <w:pPr>
              <w:pStyle w:val="OLtablecontents"/>
            </w:pPr>
            <w:r/>
            <w:r>
              <w:rPr>
                <w:sz w:val="16"/>
              </w:rPr>
              <w:t>Ends in a vowel</w:t>
            </w:r>
          </w:p>
        </w:tc>
        <w:tc>
          <w:tcPr>
            <w:tcW w:type="dxa" w:w="891"/>
          </w:tcPr>
          <w:p>
            <w:pPr>
              <w:pStyle w:val="OLtablecontents"/>
            </w:pPr>
            <w:r/>
            <w:r>
              <w:rPr>
                <w:sz w:val="16"/>
              </w:rPr>
              <w:t>78.5%</w:t>
            </w:r>
          </w:p>
        </w:tc>
        <w:tc>
          <w:tcPr>
            <w:tcW w:type="dxa" w:w="891"/>
          </w:tcPr>
          <w:p>
            <w:pPr>
              <w:pStyle w:val="OLtablecontents"/>
            </w:pPr>
            <w:r/>
            <w:r>
              <w:rPr>
                <w:sz w:val="16"/>
              </w:rPr>
              <w:t>79.2%</w:t>
            </w:r>
          </w:p>
        </w:tc>
        <w:tc>
          <w:tcPr>
            <w:tcW w:type="dxa" w:w="891"/>
          </w:tcPr>
          <w:p>
            <w:pPr>
              <w:pStyle w:val="OLtablecontents"/>
            </w:pPr>
            <w:r/>
            <w:r>
              <w:rPr>
                <w:sz w:val="16"/>
              </w:rPr>
              <w:t>3</w:t>
            </w:r>
          </w:p>
        </w:tc>
        <w:tc>
          <w:tcPr>
            <w:tcW w:type="dxa" w:w="891"/>
          </w:tcPr>
          <w:p>
            <w:pPr>
              <w:pStyle w:val="OLtablecontents"/>
            </w:pPr>
            <w:r/>
            <w:r>
              <w:rPr>
                <w:sz w:val="16"/>
              </w:rPr>
              <w:t>odds ratio ‡</w:t>
            </w:r>
          </w:p>
        </w:tc>
        <w:tc>
          <w:tcPr>
            <w:tcW w:type="dxa" w:w="891"/>
          </w:tcPr>
          <w:p>
            <w:pPr>
              <w:pStyle w:val="OLtablecontents"/>
            </w:pPr>
            <w:r/>
            <w:r>
              <w:rPr>
                <w:sz w:val="16"/>
              </w:rPr>
              <w:t>0.66 [0.47, 0.93]</w:t>
            </w:r>
          </w:p>
        </w:tc>
        <w:tc>
          <w:tcPr>
            <w:tcW w:type="dxa" w:w="891"/>
          </w:tcPr>
          <w:p>
            <w:pPr>
              <w:pStyle w:val="OLtablecontents"/>
            </w:pPr>
            <w:r/>
            <w:r>
              <w:rPr>
                <w:sz w:val="16"/>
              </w:rPr>
              <w:t>—</w:t>
            </w:r>
          </w:p>
        </w:tc>
      </w:tr>
      <w:tr>
        <w:tc>
          <w:tcPr>
            <w:tcW w:type="dxa" w:w="891"/>
          </w:tcPr>
          <w:p>
            <w:pPr>
              <w:pStyle w:val="OLtablecontents"/>
            </w:pPr>
            <w:r/>
            <w:r>
              <w:rPr>
                <w:sz w:val="16"/>
              </w:rPr>
              <w:t>Meaning: action</w:t>
            </w:r>
          </w:p>
        </w:tc>
        <w:tc>
          <w:tcPr>
            <w:tcW w:type="dxa" w:w="891"/>
          </w:tcPr>
          <w:p>
            <w:pPr>
              <w:pStyle w:val="OLtablecontents"/>
            </w:pPr>
            <w:r/>
            <w:r>
              <w:rPr>
                <w:sz w:val="16"/>
              </w:rPr>
              <w:t>40.4%</w:t>
            </w:r>
          </w:p>
        </w:tc>
        <w:tc>
          <w:tcPr>
            <w:tcW w:type="dxa" w:w="891"/>
          </w:tcPr>
          <w:p>
            <w:pPr>
              <w:pStyle w:val="OLtablecontents"/>
            </w:pPr>
            <w:r/>
            <w:r>
              <w:rPr>
                <w:sz w:val="16"/>
              </w:rPr>
              <w:t>23.4%</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2.46 [1.89, 3.20]</w:t>
            </w:r>
          </w:p>
        </w:tc>
        <w:tc>
          <w:tcPr>
            <w:tcW w:type="dxa" w:w="891"/>
          </w:tcPr>
          <w:p>
            <w:pPr>
              <w:pStyle w:val="OLtablecontents"/>
            </w:pPr>
            <w:r/>
            <w:r>
              <w:rPr>
                <w:sz w:val="16"/>
              </w:rPr>
              <w:t>2.22 [1.67, 2.95]</w:t>
            </w:r>
          </w:p>
        </w:tc>
      </w:tr>
      <w:tr>
        <w:tc>
          <w:tcPr>
            <w:tcW w:type="dxa" w:w="891"/>
          </w:tcPr>
          <w:p>
            <w:pPr>
              <w:pStyle w:val="OLtablecontents"/>
            </w:pPr>
            <w:r/>
            <w:r>
              <w:rPr>
                <w:sz w:val="16"/>
              </w:rPr>
              <w:t>Meaning in the "core" set (174 of 210)</w:t>
            </w:r>
          </w:p>
        </w:tc>
        <w:tc>
          <w:tcPr>
            <w:tcW w:type="dxa" w:w="891"/>
          </w:tcPr>
          <w:p>
            <w:pPr>
              <w:pStyle w:val="OLtablecontents"/>
            </w:pPr>
            <w:r/>
            <w:r>
              <w:rPr>
                <w:sz w:val="16"/>
              </w:rPr>
              <w:t>83.6%</w:t>
            </w:r>
          </w:p>
        </w:tc>
        <w:tc>
          <w:tcPr>
            <w:tcW w:type="dxa" w:w="891"/>
          </w:tcPr>
          <w:p>
            <w:pPr>
              <w:pStyle w:val="OLtablecontents"/>
            </w:pPr>
            <w:r/>
            <w:r>
              <w:rPr>
                <w:sz w:val="16"/>
              </w:rPr>
              <w:t>83.2%</w:t>
            </w:r>
          </w:p>
        </w:tc>
        <w:tc>
          <w:tcPr>
            <w:tcW w:type="dxa" w:w="891"/>
          </w:tcPr>
          <w:p>
            <w:pPr>
              <w:pStyle w:val="OLtablecontents"/>
            </w:pPr>
            <w:r/>
            <w:r>
              <w:rPr>
                <w:sz w:val="16"/>
              </w:rPr>
              <w:t>3</w:t>
            </w:r>
          </w:p>
        </w:tc>
        <w:tc>
          <w:tcPr>
            <w:tcW w:type="dxa" w:w="891"/>
          </w:tcPr>
          <w:p>
            <w:pPr>
              <w:pStyle w:val="OLtablecontents"/>
            </w:pPr>
            <w:r/>
            <w:r>
              <w:rPr>
                <w:sz w:val="16"/>
              </w:rPr>
              <w:t>odds ratio ‡</w:t>
            </w:r>
          </w:p>
        </w:tc>
        <w:tc>
          <w:tcPr>
            <w:tcW w:type="dxa" w:w="891"/>
          </w:tcPr>
          <w:p>
            <w:pPr>
              <w:pStyle w:val="OLtablecontents"/>
            </w:pPr>
            <w:r/>
            <w:r>
              <w:rPr>
                <w:sz w:val="16"/>
              </w:rPr>
              <w:t>1.04 [0.76, 1.43]</w:t>
            </w:r>
          </w:p>
        </w:tc>
        <w:tc>
          <w:tcPr>
            <w:tcW w:type="dxa" w:w="891"/>
          </w:tcPr>
          <w:p>
            <w:pPr>
              <w:pStyle w:val="OLtablecontents"/>
            </w:pPr>
            <w:r/>
            <w:r>
              <w:rPr>
                <w:sz w:val="16"/>
              </w:rPr>
              <w:t>—</w:t>
            </w:r>
          </w:p>
        </w:tc>
      </w:tr>
    </w:tbl>
    <w:p>
      <w:pPr>
        <w:pStyle w:val="OLtext"/>
      </w:pPr>
      <w:r>
        <w:rPr>
          <w:sz w:val="16"/>
        </w:rPr>
        <w:t>† Stratified mean difference (uncoded minus coded), equal list weights.</w:t>
      </w:r>
    </w:p>
    <w:p>
      <w:pPr>
        <w:pStyle w:val="OLtext"/>
      </w:pPr>
      <w:r>
        <w:rPr>
          <w:sz w:val="16"/>
        </w:rPr>
        <w:t>‡ Mantel-Haenszel odds ratio of being uncoded, stratified by list. CI = confidence interval.</w:t>
      </w:r>
    </w:p>
    <w:p>
      <w:pPr>
        <w:pStyle w:val="OLtext"/>
      </w:pPr>
      <w:r>
        <w:rPr>
          <w:sz w:val="16"/>
        </w:rPr>
        <w:t>§ Mantel-Haenszel odds ratio of being uncoded with the number of letters also held fixed (strata: list by letter count); for consonant-letter clusters the indicator "one or more clusters" is used.</w:t>
      </w:r>
    </w:p>
    <w:p>
      <w:pPr>
        <w:pStyle w:val="OL3ptseparator"/>
      </w:pPr>
    </w:p>
    <w:p>
      <w:pPr>
        <w:pStyle w:val="OLtextindented"/>
      </w:pP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glottal mark also held fixed the figure is 1.38 [0.98, 1.93].</w:t>
      </w:r>
    </w:p>
    <w:p>
      <w:pPr>
        <w:pStyle w:val="OLtextindented"/>
      </w:pPr>
      <w:r>
        <w:t>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give two answers, so the data neither show fewer onset strings nor establish more; a length criterion alone ("six letters or more") gives an odds ratio of 2.56 [1.98, 3.32]. The nasal input behaves in the same way: 30.4 against 23.7 percent as coded (1.55 [1.18, 2.04]), 21.0 against 12.7 percent for a strict nasal-plus-stop definition (2.05 [1.47, 2.84]), and 0.95 [0.70, 1.30] or 1.24 [0.84, 1.81] with letters held fixed. The hyphen-or-repetition input gives about the same estimate under every definition (1.68 [1.12, 2.51] as coded;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percent of the forms ending in another consonant and 39.3 percent of the forms ending in a glottal mark; with the glottal-final forms set aside the odds ratio is 0.91 [0.58, 1.44]. The core-set indicator does not differ (1.04 [0.76, 1.43]).</w:t>
      </w:r>
    </w:p>
    <w:p>
      <w:pPr>
        <w:pStyle w:val="OLtextindented"/>
      </w:pPr>
      <w:r>
        <w:t>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South Sulawesi lists, so the input also tells the model which list a form comes from, and the input overlaps with the glottal input. Which of the two accounts for the sign was not tested. Statements about the vocabulary in this paper rest on table 5, not on figure 1.</w:t>
      </w:r>
    </w:p>
    <w:p>
      <w:pPr>
        <w:pStyle w:val="OLcaption"/>
      </w:pPr>
      <w:r>
        <w:t>FIGURE 1. MEAN ABSOLUTE CONTRIBUTION OF EACH INPUT TO THE PREDICTIONS OF THE FULL MODEL (SHAP VALUES), WITH THE DIRECTION OF EACH INPUT'S EFFECT ON THE SCORE</w:t>
      </w:r>
    </w:p>
    <w:p>
      <w:pPr>
        <w:pStyle w:val="OLtext"/>
      </w:pPr>
      <w:r>
        <w:rPr>
          <w:highlight w:val="yellow"/>
        </w:rPr>
        <w:t>[Figure 1 about here — separate file]</w:t>
      </w:r>
    </w:p>
    <w:p>
      <w:pPr>
        <w:pStyle w:val="OL3ptseparator"/>
      </w:pPr>
    </w:p>
    <w:p>
      <w:pPr>
        <w:pStyle w:val="OLtextindented"/>
      </w:pP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p>
    <w:p>
      <w:pPr>
        <w:pStyle w:val="OLtextindented"/>
      </w:pP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 on the forms the model had been trained on and is withdrawn. Table 7 gives two examples for each cell, printed as ABVD records them with their set number, the PMP entry of the meaning and the nearest same-meaning form in another Sulawesi list by the screen. They are the forms the classifier scores most extremely, so they illustrate its inputs by construction; none has been assessed etymologically, and the nearest look-alike is a spelling match, not a cognate. The full table of 92 example rows (73 forms, coded and uncoded) and the scores of all 1,357 forms are in the released files.</w:t>
      </w:r>
    </w:p>
    <w:p>
      <w:pPr>
        <w:pStyle w:val="OLcaption"/>
      </w:pPr>
      <w:r>
        <w:t>TABLE 6. THE LABEL CROSSED WITH THE OUT-OF-SAMPLE SCORE OF THE FULL MODEL, BY LIST</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List</w:t>
            </w:r>
          </w:p>
        </w:tc>
        <w:tc>
          <w:tcPr>
            <w:tcW w:type="dxa" w:w="891"/>
          </w:tcPr>
          <w:p>
            <w:pPr>
              <w:pStyle w:val="OLtablecolumnheading"/>
            </w:pPr>
            <w:r/>
            <w:r>
              <w:rPr>
                <w:b/>
                <w:sz w:val="16"/>
              </w:rPr>
              <w:t>n</w:t>
            </w:r>
          </w:p>
        </w:tc>
        <w:tc>
          <w:tcPr>
            <w:tcW w:type="dxa" w:w="891"/>
          </w:tcPr>
          <w:p>
            <w:pPr>
              <w:pStyle w:val="OLtablecolumnheading"/>
            </w:pPr>
            <w:r/>
            <w:r>
              <w:rPr>
                <w:b/>
                <w:sz w:val="16"/>
              </w:rPr>
              <w:t>Uncoded, profile</w:t>
            </w:r>
          </w:p>
        </w:tc>
        <w:tc>
          <w:tcPr>
            <w:tcW w:type="dxa" w:w="891"/>
          </w:tcPr>
          <w:p>
            <w:pPr>
              <w:pStyle w:val="OLtablecolumnheading"/>
            </w:pPr>
            <w:r/>
            <w:r>
              <w:rPr>
                <w:b/>
                <w:sz w:val="16"/>
              </w:rPr>
              <w:t>Uncoded, no profile</w:t>
            </w:r>
          </w:p>
        </w:tc>
        <w:tc>
          <w:tcPr>
            <w:tcW w:type="dxa" w:w="891"/>
          </w:tcPr>
          <w:p>
            <w:pPr>
              <w:pStyle w:val="OLtablecolumnheading"/>
            </w:pPr>
            <w:r/>
            <w:r>
              <w:rPr>
                <w:b/>
                <w:sz w:val="16"/>
              </w:rPr>
              <w:t>Coded, profile</w:t>
            </w:r>
          </w:p>
        </w:tc>
        <w:tc>
          <w:tcPr>
            <w:tcW w:type="dxa" w:w="891"/>
          </w:tcPr>
          <w:p>
            <w:pPr>
              <w:pStyle w:val="OLtablecolumnheading"/>
            </w:pPr>
            <w:r/>
            <w:r>
              <w:rPr>
                <w:b/>
                <w:sz w:val="16"/>
              </w:rPr>
              <w:t>Coded, no profile</w:t>
            </w:r>
          </w:p>
        </w:tc>
        <w:tc>
          <w:tcPr>
            <w:tcW w:type="dxa" w:w="891"/>
          </w:tcPr>
          <w:p>
            <w:pPr>
              <w:pStyle w:val="OLtablecolumnheading"/>
            </w:pPr>
            <w:r/>
            <w:r>
              <w:rPr>
                <w:b/>
                <w:sz w:val="16"/>
              </w:rPr>
              <w:t>Kappa</w:t>
            </w:r>
          </w:p>
        </w:tc>
      </w:tr>
      <w:tr>
        <w:tc>
          <w:tcPr>
            <w:tcW w:type="dxa" w:w="891"/>
          </w:tcPr>
          <w:p>
            <w:pPr>
              <w:pStyle w:val="OLtablecontents"/>
            </w:pPr>
            <w:r/>
            <w:r>
              <w:rPr>
                <w:sz w:val="16"/>
              </w:rPr>
              <w:t>Muna</w:t>
            </w:r>
          </w:p>
        </w:tc>
        <w:tc>
          <w:tcPr>
            <w:tcW w:type="dxa" w:w="891"/>
          </w:tcPr>
          <w:p>
            <w:pPr>
              <w:pStyle w:val="OLtablecontents"/>
            </w:pPr>
            <w:r/>
            <w:r>
              <w:rPr>
                <w:sz w:val="16"/>
              </w:rPr>
              <w:t>219</w:t>
            </w:r>
          </w:p>
        </w:tc>
        <w:tc>
          <w:tcPr>
            <w:tcW w:type="dxa" w:w="891"/>
          </w:tcPr>
          <w:p>
            <w:pPr>
              <w:pStyle w:val="OLtablecontents"/>
            </w:pPr>
            <w:r/>
            <w:r>
              <w:rPr>
                <w:sz w:val="16"/>
              </w:rPr>
              <w:t>5</w:t>
            </w:r>
          </w:p>
        </w:tc>
        <w:tc>
          <w:tcPr>
            <w:tcW w:type="dxa" w:w="891"/>
          </w:tcPr>
          <w:p>
            <w:pPr>
              <w:pStyle w:val="OLtablecontents"/>
            </w:pPr>
            <w:r/>
            <w:r>
              <w:rPr>
                <w:sz w:val="16"/>
              </w:rPr>
              <w:t>29</w:t>
            </w:r>
          </w:p>
        </w:tc>
        <w:tc>
          <w:tcPr>
            <w:tcW w:type="dxa" w:w="891"/>
          </w:tcPr>
          <w:p>
            <w:pPr>
              <w:pStyle w:val="OLtablecontents"/>
            </w:pPr>
            <w:r/>
            <w:r>
              <w:rPr>
                <w:sz w:val="16"/>
              </w:rPr>
              <w:t>9</w:t>
            </w:r>
          </w:p>
        </w:tc>
        <w:tc>
          <w:tcPr>
            <w:tcW w:type="dxa" w:w="891"/>
          </w:tcPr>
          <w:p>
            <w:pPr>
              <w:pStyle w:val="OLtablecontents"/>
            </w:pPr>
            <w:r/>
            <w:r>
              <w:rPr>
                <w:sz w:val="16"/>
              </w:rPr>
              <w:t>176</w:t>
            </w:r>
          </w:p>
        </w:tc>
        <w:tc>
          <w:tcPr>
            <w:tcW w:type="dxa" w:w="891"/>
          </w:tcPr>
          <w:p>
            <w:pPr>
              <w:pStyle w:val="OLtablecontents"/>
            </w:pPr>
            <w:r/>
            <w:r>
              <w:rPr>
                <w:sz w:val="16"/>
              </w:rPr>
              <w:t>0.13</w:t>
            </w:r>
          </w:p>
        </w:tc>
      </w:tr>
      <w:tr>
        <w:tc>
          <w:tcPr>
            <w:tcW w:type="dxa" w:w="891"/>
          </w:tcPr>
          <w:p>
            <w:pPr>
              <w:pStyle w:val="OLtablecontents"/>
            </w:pPr>
            <w:r/>
            <w:r>
              <w:rPr>
                <w:sz w:val="16"/>
              </w:rPr>
              <w:t>Bugis</w:t>
            </w:r>
          </w:p>
        </w:tc>
        <w:tc>
          <w:tcPr>
            <w:tcW w:type="dxa" w:w="891"/>
          </w:tcPr>
          <w:p>
            <w:pPr>
              <w:pStyle w:val="OLtablecontents"/>
            </w:pPr>
            <w:r/>
            <w:r>
              <w:rPr>
                <w:sz w:val="16"/>
              </w:rPr>
              <w:t>242</w:t>
            </w:r>
          </w:p>
        </w:tc>
        <w:tc>
          <w:tcPr>
            <w:tcW w:type="dxa" w:w="891"/>
          </w:tcPr>
          <w:p>
            <w:pPr>
              <w:pStyle w:val="OLtablecontents"/>
            </w:pPr>
            <w:r/>
            <w:r>
              <w:rPr>
                <w:sz w:val="16"/>
              </w:rPr>
              <w:t>27</w:t>
            </w:r>
          </w:p>
        </w:tc>
        <w:tc>
          <w:tcPr>
            <w:tcW w:type="dxa" w:w="891"/>
          </w:tcPr>
          <w:p>
            <w:pPr>
              <w:pStyle w:val="OLtablecontents"/>
            </w:pPr>
            <w:r/>
            <w:r>
              <w:rPr>
                <w:sz w:val="16"/>
              </w:rPr>
              <w:t>35</w:t>
            </w:r>
          </w:p>
        </w:tc>
        <w:tc>
          <w:tcPr>
            <w:tcW w:type="dxa" w:w="891"/>
          </w:tcPr>
          <w:p>
            <w:pPr>
              <w:pStyle w:val="OLtablecontents"/>
            </w:pPr>
            <w:r/>
            <w:r>
              <w:rPr>
                <w:sz w:val="16"/>
              </w:rPr>
              <w:t>23</w:t>
            </w:r>
          </w:p>
        </w:tc>
        <w:tc>
          <w:tcPr>
            <w:tcW w:type="dxa" w:w="891"/>
          </w:tcPr>
          <w:p>
            <w:pPr>
              <w:pStyle w:val="OLtablecontents"/>
            </w:pPr>
            <w:r/>
            <w:r>
              <w:rPr>
                <w:sz w:val="16"/>
              </w:rPr>
              <w:t>157</w:t>
            </w:r>
          </w:p>
        </w:tc>
        <w:tc>
          <w:tcPr>
            <w:tcW w:type="dxa" w:w="891"/>
          </w:tcPr>
          <w:p>
            <w:pPr>
              <w:pStyle w:val="OLtablecontents"/>
            </w:pPr>
            <w:r/>
            <w:r>
              <w:rPr>
                <w:sz w:val="16"/>
              </w:rPr>
              <w:t>0.33</w:t>
            </w:r>
          </w:p>
        </w:tc>
      </w:tr>
      <w:tr>
        <w:tc>
          <w:tcPr>
            <w:tcW w:type="dxa" w:w="891"/>
          </w:tcPr>
          <w:p>
            <w:pPr>
              <w:pStyle w:val="OLtablecontents"/>
            </w:pPr>
            <w:r/>
            <w:r>
              <w:rPr>
                <w:sz w:val="16"/>
              </w:rPr>
              <w:t>Makasar</w:t>
            </w:r>
          </w:p>
        </w:tc>
        <w:tc>
          <w:tcPr>
            <w:tcW w:type="dxa" w:w="891"/>
          </w:tcPr>
          <w:p>
            <w:pPr>
              <w:pStyle w:val="OLtablecontents"/>
            </w:pPr>
            <w:r/>
            <w:r>
              <w:rPr>
                <w:sz w:val="16"/>
              </w:rPr>
              <w:t>217</w:t>
            </w:r>
          </w:p>
        </w:tc>
        <w:tc>
          <w:tcPr>
            <w:tcW w:type="dxa" w:w="891"/>
          </w:tcPr>
          <w:p>
            <w:pPr>
              <w:pStyle w:val="OLtablecontents"/>
            </w:pPr>
            <w:r/>
            <w:r>
              <w:rPr>
                <w:sz w:val="16"/>
              </w:rPr>
              <w:t>31</w:t>
            </w:r>
          </w:p>
        </w:tc>
        <w:tc>
          <w:tcPr>
            <w:tcW w:type="dxa" w:w="891"/>
          </w:tcPr>
          <w:p>
            <w:pPr>
              <w:pStyle w:val="OLtablecontents"/>
            </w:pPr>
            <w:r/>
            <w:r>
              <w:rPr>
                <w:sz w:val="16"/>
              </w:rPr>
              <w:t>49</w:t>
            </w:r>
          </w:p>
        </w:tc>
        <w:tc>
          <w:tcPr>
            <w:tcW w:type="dxa" w:w="891"/>
          </w:tcPr>
          <w:p>
            <w:pPr>
              <w:pStyle w:val="OLtablecontents"/>
            </w:pPr>
            <w:r/>
            <w:r>
              <w:rPr>
                <w:sz w:val="16"/>
              </w:rPr>
              <w:t>19</w:t>
            </w:r>
          </w:p>
        </w:tc>
        <w:tc>
          <w:tcPr>
            <w:tcW w:type="dxa" w:w="891"/>
          </w:tcPr>
          <w:p>
            <w:pPr>
              <w:pStyle w:val="OLtablecontents"/>
            </w:pPr>
            <w:r/>
            <w:r>
              <w:rPr>
                <w:sz w:val="16"/>
              </w:rPr>
              <w:t>118</w:t>
            </w:r>
          </w:p>
        </w:tc>
        <w:tc>
          <w:tcPr>
            <w:tcW w:type="dxa" w:w="891"/>
          </w:tcPr>
          <w:p>
            <w:pPr>
              <w:pStyle w:val="OLtablecontents"/>
            </w:pPr>
            <w:r/>
            <w:r>
              <w:rPr>
                <w:sz w:val="16"/>
              </w:rPr>
              <w:t>0.27</w:t>
            </w:r>
          </w:p>
        </w:tc>
      </w:tr>
      <w:tr>
        <w:tc>
          <w:tcPr>
            <w:tcW w:type="dxa" w:w="891"/>
          </w:tcPr>
          <w:p>
            <w:pPr>
              <w:pStyle w:val="OLtablecontents"/>
            </w:pPr>
            <w:r/>
            <w:r>
              <w:rPr>
                <w:sz w:val="16"/>
              </w:rPr>
              <w:t>Wolio</w:t>
            </w:r>
          </w:p>
        </w:tc>
        <w:tc>
          <w:tcPr>
            <w:tcW w:type="dxa" w:w="891"/>
          </w:tcPr>
          <w:p>
            <w:pPr>
              <w:pStyle w:val="OLtablecontents"/>
            </w:pPr>
            <w:r/>
            <w:r>
              <w:rPr>
                <w:sz w:val="16"/>
              </w:rPr>
              <w:t>254</w:t>
            </w:r>
          </w:p>
        </w:tc>
        <w:tc>
          <w:tcPr>
            <w:tcW w:type="dxa" w:w="891"/>
          </w:tcPr>
          <w:p>
            <w:pPr>
              <w:pStyle w:val="OLtablecontents"/>
            </w:pPr>
            <w:r/>
            <w:r>
              <w:rPr>
                <w:sz w:val="16"/>
              </w:rPr>
              <w:t>32</w:t>
            </w:r>
          </w:p>
        </w:tc>
        <w:tc>
          <w:tcPr>
            <w:tcW w:type="dxa" w:w="891"/>
          </w:tcPr>
          <w:p>
            <w:pPr>
              <w:pStyle w:val="OLtablecontents"/>
            </w:pPr>
            <w:r/>
            <w:r>
              <w:rPr>
                <w:sz w:val="16"/>
              </w:rPr>
              <w:t>51</w:t>
            </w:r>
          </w:p>
        </w:tc>
        <w:tc>
          <w:tcPr>
            <w:tcW w:type="dxa" w:w="891"/>
          </w:tcPr>
          <w:p>
            <w:pPr>
              <w:pStyle w:val="OLtablecontents"/>
            </w:pPr>
            <w:r/>
            <w:r>
              <w:rPr>
                <w:sz w:val="16"/>
              </w:rPr>
              <w:t>31</w:t>
            </w:r>
          </w:p>
        </w:tc>
        <w:tc>
          <w:tcPr>
            <w:tcW w:type="dxa" w:w="891"/>
          </w:tcPr>
          <w:p>
            <w:pPr>
              <w:pStyle w:val="OLtablecontents"/>
            </w:pPr>
            <w:r/>
            <w:r>
              <w:rPr>
                <w:sz w:val="16"/>
              </w:rPr>
              <w:t>140</w:t>
            </w:r>
          </w:p>
        </w:tc>
        <w:tc>
          <w:tcPr>
            <w:tcW w:type="dxa" w:w="891"/>
          </w:tcPr>
          <w:p>
            <w:pPr>
              <w:pStyle w:val="OLtablecontents"/>
            </w:pPr>
            <w:r/>
            <w:r>
              <w:rPr>
                <w:sz w:val="16"/>
              </w:rPr>
              <w:t>0.22</w:t>
            </w:r>
          </w:p>
        </w:tc>
      </w:tr>
      <w:tr>
        <w:tc>
          <w:tcPr>
            <w:tcW w:type="dxa" w:w="891"/>
          </w:tcPr>
          <w:p>
            <w:pPr>
              <w:pStyle w:val="OLtablecontents"/>
            </w:pPr>
            <w:r/>
            <w:r>
              <w:rPr>
                <w:sz w:val="16"/>
              </w:rPr>
              <w:t>Sa'dan Toraja</w:t>
            </w:r>
          </w:p>
        </w:tc>
        <w:tc>
          <w:tcPr>
            <w:tcW w:type="dxa" w:w="891"/>
          </w:tcPr>
          <w:p>
            <w:pPr>
              <w:pStyle w:val="OLtablecontents"/>
            </w:pPr>
            <w:r/>
            <w:r>
              <w:rPr>
                <w:sz w:val="16"/>
              </w:rPr>
              <w:t>216</w:t>
            </w:r>
          </w:p>
        </w:tc>
        <w:tc>
          <w:tcPr>
            <w:tcW w:type="dxa" w:w="891"/>
          </w:tcPr>
          <w:p>
            <w:pPr>
              <w:pStyle w:val="OLtablecontents"/>
            </w:pPr>
            <w:r/>
            <w:r>
              <w:rPr>
                <w:sz w:val="16"/>
              </w:rPr>
              <w:t>15</w:t>
            </w:r>
          </w:p>
        </w:tc>
        <w:tc>
          <w:tcPr>
            <w:tcW w:type="dxa" w:w="891"/>
          </w:tcPr>
          <w:p>
            <w:pPr>
              <w:pStyle w:val="OLtablecontents"/>
            </w:pPr>
            <w:r/>
            <w:r>
              <w:rPr>
                <w:sz w:val="16"/>
              </w:rPr>
              <w:t>30</w:t>
            </w:r>
          </w:p>
        </w:tc>
        <w:tc>
          <w:tcPr>
            <w:tcW w:type="dxa" w:w="891"/>
          </w:tcPr>
          <w:p>
            <w:pPr>
              <w:pStyle w:val="OLtablecontents"/>
            </w:pPr>
            <w:r/>
            <w:r>
              <w:rPr>
                <w:sz w:val="16"/>
              </w:rPr>
              <w:t>19</w:t>
            </w:r>
          </w:p>
        </w:tc>
        <w:tc>
          <w:tcPr>
            <w:tcW w:type="dxa" w:w="891"/>
          </w:tcPr>
          <w:p>
            <w:pPr>
              <w:pStyle w:val="OLtablecontents"/>
            </w:pPr>
            <w:r/>
            <w:r>
              <w:rPr>
                <w:sz w:val="16"/>
              </w:rPr>
              <w:t>152</w:t>
            </w:r>
          </w:p>
        </w:tc>
        <w:tc>
          <w:tcPr>
            <w:tcW w:type="dxa" w:w="891"/>
          </w:tcPr>
          <w:p>
            <w:pPr>
              <w:pStyle w:val="OLtablecontents"/>
            </w:pPr>
            <w:r/>
            <w:r>
              <w:rPr>
                <w:sz w:val="16"/>
              </w:rPr>
              <w:t>0.24</w:t>
            </w:r>
          </w:p>
        </w:tc>
      </w:tr>
      <w:tr>
        <w:tc>
          <w:tcPr>
            <w:tcW w:type="dxa" w:w="891"/>
          </w:tcPr>
          <w:p>
            <w:pPr>
              <w:pStyle w:val="OLtablecontents"/>
            </w:pPr>
            <w:r/>
            <w:r>
              <w:rPr>
                <w:sz w:val="16"/>
              </w:rPr>
              <w:t>Tolaki</w:t>
            </w:r>
          </w:p>
        </w:tc>
        <w:tc>
          <w:tcPr>
            <w:tcW w:type="dxa" w:w="891"/>
          </w:tcPr>
          <w:p>
            <w:pPr>
              <w:pStyle w:val="OLtablecontents"/>
            </w:pPr>
            <w:r/>
            <w:r>
              <w:rPr>
                <w:sz w:val="16"/>
              </w:rPr>
              <w:t>209</w:t>
            </w:r>
          </w:p>
        </w:tc>
        <w:tc>
          <w:tcPr>
            <w:tcW w:type="dxa" w:w="891"/>
          </w:tcPr>
          <w:p>
            <w:pPr>
              <w:pStyle w:val="OLtablecontents"/>
            </w:pPr>
            <w:r/>
            <w:r>
              <w:rPr>
                <w:sz w:val="16"/>
              </w:rPr>
              <w:t>62</w:t>
            </w:r>
          </w:p>
        </w:tc>
        <w:tc>
          <w:tcPr>
            <w:tcW w:type="dxa" w:w="891"/>
          </w:tcPr>
          <w:p>
            <w:pPr>
              <w:pStyle w:val="OLtablecontents"/>
            </w:pPr>
            <w:r/>
            <w:r>
              <w:rPr>
                <w:sz w:val="16"/>
              </w:rPr>
              <w:t>72</w:t>
            </w:r>
          </w:p>
        </w:tc>
        <w:tc>
          <w:tcPr>
            <w:tcW w:type="dxa" w:w="891"/>
          </w:tcPr>
          <w:p>
            <w:pPr>
              <w:pStyle w:val="OLtablecontents"/>
            </w:pPr>
            <w:r/>
            <w:r>
              <w:rPr>
                <w:sz w:val="16"/>
              </w:rPr>
              <w:t>4</w:t>
            </w:r>
          </w:p>
        </w:tc>
        <w:tc>
          <w:tcPr>
            <w:tcW w:type="dxa" w:w="891"/>
          </w:tcPr>
          <w:p>
            <w:pPr>
              <w:pStyle w:val="OLtablecontents"/>
            </w:pPr>
            <w:r/>
            <w:r>
              <w:rPr>
                <w:sz w:val="16"/>
              </w:rPr>
              <w:t>71</w:t>
            </w:r>
          </w:p>
        </w:tc>
        <w:tc>
          <w:tcPr>
            <w:tcW w:type="dxa" w:w="891"/>
          </w:tcPr>
          <w:p>
            <w:pPr>
              <w:pStyle w:val="OLtablecontents"/>
            </w:pPr>
            <w:r/>
            <w:r>
              <w:rPr>
                <w:sz w:val="16"/>
              </w:rPr>
              <w:t>0.34</w:t>
            </w:r>
          </w:p>
        </w:tc>
      </w:tr>
      <w:tr>
        <w:tc>
          <w:tcPr>
            <w:tcW w:type="dxa" w:w="891"/>
          </w:tcPr>
          <w:p>
            <w:pPr>
              <w:pStyle w:val="OLtablecontents"/>
            </w:pPr>
            <w:r/>
            <w:r>
              <w:rPr>
                <w:sz w:val="16"/>
              </w:rPr>
              <w:t>All six lists</w:t>
            </w:r>
          </w:p>
        </w:tc>
        <w:tc>
          <w:tcPr>
            <w:tcW w:type="dxa" w:w="891"/>
          </w:tcPr>
          <w:p>
            <w:pPr>
              <w:pStyle w:val="OLtablecontents"/>
            </w:pPr>
            <w:r/>
            <w:r>
              <w:rPr>
                <w:sz w:val="16"/>
              </w:rPr>
              <w:t>1,357</w:t>
            </w:r>
          </w:p>
        </w:tc>
        <w:tc>
          <w:tcPr>
            <w:tcW w:type="dxa" w:w="891"/>
          </w:tcPr>
          <w:p>
            <w:pPr>
              <w:pStyle w:val="OLtablecontents"/>
            </w:pPr>
            <w:r/>
            <w:r>
              <w:rPr>
                <w:sz w:val="16"/>
              </w:rPr>
              <w:t>172</w:t>
            </w:r>
          </w:p>
        </w:tc>
        <w:tc>
          <w:tcPr>
            <w:tcW w:type="dxa" w:w="891"/>
          </w:tcPr>
          <w:p>
            <w:pPr>
              <w:pStyle w:val="OLtablecontents"/>
            </w:pPr>
            <w:r/>
            <w:r>
              <w:rPr>
                <w:sz w:val="16"/>
              </w:rPr>
              <w:t>266</w:t>
            </w:r>
          </w:p>
        </w:tc>
        <w:tc>
          <w:tcPr>
            <w:tcW w:type="dxa" w:w="891"/>
          </w:tcPr>
          <w:p>
            <w:pPr>
              <w:pStyle w:val="OLtablecontents"/>
            </w:pPr>
            <w:r/>
            <w:r>
              <w:rPr>
                <w:sz w:val="16"/>
              </w:rPr>
              <w:t>105</w:t>
            </w:r>
          </w:p>
        </w:tc>
        <w:tc>
          <w:tcPr>
            <w:tcW w:type="dxa" w:w="891"/>
          </w:tcPr>
          <w:p>
            <w:pPr>
              <w:pStyle w:val="OLtablecontents"/>
            </w:pPr>
            <w:r/>
            <w:r>
              <w:rPr>
                <w:sz w:val="16"/>
              </w:rPr>
              <w:t>814</w:t>
            </w:r>
          </w:p>
        </w:tc>
        <w:tc>
          <w:tcPr>
            <w:tcW w:type="dxa" w:w="891"/>
          </w:tcPr>
          <w:p>
            <w:pPr>
              <w:pStyle w:val="OLtablecontents"/>
            </w:pPr>
            <w:r/>
            <w:r>
              <w:rPr>
                <w:sz w:val="16"/>
              </w:rPr>
              <w:t>0.31</w:t>
            </w:r>
          </w:p>
        </w:tc>
      </w:tr>
    </w:tbl>
    <w:p>
      <w:pPr>
        <w:pStyle w:val="OLtext"/>
      </w:pPr>
      <w:r>
        <w:rPr>
          <w:sz w:val="16"/>
        </w:rPr>
        <w:t>Note. "Profile" = score of 0.5 or more; the scores are out of sample (five-fold cross-validation, ten repetitions) and averaged over the ten repetitions, which is why the cells imply an accuracy (0.727) slightly above the per-repetition accuracy of table 3 (0.719). Kappa is Cohen's.</w:t>
      </w:r>
    </w:p>
    <w:p>
      <w:pPr>
        <w:pStyle w:val="OL3ptseparator"/>
      </w:pPr>
    </w:p>
    <w:p>
      <w:pPr>
        <w:pStyle w:val="OLcaption"/>
      </w:pPr>
      <w:r>
        <w:t>TABLE 7. EXAMPLES FOR THE FOUR CELLS OF TABLE 6, AS RECORDED IN ABVD</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Cell</w:t>
            </w:r>
          </w:p>
        </w:tc>
        <w:tc>
          <w:tcPr>
            <w:tcW w:type="dxa" w:w="780"/>
          </w:tcPr>
          <w:p>
            <w:pPr>
              <w:pStyle w:val="OLtablecolumnheading"/>
            </w:pPr>
            <w:r/>
            <w:r>
              <w:rPr>
                <w:b/>
                <w:sz w:val="16"/>
              </w:rPr>
              <w:t>List</w:t>
            </w:r>
          </w:p>
        </w:tc>
        <w:tc>
          <w:tcPr>
            <w:tcW w:type="dxa" w:w="780"/>
          </w:tcPr>
          <w:p>
            <w:pPr>
              <w:pStyle w:val="OLtablecolumnheading"/>
            </w:pPr>
            <w:r/>
            <w:r>
              <w:rPr>
                <w:b/>
                <w:sz w:val="16"/>
              </w:rPr>
              <w:t>Meaning</w:t>
            </w:r>
          </w:p>
        </w:tc>
        <w:tc>
          <w:tcPr>
            <w:tcW w:type="dxa" w:w="780"/>
          </w:tcPr>
          <w:p>
            <w:pPr>
              <w:pStyle w:val="OLtablecolumnheading"/>
            </w:pPr>
            <w:r/>
            <w:r>
              <w:rPr>
                <w:b/>
                <w:sz w:val="16"/>
              </w:rPr>
              <w:t>Form (ABVD)</w:t>
            </w:r>
          </w:p>
        </w:tc>
        <w:tc>
          <w:tcPr>
            <w:tcW w:type="dxa" w:w="780"/>
          </w:tcPr>
          <w:p>
            <w:pPr>
              <w:pStyle w:val="OLtablecolumnheading"/>
            </w:pPr>
            <w:r/>
            <w:r>
              <w:rPr>
                <w:b/>
                <w:sz w:val="16"/>
              </w:rPr>
              <w:t>Set</w:t>
            </w:r>
          </w:p>
        </w:tc>
        <w:tc>
          <w:tcPr>
            <w:tcW w:type="dxa" w:w="780"/>
          </w:tcPr>
          <w:p>
            <w:pPr>
              <w:pStyle w:val="OLtablecolumnheading"/>
            </w:pPr>
            <w:r/>
            <w:r>
              <w:rPr>
                <w:b/>
                <w:sz w:val="16"/>
              </w:rPr>
              <w:t>PMP (ABVD)</w:t>
            </w:r>
          </w:p>
        </w:tc>
        <w:tc>
          <w:tcPr>
            <w:tcW w:type="dxa" w:w="780"/>
          </w:tcPr>
          <w:p>
            <w:pPr>
              <w:pStyle w:val="OLtablecolumnheading"/>
            </w:pPr>
            <w:r/>
            <w:r>
              <w:rPr>
                <w:b/>
                <w:sz w:val="16"/>
              </w:rPr>
              <w:t>Score</w:t>
            </w:r>
          </w:p>
        </w:tc>
        <w:tc>
          <w:tcPr>
            <w:tcW w:type="dxa" w:w="780"/>
          </w:tcPr>
          <w:p>
            <w:pPr>
              <w:pStyle w:val="OLtablecolumnheading"/>
            </w:pPr>
            <w:r/>
            <w:r>
              <w:rPr>
                <w:b/>
                <w:sz w:val="16"/>
              </w:rPr>
              <w:t>Nearest look-alike (list)</w:t>
            </w:r>
          </w:p>
        </w:tc>
      </w:tr>
      <w:tr>
        <w:tc>
          <w:tcPr>
            <w:tcW w:type="dxa" w:w="780"/>
          </w:tcPr>
          <w:p>
            <w:pPr>
              <w:pStyle w:val="OLtablecontents"/>
            </w:pPr>
            <w:r/>
            <w:r>
              <w:rPr>
                <w:sz w:val="16"/>
              </w:rPr>
              <w:t>uncoded &amp; no profile</w:t>
            </w:r>
          </w:p>
        </w:tc>
        <w:tc>
          <w:tcPr>
            <w:tcW w:type="dxa" w:w="780"/>
          </w:tcPr>
          <w:p>
            <w:pPr>
              <w:pStyle w:val="OLtablecontents"/>
            </w:pPr>
            <w:r/>
            <w:r>
              <w:rPr>
                <w:sz w:val="16"/>
              </w:rPr>
              <w:t>Makasar</w:t>
            </w:r>
          </w:p>
        </w:tc>
        <w:tc>
          <w:tcPr>
            <w:tcW w:type="dxa" w:w="780"/>
          </w:tcPr>
          <w:p>
            <w:pPr>
              <w:pStyle w:val="OLtablecontents"/>
            </w:pPr>
            <w:r/>
            <w:r>
              <w:rPr>
                <w:sz w:val="16"/>
              </w:rPr>
              <w:t>road/path</w:t>
            </w:r>
          </w:p>
        </w:tc>
        <w:tc>
          <w:tcPr>
            <w:tcW w:type="dxa" w:w="780"/>
          </w:tcPr>
          <w:p>
            <w:pPr>
              <w:pStyle w:val="OLtablecontents"/>
            </w:pPr>
            <w:r/>
            <w:r>
              <w:rPr>
                <w:sz w:val="16"/>
              </w:rPr>
              <w:t>agaŋ</w:t>
            </w:r>
          </w:p>
        </w:tc>
        <w:tc>
          <w:tcPr>
            <w:tcW w:type="dxa" w:w="780"/>
          </w:tcPr>
          <w:p>
            <w:pPr>
              <w:pStyle w:val="OLtablecontents"/>
            </w:pPr>
            <w:r/>
            <w:r>
              <w:rPr>
                <w:sz w:val="16"/>
              </w:rPr>
              <w:t>—</w:t>
            </w:r>
          </w:p>
        </w:tc>
        <w:tc>
          <w:tcPr>
            <w:tcW w:type="dxa" w:w="780"/>
          </w:tcPr>
          <w:p>
            <w:pPr>
              <w:pStyle w:val="OLtablecontents"/>
            </w:pPr>
            <w:r/>
            <w:r>
              <w:rPr>
                <w:sz w:val="16"/>
              </w:rPr>
              <w:t>*zalan</w:t>
            </w:r>
          </w:p>
        </w:tc>
        <w:tc>
          <w:tcPr>
            <w:tcW w:type="dxa" w:w="780"/>
          </w:tcPr>
          <w:p>
            <w:pPr>
              <w:pStyle w:val="OLtablecontents"/>
            </w:pPr>
            <w:r/>
            <w:r>
              <w:rPr>
                <w:sz w:val="16"/>
              </w:rPr>
              <w:t>0.02</w:t>
            </w:r>
          </w:p>
        </w:tc>
        <w:tc>
          <w:tcPr>
            <w:tcW w:type="dxa" w:w="780"/>
          </w:tcPr>
          <w:p>
            <w:pPr>
              <w:pStyle w:val="OLtablecontents"/>
            </w:pPr>
            <w:r/>
            <w:r>
              <w:rPr>
                <w:sz w:val="16"/>
              </w:rPr>
              <w:t>daleŋ (Bantik)</w:t>
            </w:r>
          </w:p>
        </w:tc>
      </w:tr>
      <w:tr>
        <w:tc>
          <w:tcPr>
            <w:tcW w:type="dxa" w:w="780"/>
          </w:tcPr>
          <w:p>
            <w:pPr>
              <w:pStyle w:val="OLtablecontents"/>
            </w:pPr>
            <w:r/>
            <w:r>
              <w:rPr>
                <w:sz w:val="16"/>
              </w:rPr>
              <w:t>uncoded &amp; no profile</w:t>
            </w:r>
          </w:p>
        </w:tc>
        <w:tc>
          <w:tcPr>
            <w:tcW w:type="dxa" w:w="780"/>
          </w:tcPr>
          <w:p>
            <w:pPr>
              <w:pStyle w:val="OLtablecontents"/>
            </w:pPr>
            <w:r/>
            <w:r>
              <w:rPr>
                <w:sz w:val="16"/>
              </w:rPr>
              <w:t>Sa'dan Toraja</w:t>
            </w:r>
          </w:p>
        </w:tc>
        <w:tc>
          <w:tcPr>
            <w:tcW w:type="dxa" w:w="780"/>
          </w:tcPr>
          <w:p>
            <w:pPr>
              <w:pStyle w:val="OLtablecontents"/>
            </w:pPr>
            <w:r/>
            <w:r>
              <w:rPr>
                <w:sz w:val="16"/>
              </w:rPr>
              <w:t>mouth</w:t>
            </w:r>
          </w:p>
        </w:tc>
        <w:tc>
          <w:tcPr>
            <w:tcW w:type="dxa" w:w="780"/>
          </w:tcPr>
          <w:p>
            <w:pPr>
              <w:pStyle w:val="OLtablecontents"/>
            </w:pPr>
            <w:r/>
            <w:r>
              <w:rPr>
                <w:sz w:val="16"/>
              </w:rPr>
              <w:t>sadaŋ</w:t>
            </w:r>
          </w:p>
        </w:tc>
        <w:tc>
          <w:tcPr>
            <w:tcW w:type="dxa" w:w="780"/>
          </w:tcPr>
          <w:p>
            <w:pPr>
              <w:pStyle w:val="OLtablecontents"/>
            </w:pPr>
            <w:r/>
            <w:r>
              <w:rPr>
                <w:sz w:val="16"/>
              </w:rPr>
              <w:t>—</w:t>
            </w:r>
          </w:p>
        </w:tc>
        <w:tc>
          <w:tcPr>
            <w:tcW w:type="dxa" w:w="780"/>
          </w:tcPr>
          <w:p>
            <w:pPr>
              <w:pStyle w:val="OLtablecontents"/>
            </w:pPr>
            <w:r/>
            <w:r>
              <w:rPr>
                <w:sz w:val="16"/>
              </w:rPr>
              <w:t>*baqbaq</w:t>
            </w:r>
          </w:p>
        </w:tc>
        <w:tc>
          <w:tcPr>
            <w:tcW w:type="dxa" w:w="780"/>
          </w:tcPr>
          <w:p>
            <w:pPr>
              <w:pStyle w:val="OLtablecontents"/>
            </w:pPr>
            <w:r/>
            <w:r>
              <w:rPr>
                <w:sz w:val="16"/>
              </w:rPr>
              <w:t>0.04</w:t>
            </w:r>
          </w:p>
        </w:tc>
        <w:tc>
          <w:tcPr>
            <w:tcW w:type="dxa" w:w="780"/>
          </w:tcPr>
          <w:p>
            <w:pPr>
              <w:pStyle w:val="OLtablecontents"/>
            </w:pPr>
            <w:r/>
            <w:r>
              <w:rPr>
                <w:sz w:val="16"/>
              </w:rPr>
              <w:t>baba (Banggai (W.dialect))</w:t>
            </w:r>
          </w:p>
        </w:tc>
      </w:tr>
      <w:tr>
        <w:tc>
          <w:tcPr>
            <w:tcW w:type="dxa" w:w="780"/>
          </w:tcPr>
          <w:p>
            <w:pPr>
              <w:pStyle w:val="OLtablecontents"/>
            </w:pPr>
            <w:r/>
            <w:r>
              <w:rPr>
                <w:sz w:val="16"/>
              </w:rPr>
              <w:t>uncoded &amp; profile</w:t>
            </w:r>
          </w:p>
        </w:tc>
        <w:tc>
          <w:tcPr>
            <w:tcW w:type="dxa" w:w="780"/>
          </w:tcPr>
          <w:p>
            <w:pPr>
              <w:pStyle w:val="OLtablecontents"/>
            </w:pPr>
            <w:r/>
            <w:r>
              <w:rPr>
                <w:sz w:val="16"/>
              </w:rPr>
              <w:t>Tolaki</w:t>
            </w:r>
          </w:p>
        </w:tc>
        <w:tc>
          <w:tcPr>
            <w:tcW w:type="dxa" w:w="780"/>
          </w:tcPr>
          <w:p>
            <w:pPr>
              <w:pStyle w:val="OLtablecontents"/>
            </w:pPr>
            <w:r/>
            <w:r>
              <w:rPr>
                <w:sz w:val="16"/>
              </w:rPr>
              <w:t>to cry</w:t>
            </w:r>
          </w:p>
        </w:tc>
        <w:tc>
          <w:tcPr>
            <w:tcW w:type="dxa" w:w="780"/>
          </w:tcPr>
          <w:p>
            <w:pPr>
              <w:pStyle w:val="OLtablecontents"/>
            </w:pPr>
            <w:r/>
            <w:r>
              <w:rPr>
                <w:sz w:val="16"/>
              </w:rPr>
              <w:t>umi'ia</w:t>
            </w:r>
          </w:p>
        </w:tc>
        <w:tc>
          <w:tcPr>
            <w:tcW w:type="dxa" w:w="780"/>
          </w:tcPr>
          <w:p>
            <w:pPr>
              <w:pStyle w:val="OLtablecontents"/>
            </w:pPr>
            <w:r/>
            <w:r>
              <w:rPr>
                <w:sz w:val="16"/>
              </w:rPr>
              <w:t>—</w:t>
            </w:r>
          </w:p>
        </w:tc>
        <w:tc>
          <w:tcPr>
            <w:tcW w:type="dxa" w:w="780"/>
          </w:tcPr>
          <w:p>
            <w:pPr>
              <w:pStyle w:val="OLtablecontents"/>
            </w:pPr>
            <w:r/>
            <w:r>
              <w:rPr>
                <w:sz w:val="16"/>
              </w:rPr>
              <w:t>*taŋis</w:t>
            </w:r>
          </w:p>
        </w:tc>
        <w:tc>
          <w:tcPr>
            <w:tcW w:type="dxa" w:w="780"/>
          </w:tcPr>
          <w:p>
            <w:pPr>
              <w:pStyle w:val="OLtablecontents"/>
            </w:pPr>
            <w:r/>
            <w:r>
              <w:rPr>
                <w:sz w:val="16"/>
              </w:rPr>
              <w:t>0.96</w:t>
            </w:r>
          </w:p>
        </w:tc>
        <w:tc>
          <w:tcPr>
            <w:tcW w:type="dxa" w:w="780"/>
          </w:tcPr>
          <w:p>
            <w:pPr>
              <w:pStyle w:val="OLtablecontents"/>
            </w:pPr>
            <w:r/>
            <w:r>
              <w:rPr>
                <w:sz w:val="16"/>
              </w:rPr>
              <w:t>miʔia (Kodeoha)</w:t>
            </w:r>
          </w:p>
        </w:tc>
      </w:tr>
      <w:tr>
        <w:tc>
          <w:tcPr>
            <w:tcW w:type="dxa" w:w="780"/>
          </w:tcPr>
          <w:p>
            <w:pPr>
              <w:pStyle w:val="OLtablecontents"/>
            </w:pPr>
            <w:r/>
            <w:r>
              <w:rPr>
                <w:sz w:val="16"/>
              </w:rPr>
              <w:t>uncoded &amp; profile</w:t>
            </w:r>
          </w:p>
        </w:tc>
        <w:tc>
          <w:tcPr>
            <w:tcW w:type="dxa" w:w="780"/>
          </w:tcPr>
          <w:p>
            <w:pPr>
              <w:pStyle w:val="OLtablecontents"/>
            </w:pPr>
            <w:r/>
            <w:r>
              <w:rPr>
                <w:sz w:val="16"/>
              </w:rPr>
              <w:t>Tolaki</w:t>
            </w:r>
          </w:p>
        </w:tc>
        <w:tc>
          <w:tcPr>
            <w:tcW w:type="dxa" w:w="780"/>
          </w:tcPr>
          <w:p>
            <w:pPr>
              <w:pStyle w:val="OLtablecontents"/>
            </w:pPr>
            <w:r/>
            <w:r>
              <w:rPr>
                <w:sz w:val="16"/>
              </w:rPr>
              <w:t>to see</w:t>
            </w:r>
          </w:p>
        </w:tc>
        <w:tc>
          <w:tcPr>
            <w:tcW w:type="dxa" w:w="780"/>
          </w:tcPr>
          <w:p>
            <w:pPr>
              <w:pStyle w:val="OLtablecontents"/>
            </w:pPr>
            <w:r/>
            <w:r>
              <w:rPr>
                <w:sz w:val="16"/>
              </w:rPr>
              <w:t>ki'ii</w:t>
            </w:r>
          </w:p>
        </w:tc>
        <w:tc>
          <w:tcPr>
            <w:tcW w:type="dxa" w:w="780"/>
          </w:tcPr>
          <w:p>
            <w:pPr>
              <w:pStyle w:val="OLtablecontents"/>
            </w:pPr>
            <w:r/>
            <w:r>
              <w:rPr>
                <w:sz w:val="16"/>
              </w:rPr>
              <w:t>—</w:t>
            </w:r>
          </w:p>
        </w:tc>
        <w:tc>
          <w:tcPr>
            <w:tcW w:type="dxa" w:w="780"/>
          </w:tcPr>
          <w:p>
            <w:pPr>
              <w:pStyle w:val="OLtablecontents"/>
            </w:pPr>
            <w:r/>
            <w:r>
              <w:rPr>
                <w:sz w:val="16"/>
              </w:rPr>
              <w:t>*kita</w:t>
            </w:r>
          </w:p>
        </w:tc>
        <w:tc>
          <w:tcPr>
            <w:tcW w:type="dxa" w:w="780"/>
          </w:tcPr>
          <w:p>
            <w:pPr>
              <w:pStyle w:val="OLtablecontents"/>
            </w:pPr>
            <w:r/>
            <w:r>
              <w:rPr>
                <w:sz w:val="16"/>
              </w:rPr>
              <w:t>0.95</w:t>
            </w:r>
          </w:p>
        </w:tc>
        <w:tc>
          <w:tcPr>
            <w:tcW w:type="dxa" w:w="780"/>
          </w:tcPr>
          <w:p>
            <w:pPr>
              <w:pStyle w:val="OLtablecontents"/>
            </w:pPr>
            <w:r/>
            <w:r>
              <w:rPr>
                <w:sz w:val="16"/>
              </w:rPr>
              <w:t>moŋkii (Mori Bawah (Bahano))</w:t>
            </w:r>
          </w:p>
        </w:tc>
      </w:tr>
      <w:tr>
        <w:tc>
          <w:tcPr>
            <w:tcW w:type="dxa" w:w="780"/>
          </w:tcPr>
          <w:p>
            <w:pPr>
              <w:pStyle w:val="OLtablecontents"/>
            </w:pPr>
            <w:r/>
            <w:r>
              <w:rPr>
                <w:sz w:val="16"/>
              </w:rPr>
              <w:t>coded &amp; no profile</w:t>
            </w:r>
          </w:p>
        </w:tc>
        <w:tc>
          <w:tcPr>
            <w:tcW w:type="dxa" w:w="780"/>
          </w:tcPr>
          <w:p>
            <w:pPr>
              <w:pStyle w:val="OLtablecontents"/>
            </w:pPr>
            <w:r/>
            <w:r>
              <w:rPr>
                <w:sz w:val="16"/>
              </w:rPr>
              <w:t>Tolaki</w:t>
            </w:r>
          </w:p>
        </w:tc>
        <w:tc>
          <w:tcPr>
            <w:tcW w:type="dxa" w:w="780"/>
          </w:tcPr>
          <w:p>
            <w:pPr>
              <w:pStyle w:val="OLtablecontents"/>
            </w:pPr>
            <w:r/>
            <w:r>
              <w:rPr>
                <w:sz w:val="16"/>
              </w:rPr>
              <w:t>thatch/roof</w:t>
            </w:r>
          </w:p>
        </w:tc>
        <w:tc>
          <w:tcPr>
            <w:tcW w:type="dxa" w:w="780"/>
          </w:tcPr>
          <w:p>
            <w:pPr>
              <w:pStyle w:val="OLtablecontents"/>
            </w:pPr>
            <w:r/>
            <w:r>
              <w:rPr>
                <w:sz w:val="16"/>
              </w:rPr>
              <w:t>ato</w:t>
            </w:r>
          </w:p>
        </w:tc>
        <w:tc>
          <w:tcPr>
            <w:tcW w:type="dxa" w:w="780"/>
          </w:tcPr>
          <w:p>
            <w:pPr>
              <w:pStyle w:val="OLtablecontents"/>
            </w:pPr>
            <w:r/>
            <w:r>
              <w:rPr>
                <w:sz w:val="16"/>
              </w:rPr>
              <w:t>1</w:t>
            </w:r>
          </w:p>
        </w:tc>
        <w:tc>
          <w:tcPr>
            <w:tcW w:type="dxa" w:w="780"/>
          </w:tcPr>
          <w:p>
            <w:pPr>
              <w:pStyle w:val="OLtablecontents"/>
            </w:pPr>
            <w:r/>
            <w:r>
              <w:rPr>
                <w:sz w:val="16"/>
              </w:rPr>
              <w:t>*qatep</w:t>
            </w:r>
          </w:p>
        </w:tc>
        <w:tc>
          <w:tcPr>
            <w:tcW w:type="dxa" w:w="780"/>
          </w:tcPr>
          <w:p>
            <w:pPr>
              <w:pStyle w:val="OLtablecontents"/>
            </w:pPr>
            <w:r/>
            <w:r>
              <w:rPr>
                <w:sz w:val="16"/>
              </w:rPr>
              <w:t>0.01</w:t>
            </w:r>
          </w:p>
        </w:tc>
        <w:tc>
          <w:tcPr>
            <w:tcW w:type="dxa" w:w="780"/>
          </w:tcPr>
          <w:p>
            <w:pPr>
              <w:pStyle w:val="OLtablecontents"/>
            </w:pPr>
            <w:r/>
            <w:r>
              <w:rPr>
                <w:sz w:val="16"/>
              </w:rPr>
              <w:t>ghato (Muna (Katobu-Tongkuno Dialect))</w:t>
            </w:r>
          </w:p>
        </w:tc>
      </w:tr>
      <w:tr>
        <w:tc>
          <w:tcPr>
            <w:tcW w:type="dxa" w:w="780"/>
          </w:tcPr>
          <w:p>
            <w:pPr>
              <w:pStyle w:val="OLtablecontents"/>
            </w:pPr>
            <w:r/>
            <w:r>
              <w:rPr>
                <w:sz w:val="16"/>
              </w:rPr>
              <w:t>coded &amp; no profile</w:t>
            </w:r>
          </w:p>
        </w:tc>
        <w:tc>
          <w:tcPr>
            <w:tcW w:type="dxa" w:w="780"/>
          </w:tcPr>
          <w:p>
            <w:pPr>
              <w:pStyle w:val="OLtablecontents"/>
            </w:pPr>
            <w:r/>
            <w:r>
              <w:rPr>
                <w:sz w:val="16"/>
              </w:rPr>
              <w:t>Muna</w:t>
            </w:r>
          </w:p>
        </w:tc>
        <w:tc>
          <w:tcPr>
            <w:tcW w:type="dxa" w:w="780"/>
          </w:tcPr>
          <w:p>
            <w:pPr>
              <w:pStyle w:val="OLtablecontents"/>
            </w:pPr>
            <w:r/>
            <w:r>
              <w:rPr>
                <w:sz w:val="16"/>
              </w:rPr>
              <w:t>father</w:t>
            </w:r>
          </w:p>
        </w:tc>
        <w:tc>
          <w:tcPr>
            <w:tcW w:type="dxa" w:w="780"/>
          </w:tcPr>
          <w:p>
            <w:pPr>
              <w:pStyle w:val="OLtablecontents"/>
            </w:pPr>
            <w:r/>
            <w:r>
              <w:rPr>
                <w:sz w:val="16"/>
              </w:rPr>
              <w:t>ama</w:t>
            </w:r>
          </w:p>
        </w:tc>
        <w:tc>
          <w:tcPr>
            <w:tcW w:type="dxa" w:w="780"/>
          </w:tcPr>
          <w:p>
            <w:pPr>
              <w:pStyle w:val="OLtablecontents"/>
            </w:pPr>
            <w:r/>
            <w:r>
              <w:rPr>
                <w:sz w:val="16"/>
              </w:rPr>
              <w:t>1</w:t>
            </w:r>
          </w:p>
        </w:tc>
        <w:tc>
          <w:tcPr>
            <w:tcW w:type="dxa" w:w="780"/>
          </w:tcPr>
          <w:p>
            <w:pPr>
              <w:pStyle w:val="OLtablecontents"/>
            </w:pPr>
            <w:r/>
            <w:r>
              <w:rPr>
                <w:sz w:val="16"/>
              </w:rPr>
              <w:t>*t-ama</w:t>
            </w:r>
          </w:p>
        </w:tc>
        <w:tc>
          <w:tcPr>
            <w:tcW w:type="dxa" w:w="780"/>
          </w:tcPr>
          <w:p>
            <w:pPr>
              <w:pStyle w:val="OLtablecontents"/>
            </w:pPr>
            <w:r/>
            <w:r>
              <w:rPr>
                <w:sz w:val="16"/>
              </w:rPr>
              <w:t>0.01</w:t>
            </w:r>
          </w:p>
        </w:tc>
        <w:tc>
          <w:tcPr>
            <w:tcW w:type="dxa" w:w="780"/>
          </w:tcPr>
          <w:p>
            <w:pPr>
              <w:pStyle w:val="OLtablecontents"/>
            </w:pPr>
            <w:r/>
            <w:r>
              <w:rPr>
                <w:sz w:val="16"/>
              </w:rPr>
              <w:t>tama (Banggai (W.dialect))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red</w:t>
            </w:r>
          </w:p>
        </w:tc>
        <w:tc>
          <w:tcPr>
            <w:tcW w:type="dxa" w:w="780"/>
          </w:tcPr>
          <w:p>
            <w:pPr>
              <w:pStyle w:val="OLtablecontents"/>
            </w:pPr>
            <w:r/>
            <w:r>
              <w:rPr>
                <w:sz w:val="16"/>
              </w:rPr>
              <w:t>male'i</w:t>
            </w:r>
          </w:p>
        </w:tc>
        <w:tc>
          <w:tcPr>
            <w:tcW w:type="dxa" w:w="780"/>
          </w:tcPr>
          <w:p>
            <w:pPr>
              <w:pStyle w:val="OLtablecontents"/>
            </w:pPr>
            <w:r/>
            <w:r>
              <w:rPr>
                <w:sz w:val="16"/>
              </w:rPr>
              <w:t>1</w:t>
            </w:r>
          </w:p>
        </w:tc>
        <w:tc>
          <w:tcPr>
            <w:tcW w:type="dxa" w:w="780"/>
          </w:tcPr>
          <w:p>
            <w:pPr>
              <w:pStyle w:val="OLtablecontents"/>
            </w:pPr>
            <w:r/>
            <w:r>
              <w:rPr>
                <w:sz w:val="16"/>
              </w:rPr>
              <w:t>*ma-iʀaq</w:t>
            </w:r>
          </w:p>
        </w:tc>
        <w:tc>
          <w:tcPr>
            <w:tcW w:type="dxa" w:w="780"/>
          </w:tcPr>
          <w:p>
            <w:pPr>
              <w:pStyle w:val="OLtablecontents"/>
            </w:pPr>
            <w:r/>
            <w:r>
              <w:rPr>
                <w:sz w:val="16"/>
              </w:rPr>
              <w:t>0.92</w:t>
            </w:r>
          </w:p>
        </w:tc>
        <w:tc>
          <w:tcPr>
            <w:tcW w:type="dxa" w:w="780"/>
          </w:tcPr>
          <w:p>
            <w:pPr>
              <w:pStyle w:val="OLtablecontents"/>
            </w:pPr>
            <w:r/>
            <w:r>
              <w:rPr>
                <w:sz w:val="16"/>
              </w:rPr>
              <w:t>mo-lei (Uma (Kantewu 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near</w:t>
            </w:r>
          </w:p>
        </w:tc>
        <w:tc>
          <w:tcPr>
            <w:tcW w:type="dxa" w:w="780"/>
          </w:tcPr>
          <w:p>
            <w:pPr>
              <w:pStyle w:val="OLtablecontents"/>
            </w:pPr>
            <w:r/>
            <w:r>
              <w:rPr>
                <w:sz w:val="16"/>
              </w:rPr>
              <w:t>marampi</w:t>
            </w:r>
          </w:p>
        </w:tc>
        <w:tc>
          <w:tcPr>
            <w:tcW w:type="dxa" w:w="780"/>
          </w:tcPr>
          <w:p>
            <w:pPr>
              <w:pStyle w:val="OLtablecontents"/>
            </w:pPr>
            <w:r/>
            <w:r>
              <w:rPr>
                <w:sz w:val="16"/>
              </w:rPr>
              <w:t>25</w:t>
            </w:r>
          </w:p>
        </w:tc>
        <w:tc>
          <w:tcPr>
            <w:tcW w:type="dxa" w:w="780"/>
          </w:tcPr>
          <w:p>
            <w:pPr>
              <w:pStyle w:val="OLtablecontents"/>
            </w:pPr>
            <w:r/>
            <w:r>
              <w:rPr>
                <w:sz w:val="16"/>
              </w:rPr>
              <w:t>*ma-azani</w:t>
            </w:r>
          </w:p>
        </w:tc>
        <w:tc>
          <w:tcPr>
            <w:tcW w:type="dxa" w:w="780"/>
          </w:tcPr>
          <w:p>
            <w:pPr>
              <w:pStyle w:val="OLtablecontents"/>
            </w:pPr>
            <w:r/>
            <w:r>
              <w:rPr>
                <w:sz w:val="16"/>
              </w:rPr>
              <w:t>0.87</w:t>
            </w:r>
          </w:p>
        </w:tc>
        <w:tc>
          <w:tcPr>
            <w:tcW w:type="dxa" w:w="780"/>
          </w:tcPr>
          <w:p>
            <w:pPr>
              <w:pStyle w:val="OLtablecontents"/>
            </w:pPr>
            <w:r/>
            <w:r>
              <w:rPr>
                <w:sz w:val="16"/>
              </w:rPr>
              <w:t>motampi (Kumbewaha)</w:t>
            </w:r>
          </w:p>
        </w:tc>
      </w:tr>
    </w:tbl>
    <w:p>
      <w:pPr>
        <w:pStyle w:val="OLtext"/>
      </w:pPr>
      <w:r>
        <w:rPr>
          <w:sz w:val="16"/>
        </w:rPr>
        <w:t>Note. Forms are given as ABVD records them and have not been assessed etymologically. "Set" is ABVD's cognate-set number; "PMP (ABVD)" is the Proto-Malayo-Polynesian entry for the meaning; the nearest look-alike is a spelling match by the screen of section 2.6, which ignores up to three leading characters, so a distance of 0.0 does not mean identity.</w:t>
      </w:r>
    </w:p>
    <w:p>
      <w:pPr>
        <w:pStyle w:val="OL3ptseparator"/>
      </w:pPr>
    </w:p>
    <w:p>
      <w:pPr>
        <w:pStyle w:val="OLtextindented"/>
      </w:pP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they are uncoded in four lists and coded in Bugis. The 'One Hundred' forms are not uniform across the lists and do not belong with them. 'To stand' and 'to hit' were on that version's own list of inherited meanings, and its consensus had been computed on a label that ignored the list. Out of sample, no meaning is "uncoded, profile" in four or more lists.</w:t>
      </w:r>
    </w:p>
    <w:p>
      <w:pPr>
        <w:pStyle w:val="OLheadingB-level"/>
      </w:pPr>
      <w:r>
        <w:t>Does the result depend on spelling?</w:t>
      </w:r>
    </w:p>
    <w:p>
      <w:pPr>
        <w:pStyle w:val="OLtext"/>
      </w:pPr>
      <w:r>
        <w:t xml:space="preserve">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without a phonemic glottal stop has nothing to write, and the question is one for specialists. In the Tolaki list every form written with an apostrophe is uncoded. Figure 5 gives the share of marked forms among uncoded and among coded forms for each list.</w:t>
      </w:r>
    </w:p>
    <w:p>
      <w:pPr>
        <w:pStyle w:val="OLcaption"/>
      </w:pPr>
      <w:r>
        <w:t>FIGURE 5. FORMS WITH A WRITTEN GLOTTAL MARK, UNCODED AGAINST CODED, BY LIST (NUMBERS OF UNCODED AND CODED FORMS IN PARENTHESES)</w:t>
      </w:r>
    </w:p>
    <w:p>
      <w:pPr>
        <w:pStyle w:val="OLtext"/>
      </w:pPr>
      <w:r>
        <w:rPr>
          <w:highlight w:val="yellow"/>
        </w:rPr>
        <w:t>[Figure 5 about here — separate file]</w:t>
      </w:r>
    </w:p>
    <w:p>
      <w:pPr>
        <w:pStyle w:val="OL3ptseparator"/>
      </w:pPr>
    </w:p>
    <w:p>
      <w:pPr>
        <w:pStyle w:val="OLtextindented"/>
      </w:pPr>
      <w:r>
        <w:t xml:space="preserve">Eleven Sa'dan Toraja forms end in </w:t>
      </w:r>
      <w:r>
        <w:rPr>
          <w:i/>
        </w:rPr>
        <w:t>k</w:t>
      </w:r>
      <w:r>
        <w:t xml:space="preserve"> beside 45 that end in a glottal mark, in one and the same source; since ABVD's PMP entries for two of those eleven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p>
    <w:p>
      <w:pPr>
        <w:pStyle w:val="OLtextindented"/>
      </w:pP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(a loss between 0.010 and 0.020 counts as partial dependence), the result depends partly on how the glottal stop is written: nearly the same result, not the same result. No noise estimate exists for these differences, so their size relative to chance variation is not known.</w:t>
      </w:r>
    </w:p>
    <w:p>
      <w:pPr>
        <w:pStyle w:val="OLcaption"/>
      </w:pPr>
      <w:r>
        <w:t>TABLE 8. THE AUC OF THE FULL MODEL UNDER SIX WRITINGS OF THE GLOTTAL STOP</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Convention</w:t>
            </w:r>
          </w:p>
        </w:tc>
        <w:tc>
          <w:tcPr>
            <w:tcW w:type="dxa" w:w="1040"/>
          </w:tcPr>
          <w:p>
            <w:pPr>
              <w:pStyle w:val="OLtablecolumnheading"/>
            </w:pPr>
            <w:r/>
            <w:r>
              <w:rPr>
                <w:b/>
                <w:sz w:val="16"/>
              </w:rPr>
              <w:t>Forms changed</w:t>
            </w:r>
          </w:p>
        </w:tc>
        <w:tc>
          <w:tcPr>
            <w:tcW w:type="dxa" w:w="1040"/>
          </w:tcPr>
          <w:p>
            <w:pPr>
              <w:pStyle w:val="OLtablecolumnheading"/>
            </w:pPr>
            <w:r/>
            <w:r>
              <w:rPr>
                <w:b/>
                <w:sz w:val="16"/>
              </w:rPr>
              <w:t>AUC, cross-validated</w:t>
            </w:r>
          </w:p>
        </w:tc>
        <w:tc>
          <w:tcPr>
            <w:tcW w:type="dxa" w:w="1040"/>
          </w:tcPr>
          <w:p>
            <w:pPr>
              <w:pStyle w:val="OLtablecolumnheading"/>
            </w:pPr>
            <w:r/>
            <w:r>
              <w:rPr>
                <w:b/>
                <w:sz w:val="16"/>
              </w:rPr>
              <w:t>Δ</w:t>
            </w:r>
          </w:p>
        </w:tc>
        <w:tc>
          <w:tcPr>
            <w:tcW w:type="dxa" w:w="1040"/>
          </w:tcPr>
          <w:p>
            <w:pPr>
              <w:pStyle w:val="OLtablecolumnheading"/>
            </w:pPr>
            <w:r/>
            <w:r>
              <w:rPr>
                <w:b/>
                <w:sz w:val="16"/>
              </w:rPr>
              <w:t>AUC, held-out list (mean)</w:t>
            </w:r>
          </w:p>
        </w:tc>
        <w:tc>
          <w:tcPr>
            <w:tcW w:type="dxa" w:w="1040"/>
          </w:tcPr>
          <w:p>
            <w:pPr>
              <w:pStyle w:val="OLtablecolumnheading"/>
            </w:pPr>
            <w:r/>
            <w:r>
              <w:rPr>
                <w:b/>
                <w:sz w:val="16"/>
              </w:rPr>
              <w:t>Δ</w:t>
            </w:r>
          </w:p>
        </w:tc>
      </w:tr>
      <w:tr>
        <w:tc>
          <w:tcPr>
            <w:tcW w:type="dxa" w:w="1040"/>
          </w:tcPr>
          <w:p>
            <w:pPr>
              <w:pStyle w:val="OLtablecontents"/>
            </w:pPr>
            <w:r/>
            <w:r>
              <w:rPr>
                <w:sz w:val="16"/>
              </w:rPr>
              <w:t>As in the sources (ʔ or apostrophe)</w:t>
            </w:r>
          </w:p>
        </w:tc>
        <w:tc>
          <w:tcPr>
            <w:tcW w:type="dxa" w:w="1040"/>
          </w:tcPr>
          <w:p>
            <w:pPr>
              <w:pStyle w:val="OLtablecontents"/>
            </w:pPr>
            <w:r/>
            <w:r>
              <w:rPr>
                <w:sz w:val="16"/>
              </w:rPr>
              <w:t>0</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Mark written as q</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−0.019</w:t>
            </w:r>
          </w:p>
        </w:tc>
      </w:tr>
      <w:tr>
        <w:tc>
          <w:tcPr>
            <w:tcW w:type="dxa" w:w="1040"/>
          </w:tcPr>
          <w:p>
            <w:pPr>
              <w:pStyle w:val="OLtablecontents"/>
            </w:pPr>
            <w:r/>
            <w:r>
              <w:rPr>
                <w:sz w:val="16"/>
              </w:rPr>
              <w:t>Mark written as k</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0.677</w:t>
            </w:r>
          </w:p>
        </w:tc>
        <w:tc>
          <w:tcPr>
            <w:tcW w:type="dxa" w:w="1040"/>
          </w:tcPr>
          <w:p>
            <w:pPr>
              <w:pStyle w:val="OLtablecontents"/>
            </w:pPr>
            <w:r/>
            <w:r>
              <w:rPr>
                <w:sz w:val="16"/>
              </w:rPr>
              <w:t>−0.024</w:t>
            </w:r>
          </w:p>
        </w:tc>
      </w:tr>
      <w:tr>
        <w:tc>
          <w:tcPr>
            <w:tcW w:type="dxa" w:w="1040"/>
          </w:tcPr>
          <w:p>
            <w:pPr>
              <w:pStyle w:val="OLtablecontents"/>
            </w:pPr>
            <w:r/>
            <w:r>
              <w:rPr>
                <w:sz w:val="16"/>
              </w:rPr>
              <w:t>Mark left unwritten</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−0.006</w:t>
            </w:r>
          </w:p>
        </w:tc>
        <w:tc>
          <w:tcPr>
            <w:tcW w:type="dxa" w:w="1040"/>
          </w:tcPr>
          <w:p>
            <w:pPr>
              <w:pStyle w:val="OLtablecontents"/>
            </w:pPr>
            <w:r/>
            <w:r>
              <w:rPr>
                <w:sz w:val="16"/>
              </w:rPr>
              <w:t>0.699</w:t>
            </w:r>
          </w:p>
        </w:tc>
        <w:tc>
          <w:tcPr>
            <w:tcW w:type="dxa" w:w="1040"/>
          </w:tcPr>
          <w:p>
            <w:pPr>
              <w:pStyle w:val="OLtablecontents"/>
            </w:pPr>
            <w:r/>
            <w:r>
              <w:rPr>
                <w:sz w:val="16"/>
              </w:rPr>
              <w:t>−0.001</w:t>
            </w:r>
          </w:p>
        </w:tc>
      </w:tr>
      <w:tr>
        <w:tc>
          <w:tcPr>
            <w:tcW w:type="dxa" w:w="1040"/>
          </w:tcPr>
          <w:p>
            <w:pPr>
              <w:pStyle w:val="OLtablecontents"/>
            </w:pPr>
            <w:r/>
            <w:r>
              <w:rPr>
                <w:sz w:val="16"/>
              </w:rPr>
              <w:t>Pre-glottalised consonant written as a geminate</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−0.007</w:t>
            </w:r>
          </w:p>
        </w:tc>
        <w:tc>
          <w:tcPr>
            <w:tcW w:type="dxa" w:w="1040"/>
          </w:tcPr>
          <w:p>
            <w:pPr>
              <w:pStyle w:val="OLtablecontents"/>
            </w:pPr>
            <w:r/>
            <w:r>
              <w:rPr>
                <w:sz w:val="16"/>
              </w:rPr>
              <w:t>0.696</w:t>
            </w:r>
          </w:p>
        </w:tc>
        <w:tc>
          <w:tcPr>
            <w:tcW w:type="dxa" w:w="1040"/>
          </w:tcPr>
          <w:p>
            <w:pPr>
              <w:pStyle w:val="OLtablecontents"/>
            </w:pPr>
            <w:r/>
            <w:r>
              <w:rPr>
                <w:sz w:val="16"/>
              </w:rPr>
              <w:t>−0.005</w:t>
            </w:r>
          </w:p>
        </w:tc>
      </w:tr>
      <w:tr>
        <w:tc>
          <w:tcPr>
            <w:tcW w:type="dxa" w:w="1040"/>
          </w:tcPr>
          <w:p>
            <w:pPr>
              <w:pStyle w:val="OLtablecontents"/>
            </w:pPr>
            <w:r/>
            <w:r>
              <w:rPr>
                <w:sz w:val="16"/>
              </w:rPr>
              <w:t>Apostrophe written as ʔ (changes no input)</w:t>
            </w:r>
          </w:p>
        </w:tc>
        <w:tc>
          <w:tcPr>
            <w:tcW w:type="dxa" w:w="1040"/>
          </w:tcPr>
          <w:p>
            <w:pPr>
              <w:pStyle w:val="OLtablecontents"/>
            </w:pPr>
            <w:r/>
            <w:r>
              <w:rPr>
                <w:sz w:val="16"/>
              </w:rPr>
              <w:t>32</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Glottal input removed</w:t>
            </w:r>
          </w:p>
        </w:tc>
        <w:tc>
          <w:tcPr>
            <w:tcW w:type="dxa" w:w="1040"/>
          </w:tcPr>
          <w:p>
            <w:pPr>
              <w:pStyle w:val="OLtablecontents"/>
            </w:pPr>
            <w:r/>
            <w:r>
              <w:rPr>
                <w:sz w:val="16"/>
              </w:rPr>
              <w:t>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−0.019</w:t>
            </w:r>
          </w:p>
        </w:tc>
      </w:tr>
    </w:tbl>
    <w:p>
      <w:pPr>
        <w:pStyle w:val="OLtext"/>
      </w:pPr>
      <w:r>
        <w:rPr>
          <w:sz w:val="16"/>
        </w:rPr>
        <w:t xml:space="preserve">Note. Δ is the change from the first row. Rows 2 and 7 are the same change for the classifier; row 3 differs slightly because a </w:t>
      </w:r>
      <w:r>
        <w:rPr>
          <w:i/>
          <w:sz w:val="16"/>
        </w:rPr>
        <w:t>k</w:t>
      </w:r>
      <w:r>
        <w:rPr>
          <w:sz w:val="16"/>
        </w:rPr>
        <w:t xml:space="preserve"> also feeds other inputs; row 5 removes the mark and doubles a following consonant; row 6 changes no input.</w:t>
      </w:r>
    </w:p>
    <w:p>
      <w:pPr>
        <w:pStyle w:val="OL3ptseparator"/>
      </w:pPr>
    </w:p>
    <w:p>
      <w:pPr>
        <w:pStyle w:val="OLtextindented"/>
      </w:pP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artifact: the glottal-mark result above is exactly a dependence on orthography, of modest size.</w:t>
      </w:r>
    </w:p>
    <w:p>
      <w:pPr>
        <w:pStyle w:val="OLheadingB-level"/>
      </w:pPr>
      <w:r>
        <w:t>Are uncoded forms similar across lists?</w:t>
      </w:r>
    </w:p>
    <w:p>
      <w:pPr>
        <w:pStyle w:val="OLtext"/>
      </w:pPr>
      <w:r>
        <w:t>The earlier version of this paper reported a clustering analysis and a test with p = 0.569 as evidence that the uncoded forms share no word families across the lists. The test compared a mean over twenty meanings with single draws of mostly coded vocabulary and did not test that hypothesis; the clustering's "optimal" number of clusters was the edge of the range searched. Both are withdrawn and replaced by the permutation test of section 2.6.</w:t>
      </w:r>
    </w:p>
    <w:p>
      <w:pPr>
        <w:pStyle w:val="OLtextindented"/>
      </w:pPr>
      <w:r>
        <w:t xml:space="preserve">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look-alikes at the 0.34 threshold, against 0.52 expected (p = 0.0016). The positive control shows what a shared layer looks like in the same measure: among the coded forms (1,793 pairs) the mean distance is 0.578 against 0.856, with 472 look-alike pairs against 8.5 expected. The excess among uncoded forms is about one eighth of the excess among coded forms on the distance measure and about one thirtieth on look-alike pairs (comparing the excesses over expectation per pair). The four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(159 forms, 68 pairs) there are too few pairs to tell.</w:t>
      </w:r>
    </w:p>
    <w:p>
      <w:pPr>
        <w:pStyle w:val="OLtextindented"/>
      </w:pP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negative, and it does not describe the uncoded forms as independent innovations either: the data show a small excess of similarity among uncoded forms of the same meaning, of a size far below that of the coded vocabulary, and nothing more. More than twenty p-values were computed in this and the preceding sections; of these, only the primary permutation test had its decision rule written before the run (Section 2.6).</w:t>
      </w:r>
    </w:p>
    <w:p>
      <w:pPr>
        <w:pStyle w:val="OLheadingB-level"/>
      </w:pPr>
      <w:r>
        <w:t>Sixteen further lists.</w:t>
      </w:r>
    </w:p>
    <w:p>
      <w:pPr>
        <w:pStyle w:val="OLtext"/>
      </w:pPr>
      <w:r>
        <w:t>An earlier version applied the model to sixteen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sixteen lists against their own ABVD label with a mean AUC of 0.638 (range 0.427 to 0.795; 0.60 or more in ten of the sixteen). The mean score of the Sulawesi lists is higher than that of the western lists (0.308 against 0.229, p = 0.023), but among coded forms alone the difference is not detectable (0.242 against 0.208, p = 0.37), and we make no geographic claim.</w:t>
      </w:r>
    </w:p>
    <w:p>
      <w:pPr>
        <w:pStyle w:val="OLheadingA-level"/>
      </w:pPr>
      <w:r>
        <w:t>Discussion.</w:t>
      </w:r>
    </w:p>
    <w:p>
      <w:pPr>
        <w:pStyle w:val="OLtext"/>
      </w:pP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p>
    <w:p>
      <w:pPr>
        <w:pStyle w:val="OLtextindented"/>
      </w:pP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a list it has not seen it is below the majority answer. The ranking does carry over to unseen lists, with an AUC of 0.70 on average. Whether that ranking helps a specialist has not been tested; the forms it puts first are long, more often glottal-marked and more often action words (Table 5), and the score carries no etymological information.</w:t>
      </w:r>
    </w:p>
    <w:p>
      <w:pPr>
        <w:pStyle w:val="OLtextindented"/>
      </w:pP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whose sensitivity even on coded forms is at most 38 percent. The counts are compatible with the lexical divergence reported by Mills (1975), Sirk (1989) and Bulbeck, Pasqua, and Di Lello (2000);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p>
    <w:p>
      <w:pPr>
        <w:pStyle w:val="OLtextindented"/>
      </w:pPr>
      <w:r>
        <w:rPr>
          <w:i/>
        </w:rPr>
        <w:t>Tolaki.</w:t>
      </w:r>
      <w:r>
        <w:t xml:space="preserve"> The word under-documentation is withdrawn. The Tolaki list is well filled; it sits on the lower side of a thinly coded subgroup, and most of its uncoded forms have look-alikes elsewhere in Bungku-Tolaki. Seven of them match a coded Proto-Bungku-Tolaki entry by the screen, and twelve resemble the PMP entry. None of this bears on origin, for the reason given in section 3.3.</w:t>
      </w:r>
    </w:p>
    <w:p>
      <w:pPr>
        <w:pStyle w:val="OLtextindented"/>
      </w:pP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p>
    <w:p>
      <w:pPr>
        <w:pStyle w:val="OLtextindented"/>
      </w:pP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 rate differs between lists and subgroups, and one language has two lists that code each other. The properties of the profile are correlated, the intervals treat forms as independent although meanings recur across the six lists, and ten properties were tested without adjustment. Six lists from one island were used. The look-alike screen compares spellings, its 42 Bungku-Tolaki comparison lists represent 13 languages from two contributors, and its sensitivity is an upper bound. The three-class count, the look-alike screens, the permutation test and the spelling tests had their decision rules written before they were run, on the same day and by the same analyst and without external registration; the further counts of section 3.5 and the per-list figures were made after the results were known. Form inputs carry information about the source list even though no list-level input is used. And no single form has been assessed by a specialist in these languages.</w:t>
      </w:r>
    </w:p>
    <w:p>
      <w:pPr>
        <w:pStyle w:val="OLheadingA-level"/>
      </w:pPr>
      <w:r>
        <w:t>Conclusion.</w:t>
      </w:r>
    </w:p>
    <w:p>
      <w:pPr>
        <w:pStyle w:val="OLtext"/>
      </w:pPr>
      <w:r>
        <w:t>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cognate-set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directions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Conversion of the written forms to a phonetic transcription (Anderson et al. 2018) could reduce the dependence on notation that section 3.6 measured.</w:t>
      </w:r>
    </w:p>
    <w:p>
      <w:pPr>
        <w:pStyle w:val="OLreferencesheading"/>
      </w:pPr>
      <w:r>
        <w:t>DATA AND CODE AVAILABILITY</w:t>
      </w:r>
    </w:p>
    <w:p>
      <w:pPr>
        <w:pStyle w:val="OLtext"/>
      </w:pPr>
      <w:r>
        <w:t>The data files described below are deposited at Zenodo ([data DOI redacted for review];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look-alike in other Sulawesi lists and, for Tolaki, in Bungku-Tolaki lists); the 438 uncoded forms as a subset; the 70 uncoded Makasar meanings with the Bugis and Sa'dan Toraja forms and the PMP entry; the twelve Tolaki look-alikes of PMP entries; and the 92 example rows from which table 7 was drawn. The source data are ABVD (Greenhill, Blust, and Gray 2008), lexibank/abvd at repository state 917c5a5, CC BY 4.0. The analysis scripts, the pre-stated decision rules and the result files are in the public project repository ([repository URL redacted for review] folders experiments/E227 to E231; MIT license).</w:t>
      </w:r>
    </w:p>
    <w:p>
      <w:pPr>
        <w:pStyle w:val="OLreferencesheading"/>
      </w:pPr>
      <w:r>
        <w:t>DECLARATION ON THE USE OF ARTIFICIAL INTELLIGENCE</w:t>
      </w:r>
    </w:p>
    <w:p>
      <w:pPr>
        <w:pStyle w:val="OLtext"/>
      </w:pP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substitute are stated where each result is given.</w:t>
      </w:r>
    </w:p>
    <w:p>
      <w:pPr>
        <w:pStyle w:val="OLreferencesheading"/>
      </w:pPr>
      <w:r>
        <w:t>ACKNOWLEDGMENTS</w:t>
      </w:r>
    </w:p>
    <w:p>
      <w:pPr>
        <w:pStyle w:val="OLtext"/>
      </w:pPr>
      <w:r>
        <w:t xml:space="preserve">We thank the two anonymous reviewers of </w:t>
      </w:r>
      <w:r>
        <w:rPr>
          <w:i/>
        </w:rPr>
        <w:t>Oceanic Linguistics</w:t>
      </w:r>
      <w:r>
        <w:t>, whose questions prompted part of the re-derivation reported here, and the editors for their patience. We thank the compilers of the ABVD word lists and the ABVD team for making the data available under an open license.</w:t>
      </w:r>
    </w:p>
    <w:p>
      <w:pPr>
        <w:pStyle w:val="OLreferencesheading"/>
      </w:pPr>
      <w:r>
        <w:t>REFERENCES</w:t>
      </w:r>
    </w:p>
    <w:p>
      <w:pPr>
        <w:pStyle w:val="OLreferencelist"/>
      </w:pPr>
      <w:r>
        <w:t>Anderson, Cormac, Tiago Tresoldi, Thiago Costa Chacon, Anne-Maria Fehn, Mary Walworth, Robert Forkel and Johann-Mattis List. 2018. A cross-linguistic database of phonetic transcription systems. Yearbook of the Poznan Linguistic Meeting 4(1). 21–53. https://doi.org/10.2478/yplm-2018-0002.</w:t>
      </w:r>
    </w:p>
    <w:p>
      <w:pPr>
        <w:pStyle w:val="OLreferencelist"/>
      </w:pPr>
      <w:r>
        <w:t>Bellwood, Peter. 1997. Prehistory of the Indo-Malaysian archipelago. Revised. Honolulu: University of Hawai’i Press.</w:t>
      </w:r>
    </w:p>
    <w:p>
      <w:pPr>
        <w:pStyle w:val="OLreferencelist"/>
      </w:pPr>
      <w:r>
        <w:t>Berg, René van den. 1996. The demise of focus and the spread of conjugated verbs in Sulawesi. In Hein Steinhauer (ed.), Papers in Austronesian linguistics no. 3 (Pacific Linguistics A-84), 89–114. Canberra: Pacific Linguistics, The Australian National University.</w:t>
      </w:r>
    </w:p>
    <w:p>
      <w:pPr>
        <w:pStyle w:val="OLreferencelist"/>
      </w:pPr>
      <w:r>
        <w:t>Blust, Robert. 2012. The Proto-Malayo-Polynesian multiplicative ligature *ŋa: A reply to Reid. Oceanic Linguistics 51(2). 538–566. https://doi.org/10.1353/ol.2012.0016.</w:t>
      </w:r>
    </w:p>
    <w:p>
      <w:pPr>
        <w:pStyle w:val="OLreferencelist"/>
      </w:pPr>
      <w:r>
        <w:t>Blust, Robert. 2013. The Austronesian languages. Revised edition. Canberra: Asia-Pacific Linguistics.</w:t>
      </w:r>
    </w:p>
    <w:p>
      <w:pPr>
        <w:pStyle w:val="OLreferencelist"/>
      </w:pPr>
      <w:r>
        <w:t>Breiman, Leo. 2001. Random forests. Machine Learning 45(1). 5–32. https://doi.org/10.1023/A:1010933404324.</w:t>
      </w:r>
    </w:p>
    <w:p>
      <w:pPr>
        <w:pStyle w:val="OLreferencelist"/>
      </w:pPr>
      <w:r>
        <w:t>Bulbeck, David, Monique Pasqua and Adrian Di Lello. 2000. Culture history of the Toalean of South Sulawesi, Indonesia. Asian Perspectives 39(1–2). 71–108. https://doi.org/10.1353/asi.2000.0004.</w:t>
      </w:r>
    </w:p>
    <w:p>
      <w:pPr>
        <w:pStyle w:val="OLreferencelist"/>
      </w:pPr>
      <w:r>
        <w:t>Bulbeck, F. David. 1992. A tale of two kingdoms: The historical archaeology of Gowa and Tallok, South Sulawesi, Indonesia. Canberra: The Australian National University PhD thesis.</w:t>
      </w:r>
    </w:p>
    <w:p>
      <w:pPr>
        <w:pStyle w:val="OLreferencelist"/>
      </w:pPr>
      <w:r>
        <w:t>Chen, Tianqi and Carlos Guestrin. 2016. XGBoost: A scalable tree boosting system. In Proceedings of the 22nd ACM SIGKDD international conference on knowledge discovery and data mining, 785–794. https://doi.org/10.1145/2939672.2939785.</w:t>
      </w:r>
    </w:p>
    <w:p>
      <w:pPr>
        <w:pStyle w:val="OLreferencelist"/>
      </w:pPr>
      <w:r>
        <w:t>Cohen, Jacob. 1960. A coefficient of agreement for nominal scales. Educational and Psychological Measurement 20(1). 37–46. https://doi.org/10.1177/001316446002000104.</w:t>
      </w:r>
    </w:p>
    <w:p>
      <w:pPr>
        <w:pStyle w:val="OLreferencelist"/>
      </w:pPr>
      <w:r>
        <w:t>Forkel, Robert, Johann-Mattis List, Simon J. Greenhill, Christoph Rzymski, Sebastian Bank, Michael Cysouw, Harald Hammarström, Martin Haspelmath, Gereon A. Kaiping and Russell D. Gray. 2018. Cross-Linguistic Data Formats, advancing data sharing and re-use in comparative linguistics. Scientific Data 5. 180205. https://doi.org/10.1038/sdata.2018.205.</w:t>
      </w:r>
    </w:p>
    <w:p>
      <w:pPr>
        <w:pStyle w:val="OLreferencelist"/>
      </w:pPr>
      <w:r>
        <w:t>Gray, Russell D., Alexei J. Drummond and Simon J. Greenhill. 2009. Language phylogenies reveal expansion pulses and pauses in Pacific settlement. Science 323(5913). 479–483. https://doi.org/10.1126/science.1166858.</w:t>
      </w:r>
    </w:p>
    <w:p>
      <w:pPr>
        <w:pStyle w:val="OLreferencelist"/>
      </w:pPr>
      <w:r>
        <w:t>Greenhill, Simon J., Robert Blust and Russell D. Gray. 2008. The Austronesian Basic Vocabulary Database: From bioinformatics to lexomics. Evolutionary Bioinformatics 4. 271–283. https://doi.org/10.4137/EBO.S893.</w:t>
      </w:r>
    </w:p>
    <w:p>
      <w:pPr>
        <w:pStyle w:val="OLreferencelist"/>
      </w:pPr>
      <w:r>
        <w:t>Levenshtein, Vladimir I. 1966. Binary codes capable of correcting deletions, insertions, and reversals. Soviet Physics Doklady 10(8). 707–710.</w:t>
      </w:r>
    </w:p>
    <w:p>
      <w:pPr>
        <w:pStyle w:val="OLreferencelist"/>
      </w:pPr>
      <w:r>
        <w:t>List, Johann-Mattis. 2012. LexStat: Automatic detection of cognates in multilingual wordlists. In Proceedings of the EACL 2012 joint workshop of LINGVIS and UNCLH, 117–125. Avignon, France: Association for Computational Linguistics.</w:t>
      </w:r>
    </w:p>
    <w:p>
      <w:pPr>
        <w:pStyle w:val="OLreferencelist"/>
      </w:pPr>
      <w:r>
        <w:t>Lundberg, Scott M. and Su-In Lee. 2017. A unified approach to interpreting model predictions. In Advances in neural information processing systems 30, 4765–4774.</w:t>
      </w:r>
    </w:p>
    <w:p>
      <w:pPr>
        <w:pStyle w:val="OLreferencelist"/>
      </w:pPr>
      <w:r>
        <w:t>Mead, David. 2003. Evidence for a Celebic supergroup. In John Lynch (ed.), Issues in Austronesian historical phonology (Pacific Linguistics 550), 115–141. Canberra: Pacific Linguistics, The Australian National University. https://doi.org/10.15144/PL-550.115.</w:t>
      </w:r>
    </w:p>
    <w:p>
      <w:pPr>
        <w:pStyle w:val="OLreferencelist"/>
      </w:pPr>
      <w:r>
        <w:t>Mills, Roger Frederick. 1975. Proto South Sulawesi and Proto Austronesian phonology. Ann Arbor: University of Michigan PhD thesis.</w:t>
      </w:r>
    </w:p>
    <w:p>
      <w:pPr>
        <w:pStyle w:val="OLreferencelist"/>
      </w:pPr>
      <w:r>
        <w:t>Nahm, Francis Sahngun. 2022. Receiver operating characteristic curve: Overview and practical use for clinicians. Korean Journal of Anesthesiology 75(1). 25–36. https://doi.org/10.4097/kja.21209.</w:t>
      </w:r>
    </w:p>
    <w:p>
      <w:pPr>
        <w:pStyle w:val="OLreferencelist"/>
      </w:pPr>
      <w:r>
        <w:t>Pedregosa, Fabian, Gaël Varoquaux, Alexandre Gramfort, Vincent Michel, Bertrand Thirion, Olivier Grisel, Mathieu Blondel, et al. 2011. Scikit-learn: Machine learning in Python. Journal of Machine Learning Research 12. 2825–2830.</w:t>
      </w:r>
    </w:p>
    <w:p>
      <w:pPr>
        <w:pStyle w:val="OLreferencelist"/>
      </w:pPr>
      <w:r>
        <w:t>Reid, Lawrence A. 1994. Possible non-Austronesian lexical elements in Philippine Negrito languages. Oceanic Linguistics 33(1). 37–72. https://doi.org/10.2307/3623000.</w:t>
      </w:r>
    </w:p>
    <w:p>
      <w:pPr>
        <w:pStyle w:val="OLreferencelist"/>
      </w:pPr>
      <w:r>
        <w:t>Sirk, Ülo. 1989. On the evidential basis for the South Sulawesi language group. In James N. Sneddon (ed.), Studies in Sulawesi linguistics, part 1 (NUSA: Linguistic Studies of Indonesian and Other Languages in Indonesia), vol. 31, 55–82. Jakarta: Universitas Katolik Indonesia Atma Jaya.</w:t>
      </w:r>
    </w:p>
    <w:p>
      <w:pPr>
        <w:pStyle w:val="OLreferencelist"/>
      </w:pPr>
      <w:r>
        <w:t>Sneddon, J. N. 1993. The drift towards final open syllables in Sulawesi languages. Oceanic Linguistics 32(1). 1–44. https://doi.org/10.2307/3623095.</w:t>
      </w:r>
    </w:p>
    <w:p>
      <w:pPr>
        <w:pStyle w:val="OLreferencelist"/>
      </w:pPr>
      <w:r>
        <w:t>White, Nicole, Rex Parsons, Gary Collins and Adrian Barnett. 2023. Evidence of questionable research practices in clinical prediction models. BMC Medicine 21. 339. https://doi.org/10.1186/s12916-023-03048-6.</w:t>
      </w:r>
    </w:p>
    <w:sectPr w:rsidR="00C74FB9" w:rsidSect="00A54A95">
      <w:headerReference w:type="even" r:id="rId8"/>
      <w:headerReference w:type="default" r:id="rId9"/>
      <w:footerReference w:type="first" r:id="rId10"/>
      <w:headerReference w:type="first" r:id="rId13"/>
      <w:type w:val="continuous"/>
      <w:pgSz w:w="8640" w:h="12960" w:code="9"/>
      <w:pgMar w:top="1320" w:right="1080" w:bottom="1030" w:left="1320" w:header="85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1DB" w:rsidRDefault="002B51DB">
      <w:r>
        <w:separator/>
      </w:r>
    </w:p>
  </w:endnote>
  <w:endnote w:type="continuationSeparator" w:id="0">
    <w:p w:rsidR="002B51DB" w:rsidRDefault="002B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ulos SIL">
    <w:altName w:val="Calibri"/>
    <w:charset w:val="00"/>
    <w:family w:val="auto"/>
    <w:pitch w:val="variable"/>
    <w:sig w:usb0="A00002FF" w:usb1="5200A1FF" w:usb2="02000009" w:usb3="00000000" w:csb0="00000197" w:csb1="00000000"/>
  </w:font>
  <w:font w:name="Linux Libertine">
    <w:altName w:val="Cambria"/>
    <w:charset w:val="00"/>
    <w:family w:val="auto"/>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0D50" w:rsidRPr="001F78FB" w:rsidRDefault="00050D50" w:rsidP="001F78FB">
    <w:pPr>
      <w:pStyle w:val="OLcopyrightfooter"/>
    </w:pPr>
  </w:p>
  <w:p w:rsidR="00050D50" w:rsidRPr="001F78FB" w:rsidRDefault="00050D50" w:rsidP="001F78FB">
    <w:pPr>
      <w:pStyle w:val="OLcopyrightfooter"/>
    </w:pPr>
    <w:r w:rsidRPr="001F78FB">
      <w:rPr>
        <w:i/>
      </w:rPr>
      <w:t>Oceanic Linguistics</w:t>
    </w:r>
    <w:r w:rsidRPr="001F78FB">
      <w:t>, Volume XX, no. X (June/December YY</w:t>
    </w:r>
    <w:r>
      <w:t>Y</w:t>
    </w:r>
    <w:r w:rsidRPr="001F78FB">
      <w:t>Y)</w:t>
    </w:r>
  </w:p>
  <w:p w:rsidR="00050D50" w:rsidRPr="001F78FB" w:rsidRDefault="00050D50" w:rsidP="001F78FB">
    <w:pPr>
      <w:pStyle w:val="OLcopyrightfooter"/>
    </w:pPr>
    <w:r w:rsidRPr="001F78FB">
      <w:t>© by University of Hawai‘i Press,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1DB" w:rsidRPr="00351BAF" w:rsidRDefault="002B51DB" w:rsidP="00351BAF">
      <w:pPr>
        <w:pStyle w:val="OLtext"/>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6930"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gTHgIAADsEAAAOAAAAZHJzL2Uyb0RvYy54bWysU82O2jAQvlfqO1i+QxLIUo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" strokeweight=".5pt"/>
            </w:pict>
          </mc:Fallback>
        </mc:AlternateContent>
      </w:r>
      <w:r w:rsidRPr="00351BAF">
        <w:t>———————</w:t>
      </w:r>
      <w:r>
        <w:t>—</w:t>
      </w:r>
    </w:p>
  </w:footnote>
  <w:footnote w:type="continuationSeparator" w:id="0">
    <w:p w:rsidR="002B51DB" w:rsidRDefault="002B51DB">
      <w:r w:rsidRPr="00351BAF">
        <w:t>———————</w:t>
      </w:r>
      <w:r>
        <w:t>—</w:t>
      </w:r>
    </w:p>
  </w:footnote>
  <w:footnote w:id="1">
    <w:p w:rsidR="00050D50" w:rsidRDefault="00050D50" w:rsidP="00351BAF">
      <w:pPr>
        <w:pStyle w:val="OLfootnote"/>
      </w:pPr>
      <w:r w:rsidRPr="00CD2586">
        <w:rPr>
          <w:rStyle w:val="FootnoteReference"/>
          <w:vertAlign w:val="baseline"/>
        </w:rPr>
        <w:footnoteRef/>
      </w:r>
      <w:r>
        <w:t>.</w:t>
      </w:r>
      <w:r w:rsidRPr="00CD2586">
        <w:t xml:space="preserve"> </w:t>
      </w:r>
      <w:r w:rsidRPr="00CD2586">
        <w:tab/>
        <w:t xml:space="preserve">Articles typically include a note of thanks to those who </w:t>
      </w:r>
      <w:r>
        <w:t xml:space="preserve">read earlier versions of the article </w:t>
      </w:r>
      <w:r w:rsidRPr="00CD2586">
        <w:t>(including anonymous reviewers). These notes go at the beginning after the first section header.</w:t>
      </w:r>
      <w:r>
        <w:t xml:space="preserve"> For this style sheet, I would like to thank John Lynch in particular who provided me with the OL specs and answered many of my </w:t>
      </w:r>
      <w:r w:rsidRPr="00BB1731">
        <w:t>questions.</w:t>
      </w:r>
    </w:p>
    <w:p w:rsidR="00050D50" w:rsidRPr="00CD2586" w:rsidRDefault="00050D50" w:rsidP="00656F06">
      <w:pPr>
        <w:pStyle w:val="OLfootnoteextraparagraph"/>
      </w:pPr>
      <w:r>
        <w:t xml:space="preserve">Abbreviations differing from the Leipzig Glossing Rules can also be placed in the introductory footnote (see section 8.3). Glosses in this style sheet follow the Leipzig glossing rules with the following exceptions: </w:t>
      </w:r>
      <w:r>
        <w:rPr>
          <w:smallCaps/>
        </w:rPr>
        <w:t>lv</w:t>
      </w:r>
      <w:r>
        <w:t xml:space="preserve">, locative voice; </w:t>
      </w:r>
      <w:r w:rsidRPr="00656F06">
        <w:rPr>
          <w:smallCaps/>
        </w:rPr>
        <w:t>m</w:t>
      </w:r>
      <w:r>
        <w:t xml:space="preserve">, metathesized; </w:t>
      </w:r>
      <w:r>
        <w:rPr>
          <w:smallCaps/>
        </w:rPr>
        <w:t>pv</w:t>
      </w:r>
      <w:r>
        <w:t xml:space="preserve">, patient voice; and </w:t>
      </w:r>
      <w:r w:rsidRPr="00656F06">
        <w:rPr>
          <w:smallCaps/>
        </w:rPr>
        <w:t>sub</w:t>
      </w:r>
      <w:r>
        <w:t>, subordinator.</w:t>
      </w:r>
    </w:p>
  </w:footnote>
  <w:footnote w:id="2">
    <w:p w:rsidR="00050D50" w:rsidRPr="009B1668" w:rsidRDefault="00050D50" w:rsidP="009B1668">
      <w:pPr>
        <w:pStyle w:val="OLfootnote"/>
        <w:rPr>
          <w:lang w:val="en-AU"/>
        </w:rPr>
      </w:pPr>
      <w:r w:rsidRPr="009B1668">
        <w:rPr>
          <w:rStyle w:val="FootnoteReference"/>
          <w:vertAlign w:val="baseline"/>
        </w:rPr>
        <w:footnoteRef/>
      </w:r>
      <w:r w:rsidRPr="009B1668">
        <w:t xml:space="preserve">. </w:t>
      </w:r>
      <w:r w:rsidRPr="009B1668">
        <w:tab/>
      </w:r>
      <w:r>
        <w:rPr>
          <w:lang w:val="en-AU"/>
        </w:rPr>
        <w:t>A handy trick to avoid MS Word underlining all the target language text as being misspelled is to change the language for the top line of an example</w:t>
      </w:r>
      <w:r w:rsidRPr="009B1668">
        <w:rPr>
          <w:lang w:val="en-AU"/>
        </w:rPr>
        <w:t xml:space="preserve"> to </w:t>
      </w:r>
      <w:r>
        <w:rPr>
          <w:lang w:val="en-AU"/>
        </w:rPr>
        <w:t>a language</w:t>
      </w:r>
      <w:r w:rsidRPr="009B1668">
        <w:rPr>
          <w:lang w:val="en-AU"/>
        </w:rPr>
        <w:t xml:space="preserve"> for which you do no</w:t>
      </w:r>
      <w:r>
        <w:rPr>
          <w:lang w:val="en-AU"/>
        </w:rPr>
        <w:t>t have spell-checker installed. I use Indonesian for this purpose.</w:t>
      </w:r>
    </w:p>
  </w:footnote>
  <w:footnote w:id="3">
    <w:p w:rsidR="00050D50" w:rsidRDefault="00050D50" w:rsidP="001C3FA0">
      <w:pPr>
        <w:pStyle w:val="OLfootnote"/>
      </w:pPr>
      <w:r w:rsidRPr="00491046">
        <w:rPr>
          <w:rStyle w:val="FootnoteReference"/>
          <w:vertAlign w:val="baseline"/>
        </w:rPr>
        <w:footnoteRef/>
      </w:r>
      <w:r>
        <w:t xml:space="preserve">. </w:t>
      </w:r>
      <w:r>
        <w:tab/>
        <w:t>The way the online submission system works means that images may move around and overlap with other elements of the document after conversion to PDF.</w:t>
      </w:r>
    </w:p>
  </w:footnote>
  <w:footnote w:id="4">
    <w:p w:rsidR="00050D50" w:rsidRPr="003B682C" w:rsidRDefault="00050D50" w:rsidP="003B682C">
      <w:pPr>
        <w:pStyle w:val="OLfootnote"/>
      </w:pPr>
      <w:r w:rsidRPr="003B682C">
        <w:rPr>
          <w:rStyle w:val="FootnoteReference"/>
          <w:vertAlign w:val="baseline"/>
        </w:rPr>
        <w:footnoteRef/>
      </w:r>
      <w:r>
        <w:t>.</w:t>
      </w:r>
      <w:r w:rsidRPr="003B682C">
        <w:tab/>
      </w:r>
      <w:r>
        <w:t>Asterisks are not used as table note callout as they are used frequently in linguistics to mark ungrammatical examples or reconstructions.</w:t>
      </w:r>
    </w:p>
  </w:footnote>
  <w:footnote w:id="5">
    <w:p w:rsidR="00050D50" w:rsidRPr="00EB5F58" w:rsidRDefault="00050D50" w:rsidP="00EB5F58">
      <w:pPr>
        <w:pStyle w:val="OLfootnote"/>
      </w:pPr>
      <w:r w:rsidRPr="00EB5F58">
        <w:rPr>
          <w:rStyle w:val="FootnoteReference"/>
          <w:vertAlign w:val="baseline"/>
        </w:rPr>
        <w:footnoteRef/>
      </w:r>
      <w:r>
        <w:t>.</w:t>
      </w:r>
      <w:r w:rsidRPr="00EB5F58">
        <w:tab/>
      </w:r>
      <w:r>
        <w:t>This is an example footnote. The number in the note itself is followed by a period and a tab-stop. The number is also not superscript.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3"/>
      <w:docPartObj>
        <w:docPartGallery w:val="Page Numbers (Top of Page)"/>
        <w:docPartUnique/>
      </w:docPartObj>
    </w:sdtPr>
    <w:sdtEndPr/>
    <w:sdtContent>
      <w:p w:rsidR="00050D50" w:rsidRPr="00B62BCF" w:rsidRDefault="00050D50" w:rsidP="003F298C">
        <w:pPr>
          <w:pStyle w:val="OLvolumeheader"/>
        </w:pP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4"/>
      <w:docPartObj>
        <w:docPartGallery w:val="Page Numbers (Top of Page)"/>
        <w:docPartUnique/>
      </w:docPartObj>
    </w:sdtPr>
    <w:sdtEndPr>
      <w:rPr>
        <w:sz w:val="24"/>
      </w:rPr>
    </w:sdtEndPr>
    <w:sdtContent>
      <w:p w:rsidR="00050D50" w:rsidRPr="00BB724D" w:rsidRDefault="00050D50" w:rsidP="00CD05EC">
        <w:pPr>
          <w:pStyle w:val="OLarticlerunninghead"/>
        </w:pP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p>
    </w:sdtContent>
  </w:sdt>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438E7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E76B3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A423D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E025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6E5B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908B72"/>
    <w:lvl w:ilvl="0">
      <w:start w:val="1"/>
      <w:numFmt w:val="bullet"/>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5246B516"/>
    <w:lvl w:ilvl="0">
      <w:start w:val="1"/>
      <w:numFmt w:val="bullet"/>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BBC4C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6C06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8A3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640E053E"/>
    <w:lvl w:ilvl="0">
      <w:numFmt w:val="decimal"/>
      <w:lvlText w:val="*"/>
      <w:lvlJc w:val="left"/>
    </w:lvl>
  </w:abstractNum>
  <w:abstractNum w:abstractNumId="11" w15:restartNumberingAfterBreak="0">
    <w:nsid w:val="087A5C6F"/>
    <w:multiLevelType w:val="singleLevel"/>
    <w:tmpl w:val="7E32E152"/>
    <w:lvl w:ilvl="0">
      <w:start w:val="1"/>
      <w:numFmt w:val="decimal"/>
      <w:lvlText w:val="%1."/>
      <w:legacy w:legacy="1" w:legacySpace="0" w:legacyIndent="360"/>
      <w:lvlJc w:val="left"/>
      <w:pPr>
        <w:ind w:left="1080" w:hanging="360"/>
      </w:pPr>
    </w:lvl>
  </w:abstractNum>
  <w:abstractNum w:abstractNumId="12" w15:restartNumberingAfterBreak="0">
    <w:nsid w:val="08FF5682"/>
    <w:multiLevelType w:val="singleLevel"/>
    <w:tmpl w:val="06ECE602"/>
    <w:lvl w:ilvl="0">
      <w:start w:val="1"/>
      <w:numFmt w:val="lowerLetter"/>
      <w:lvlText w:val="%1)"/>
      <w:legacy w:legacy="1" w:legacySpace="0" w:legacyIndent="360"/>
      <w:lvlJc w:val="left"/>
      <w:pPr>
        <w:ind w:left="1440" w:hanging="360"/>
      </w:pPr>
    </w:lvl>
  </w:abstractNum>
  <w:abstractNum w:abstractNumId="13" w15:restartNumberingAfterBreak="0">
    <w:nsid w:val="0ABB5C79"/>
    <w:multiLevelType w:val="hybridMultilevel"/>
    <w:tmpl w:val="6E94B2CC"/>
    <w:lvl w:ilvl="0" w:tplc="BA56F362">
      <w:start w:val="1"/>
      <w:numFmt w:val="decimal"/>
      <w:lvlText w:val="%1."/>
      <w:lvlJc w:val="left"/>
      <w:pPr>
        <w:tabs>
          <w:tab w:val="num" w:pos="480"/>
        </w:tabs>
        <w:ind w:left="480" w:hanging="360"/>
      </w:pPr>
      <w:rPr>
        <w:rFonts w:hint="default"/>
      </w:rPr>
    </w:lvl>
    <w:lvl w:ilvl="1" w:tplc="8FB48114">
      <w:start w:val="1"/>
      <w:numFmt w:val="lowerLetter"/>
      <w:lvlText w:val="%2."/>
      <w:lvlJc w:val="left"/>
      <w:pPr>
        <w:tabs>
          <w:tab w:val="num" w:pos="1200"/>
        </w:tabs>
        <w:ind w:left="1200" w:hanging="360"/>
      </w:pPr>
    </w:lvl>
    <w:lvl w:ilvl="2" w:tplc="3C5C1B88">
      <w:start w:val="1"/>
      <w:numFmt w:val="lowerRoman"/>
      <w:lvlText w:val="%3."/>
      <w:lvlJc w:val="right"/>
      <w:pPr>
        <w:tabs>
          <w:tab w:val="num" w:pos="1920"/>
        </w:tabs>
        <w:ind w:left="1920" w:hanging="180"/>
      </w:pPr>
    </w:lvl>
    <w:lvl w:ilvl="3" w:tplc="76DC5EA4">
      <w:start w:val="1"/>
      <w:numFmt w:val="decimal"/>
      <w:lvlText w:val="%4."/>
      <w:lvlJc w:val="left"/>
      <w:pPr>
        <w:tabs>
          <w:tab w:val="num" w:pos="2640"/>
        </w:tabs>
        <w:ind w:left="2640" w:hanging="360"/>
      </w:pPr>
    </w:lvl>
    <w:lvl w:ilvl="4" w:tplc="1F5440C0">
      <w:start w:val="1"/>
      <w:numFmt w:val="lowerLetter"/>
      <w:lvlText w:val="%5."/>
      <w:lvlJc w:val="left"/>
      <w:pPr>
        <w:tabs>
          <w:tab w:val="num" w:pos="3360"/>
        </w:tabs>
        <w:ind w:left="3360" w:hanging="360"/>
      </w:pPr>
    </w:lvl>
    <w:lvl w:ilvl="5" w:tplc="783C0322">
      <w:start w:val="1"/>
      <w:numFmt w:val="lowerRoman"/>
      <w:lvlText w:val="%6."/>
      <w:lvlJc w:val="right"/>
      <w:pPr>
        <w:tabs>
          <w:tab w:val="num" w:pos="4080"/>
        </w:tabs>
        <w:ind w:left="4080" w:hanging="180"/>
      </w:pPr>
    </w:lvl>
    <w:lvl w:ilvl="6" w:tplc="67907122">
      <w:start w:val="1"/>
      <w:numFmt w:val="decimal"/>
      <w:lvlText w:val="%7."/>
      <w:lvlJc w:val="left"/>
      <w:pPr>
        <w:tabs>
          <w:tab w:val="num" w:pos="4800"/>
        </w:tabs>
        <w:ind w:left="4800" w:hanging="360"/>
      </w:pPr>
    </w:lvl>
    <w:lvl w:ilvl="7" w:tplc="9EA000BE">
      <w:start w:val="1"/>
      <w:numFmt w:val="lowerLetter"/>
      <w:lvlText w:val="%8."/>
      <w:lvlJc w:val="left"/>
      <w:pPr>
        <w:tabs>
          <w:tab w:val="num" w:pos="5520"/>
        </w:tabs>
        <w:ind w:left="5520" w:hanging="360"/>
      </w:pPr>
    </w:lvl>
    <w:lvl w:ilvl="8" w:tplc="EC366170">
      <w:start w:val="1"/>
      <w:numFmt w:val="lowerRoman"/>
      <w:lvlText w:val="%9."/>
      <w:lvlJc w:val="right"/>
      <w:pPr>
        <w:tabs>
          <w:tab w:val="num" w:pos="6240"/>
        </w:tabs>
        <w:ind w:left="6240" w:hanging="180"/>
      </w:pPr>
    </w:lvl>
  </w:abstractNum>
  <w:abstractNum w:abstractNumId="14" w15:restartNumberingAfterBreak="0">
    <w:nsid w:val="0D3C7C24"/>
    <w:multiLevelType w:val="singleLevel"/>
    <w:tmpl w:val="7E32E152"/>
    <w:lvl w:ilvl="0">
      <w:start w:val="1"/>
      <w:numFmt w:val="decimal"/>
      <w:lvlText w:val="%1."/>
      <w:legacy w:legacy="1" w:legacySpace="0" w:legacyIndent="360"/>
      <w:lvlJc w:val="left"/>
      <w:pPr>
        <w:ind w:left="1080" w:hanging="360"/>
      </w:pPr>
    </w:lvl>
  </w:abstractNum>
  <w:abstractNum w:abstractNumId="15" w15:restartNumberingAfterBreak="0">
    <w:nsid w:val="0DC856FB"/>
    <w:multiLevelType w:val="hybridMultilevel"/>
    <w:tmpl w:val="5ED4717A"/>
    <w:lvl w:ilvl="0" w:tplc="9138AC2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19CB48AD"/>
    <w:multiLevelType w:val="hybridMultilevel"/>
    <w:tmpl w:val="C6CE5634"/>
    <w:lvl w:ilvl="0" w:tplc="D46CAF4A">
      <w:start w:val="1"/>
      <w:numFmt w:val="bullet"/>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7" w15:restartNumberingAfterBreak="0">
    <w:nsid w:val="1A4F7358"/>
    <w:multiLevelType w:val="hybridMultilevel"/>
    <w:tmpl w:val="489610FE"/>
    <w:lvl w:ilvl="0" w:tplc="3B9EA430">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8" w15:restartNumberingAfterBreak="0">
    <w:nsid w:val="1F1D65A1"/>
    <w:multiLevelType w:val="hybridMultilevel"/>
    <w:tmpl w:val="3DCE8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8487E21"/>
    <w:multiLevelType w:val="hybridMultilevel"/>
    <w:tmpl w:val="021AF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88E7963"/>
    <w:multiLevelType w:val="hybridMultilevel"/>
    <w:tmpl w:val="51582F4A"/>
    <w:lvl w:ilvl="0" w:tplc="AC106880">
      <w:start w:val="1"/>
      <w:numFmt w:val="lowerLetter"/>
      <w:lvlText w:val="%1."/>
      <w:lvlJc w:val="left"/>
      <w:pPr>
        <w:tabs>
          <w:tab w:val="num" w:pos="927"/>
        </w:tabs>
        <w:ind w:left="927" w:hanging="360"/>
      </w:pPr>
      <w:rPr>
        <w:rFont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2B447C39"/>
    <w:multiLevelType w:val="multilevel"/>
    <w:tmpl w:val="D32CE876"/>
    <w:styleLink w:val="OLsections"/>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BF75542"/>
    <w:multiLevelType w:val="hybridMultilevel"/>
    <w:tmpl w:val="5BF2BB9E"/>
    <w:lvl w:ilvl="0" w:tplc="0409000F">
      <w:start w:val="1"/>
      <w:numFmt w:val="bullet"/>
      <w:lvlText w:val=""/>
      <w:lvlJc w:val="left"/>
      <w:pPr>
        <w:tabs>
          <w:tab w:val="num" w:pos="1702"/>
        </w:tabs>
        <w:ind w:left="1702" w:hanging="284"/>
      </w:pPr>
      <w:rPr>
        <w:rFonts w:ascii="Symbol" w:hAnsi="Symbol" w:hint="default"/>
      </w:rPr>
    </w:lvl>
    <w:lvl w:ilvl="1" w:tplc="04090019" w:tentative="1">
      <w:start w:val="1"/>
      <w:numFmt w:val="bullet"/>
      <w:lvlText w:val="o"/>
      <w:lvlJc w:val="left"/>
      <w:pPr>
        <w:tabs>
          <w:tab w:val="num" w:pos="2291"/>
        </w:tabs>
        <w:ind w:left="2291" w:hanging="360"/>
      </w:pPr>
      <w:rPr>
        <w:rFonts w:ascii="Courier New" w:hAnsi="Courier New" w:cs="Courier New" w:hint="default"/>
      </w:rPr>
    </w:lvl>
    <w:lvl w:ilvl="2" w:tplc="0409001B" w:tentative="1">
      <w:start w:val="1"/>
      <w:numFmt w:val="bullet"/>
      <w:lvlText w:val=""/>
      <w:lvlJc w:val="left"/>
      <w:pPr>
        <w:tabs>
          <w:tab w:val="num" w:pos="3011"/>
        </w:tabs>
        <w:ind w:left="3011" w:hanging="360"/>
      </w:pPr>
      <w:rPr>
        <w:rFonts w:ascii="Wingdings" w:hAnsi="Wingdings" w:hint="default"/>
      </w:rPr>
    </w:lvl>
    <w:lvl w:ilvl="3" w:tplc="0409000F" w:tentative="1">
      <w:start w:val="1"/>
      <w:numFmt w:val="bullet"/>
      <w:lvlText w:val=""/>
      <w:lvlJc w:val="left"/>
      <w:pPr>
        <w:tabs>
          <w:tab w:val="num" w:pos="3731"/>
        </w:tabs>
        <w:ind w:left="3731" w:hanging="360"/>
      </w:pPr>
      <w:rPr>
        <w:rFonts w:ascii="Symbol" w:hAnsi="Symbol" w:hint="default"/>
      </w:rPr>
    </w:lvl>
    <w:lvl w:ilvl="4" w:tplc="04090019" w:tentative="1">
      <w:start w:val="1"/>
      <w:numFmt w:val="bullet"/>
      <w:lvlText w:val="o"/>
      <w:lvlJc w:val="left"/>
      <w:pPr>
        <w:tabs>
          <w:tab w:val="num" w:pos="4451"/>
        </w:tabs>
        <w:ind w:left="4451" w:hanging="360"/>
      </w:pPr>
      <w:rPr>
        <w:rFonts w:ascii="Courier New" w:hAnsi="Courier New" w:cs="Courier New" w:hint="default"/>
      </w:rPr>
    </w:lvl>
    <w:lvl w:ilvl="5" w:tplc="0409001B" w:tentative="1">
      <w:start w:val="1"/>
      <w:numFmt w:val="bullet"/>
      <w:lvlText w:val=""/>
      <w:lvlJc w:val="left"/>
      <w:pPr>
        <w:tabs>
          <w:tab w:val="num" w:pos="5171"/>
        </w:tabs>
        <w:ind w:left="5171" w:hanging="360"/>
      </w:pPr>
      <w:rPr>
        <w:rFonts w:ascii="Wingdings" w:hAnsi="Wingdings" w:hint="default"/>
      </w:rPr>
    </w:lvl>
    <w:lvl w:ilvl="6" w:tplc="0409000F" w:tentative="1">
      <w:start w:val="1"/>
      <w:numFmt w:val="bullet"/>
      <w:lvlText w:val=""/>
      <w:lvlJc w:val="left"/>
      <w:pPr>
        <w:tabs>
          <w:tab w:val="num" w:pos="5891"/>
        </w:tabs>
        <w:ind w:left="5891" w:hanging="360"/>
      </w:pPr>
      <w:rPr>
        <w:rFonts w:ascii="Symbol" w:hAnsi="Symbol" w:hint="default"/>
      </w:rPr>
    </w:lvl>
    <w:lvl w:ilvl="7" w:tplc="04090019" w:tentative="1">
      <w:start w:val="1"/>
      <w:numFmt w:val="bullet"/>
      <w:lvlText w:val="o"/>
      <w:lvlJc w:val="left"/>
      <w:pPr>
        <w:tabs>
          <w:tab w:val="num" w:pos="6611"/>
        </w:tabs>
        <w:ind w:left="6611" w:hanging="360"/>
      </w:pPr>
      <w:rPr>
        <w:rFonts w:ascii="Courier New" w:hAnsi="Courier New" w:cs="Courier New" w:hint="default"/>
      </w:rPr>
    </w:lvl>
    <w:lvl w:ilvl="8" w:tplc="0409001B"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C7062B8"/>
    <w:multiLevelType w:val="singleLevel"/>
    <w:tmpl w:val="7E32E152"/>
    <w:lvl w:ilvl="0">
      <w:start w:val="1"/>
      <w:numFmt w:val="decimal"/>
      <w:lvlText w:val="%1."/>
      <w:legacy w:legacy="1" w:legacySpace="0" w:legacyIndent="360"/>
      <w:lvlJc w:val="left"/>
      <w:pPr>
        <w:ind w:left="1080" w:hanging="360"/>
      </w:pPr>
    </w:lvl>
  </w:abstractNum>
  <w:abstractNum w:abstractNumId="24" w15:restartNumberingAfterBreak="0">
    <w:nsid w:val="3FAB35D9"/>
    <w:multiLevelType w:val="hybridMultilevel"/>
    <w:tmpl w:val="2B2CAC4A"/>
    <w:lvl w:ilvl="0" w:tplc="7F3237BC">
      <w:start w:val="1"/>
      <w:numFmt w:val="bullet"/>
      <w:lvlText w:val=""/>
      <w:lvlJc w:val="left"/>
      <w:pPr>
        <w:tabs>
          <w:tab w:val="num" w:pos="1080"/>
        </w:tabs>
        <w:ind w:left="1080" w:hanging="360"/>
      </w:pPr>
      <w:rPr>
        <w:rFonts w:ascii="Symbol" w:hAnsi="Symbol" w:cs="Times New Roman" w:hint="default"/>
      </w:rPr>
    </w:lvl>
    <w:lvl w:ilvl="1" w:tplc="A608F198">
      <w:start w:val="1"/>
      <w:numFmt w:val="bullet"/>
      <w:lvlText w:val="o"/>
      <w:lvlJc w:val="left"/>
      <w:pPr>
        <w:tabs>
          <w:tab w:val="num" w:pos="1800"/>
        </w:tabs>
        <w:ind w:left="1800" w:hanging="360"/>
      </w:pPr>
      <w:rPr>
        <w:rFonts w:ascii="Courier New" w:hAnsi="Courier New" w:cs="Courier New" w:hint="default"/>
      </w:rPr>
    </w:lvl>
    <w:lvl w:ilvl="2" w:tplc="E7A2D356">
      <w:start w:val="1"/>
      <w:numFmt w:val="bullet"/>
      <w:lvlText w:val=""/>
      <w:lvlJc w:val="left"/>
      <w:pPr>
        <w:tabs>
          <w:tab w:val="num" w:pos="2520"/>
        </w:tabs>
        <w:ind w:left="2520" w:hanging="360"/>
      </w:pPr>
      <w:rPr>
        <w:rFonts w:ascii="Wingdings" w:hAnsi="Wingdings" w:cs="Times New Roman" w:hint="default"/>
      </w:rPr>
    </w:lvl>
    <w:lvl w:ilvl="3" w:tplc="194A8CAE">
      <w:start w:val="1"/>
      <w:numFmt w:val="bullet"/>
      <w:lvlText w:val=""/>
      <w:lvlJc w:val="left"/>
      <w:pPr>
        <w:tabs>
          <w:tab w:val="num" w:pos="3240"/>
        </w:tabs>
        <w:ind w:left="3240" w:hanging="360"/>
      </w:pPr>
      <w:rPr>
        <w:rFonts w:ascii="Symbol" w:hAnsi="Symbol" w:cs="Times New Roman" w:hint="default"/>
      </w:rPr>
    </w:lvl>
    <w:lvl w:ilvl="4" w:tplc="94367F52">
      <w:start w:val="1"/>
      <w:numFmt w:val="bullet"/>
      <w:lvlText w:val="o"/>
      <w:lvlJc w:val="left"/>
      <w:pPr>
        <w:tabs>
          <w:tab w:val="num" w:pos="3960"/>
        </w:tabs>
        <w:ind w:left="3960" w:hanging="360"/>
      </w:pPr>
      <w:rPr>
        <w:rFonts w:ascii="Courier New" w:hAnsi="Courier New" w:cs="Courier New" w:hint="default"/>
      </w:rPr>
    </w:lvl>
    <w:lvl w:ilvl="5" w:tplc="D4460EE2">
      <w:start w:val="1"/>
      <w:numFmt w:val="bullet"/>
      <w:lvlText w:val=""/>
      <w:lvlJc w:val="left"/>
      <w:pPr>
        <w:tabs>
          <w:tab w:val="num" w:pos="4680"/>
        </w:tabs>
        <w:ind w:left="4680" w:hanging="360"/>
      </w:pPr>
      <w:rPr>
        <w:rFonts w:ascii="Wingdings" w:hAnsi="Wingdings" w:cs="Times New Roman" w:hint="default"/>
      </w:rPr>
    </w:lvl>
    <w:lvl w:ilvl="6" w:tplc="4776FAD6">
      <w:start w:val="1"/>
      <w:numFmt w:val="bullet"/>
      <w:lvlText w:val=""/>
      <w:lvlJc w:val="left"/>
      <w:pPr>
        <w:tabs>
          <w:tab w:val="num" w:pos="5400"/>
        </w:tabs>
        <w:ind w:left="5400" w:hanging="360"/>
      </w:pPr>
      <w:rPr>
        <w:rFonts w:ascii="Symbol" w:hAnsi="Symbol" w:cs="Times New Roman" w:hint="default"/>
      </w:rPr>
    </w:lvl>
    <w:lvl w:ilvl="7" w:tplc="92C2904E">
      <w:start w:val="1"/>
      <w:numFmt w:val="bullet"/>
      <w:lvlText w:val="o"/>
      <w:lvlJc w:val="left"/>
      <w:pPr>
        <w:tabs>
          <w:tab w:val="num" w:pos="6120"/>
        </w:tabs>
        <w:ind w:left="6120" w:hanging="360"/>
      </w:pPr>
      <w:rPr>
        <w:rFonts w:ascii="Courier New" w:hAnsi="Courier New" w:cs="Courier New" w:hint="default"/>
      </w:rPr>
    </w:lvl>
    <w:lvl w:ilvl="8" w:tplc="95F2F156">
      <w:start w:val="1"/>
      <w:numFmt w:val="bullet"/>
      <w:lvlText w:val=""/>
      <w:lvlJc w:val="left"/>
      <w:pPr>
        <w:tabs>
          <w:tab w:val="num" w:pos="6840"/>
        </w:tabs>
        <w:ind w:left="6840" w:hanging="360"/>
      </w:pPr>
      <w:rPr>
        <w:rFonts w:ascii="Wingdings" w:hAnsi="Wingdings" w:cs="Times New Roman" w:hint="default"/>
      </w:rPr>
    </w:lvl>
  </w:abstractNum>
  <w:abstractNum w:abstractNumId="25" w15:restartNumberingAfterBreak="0">
    <w:nsid w:val="45E76A88"/>
    <w:multiLevelType w:val="hybridMultilevel"/>
    <w:tmpl w:val="D212A8F4"/>
    <w:lvl w:ilvl="0" w:tplc="04090001">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491A01"/>
    <w:multiLevelType w:val="multilevel"/>
    <w:tmpl w:val="D32CE876"/>
    <w:numStyleLink w:val="OLsections"/>
  </w:abstractNum>
  <w:abstractNum w:abstractNumId="27" w15:restartNumberingAfterBreak="0">
    <w:nsid w:val="4FC91FD9"/>
    <w:multiLevelType w:val="hybridMultilevel"/>
    <w:tmpl w:val="57A8427C"/>
    <w:lvl w:ilvl="0" w:tplc="4F0020A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28" w15:restartNumberingAfterBreak="0">
    <w:nsid w:val="51713316"/>
    <w:multiLevelType w:val="hybridMultilevel"/>
    <w:tmpl w:val="3C76DBFC"/>
    <w:lvl w:ilvl="0" w:tplc="F6A4891C">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3034E0A"/>
    <w:multiLevelType w:val="singleLevel"/>
    <w:tmpl w:val="7E32E152"/>
    <w:lvl w:ilvl="0">
      <w:start w:val="1"/>
      <w:numFmt w:val="decimal"/>
      <w:lvlText w:val="%1."/>
      <w:legacy w:legacy="1" w:legacySpace="0" w:legacyIndent="360"/>
      <w:lvlJc w:val="left"/>
      <w:pPr>
        <w:ind w:left="1080" w:hanging="360"/>
      </w:pPr>
    </w:lvl>
  </w:abstractNum>
  <w:abstractNum w:abstractNumId="30" w15:restartNumberingAfterBreak="0">
    <w:nsid w:val="540337C8"/>
    <w:multiLevelType w:val="hybridMultilevel"/>
    <w:tmpl w:val="3E42C736"/>
    <w:lvl w:ilvl="0" w:tplc="A5123C4A">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2765B4"/>
    <w:multiLevelType w:val="hybridMultilevel"/>
    <w:tmpl w:val="D45C7596"/>
    <w:lvl w:ilvl="0" w:tplc="13921856">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577F7B55"/>
    <w:multiLevelType w:val="hybridMultilevel"/>
    <w:tmpl w:val="6ADCD79C"/>
    <w:lvl w:ilvl="0" w:tplc="EC04D69C">
      <w:start w:val="1"/>
      <w:numFmt w:val="bullet"/>
      <w:lvlText w:val=""/>
      <w:lvlJc w:val="left"/>
      <w:pPr>
        <w:tabs>
          <w:tab w:val="num" w:pos="1152"/>
        </w:tabs>
        <w:ind w:left="1152" w:hanging="360"/>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3" w15:restartNumberingAfterBreak="0">
    <w:nsid w:val="59A14B45"/>
    <w:multiLevelType w:val="hybridMultilevel"/>
    <w:tmpl w:val="B2BEBF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A2805B3"/>
    <w:multiLevelType w:val="hybridMultilevel"/>
    <w:tmpl w:val="4BBA82D6"/>
    <w:lvl w:ilvl="0" w:tplc="0409000F">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C904682"/>
    <w:multiLevelType w:val="singleLevel"/>
    <w:tmpl w:val="7E32E152"/>
    <w:lvl w:ilvl="0">
      <w:start w:val="1"/>
      <w:numFmt w:val="decimal"/>
      <w:lvlText w:val="%1."/>
      <w:legacy w:legacy="1" w:legacySpace="0" w:legacyIndent="360"/>
      <w:lvlJc w:val="left"/>
      <w:pPr>
        <w:ind w:left="1080" w:hanging="360"/>
      </w:pPr>
    </w:lvl>
  </w:abstractNum>
  <w:abstractNum w:abstractNumId="36" w15:restartNumberingAfterBreak="0">
    <w:nsid w:val="68E7425B"/>
    <w:multiLevelType w:val="hybridMultilevel"/>
    <w:tmpl w:val="CB8E7FA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7" w15:restartNumberingAfterBreak="0">
    <w:nsid w:val="69826A08"/>
    <w:multiLevelType w:val="hybridMultilevel"/>
    <w:tmpl w:val="16761D20"/>
    <w:lvl w:ilvl="0" w:tplc="F1DE81FE">
      <w:start w:val="1"/>
      <w:numFmt w:val="lowerLetter"/>
      <w:lvlText w:val="%1."/>
      <w:lvlJc w:val="left"/>
      <w:pPr>
        <w:tabs>
          <w:tab w:val="num" w:pos="363"/>
        </w:tabs>
        <w:ind w:left="363" w:hanging="363"/>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DEB0F0E"/>
    <w:multiLevelType w:val="hybridMultilevel"/>
    <w:tmpl w:val="7958B0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bullet"/>
      <w:lvlText w:val=""/>
      <w:lvlJc w:val="left"/>
      <w:pPr>
        <w:tabs>
          <w:tab w:val="num" w:pos="1980"/>
        </w:tabs>
        <w:ind w:left="1977" w:hanging="357"/>
      </w:pPr>
      <w:rPr>
        <w:rFonts w:ascii="Symbol" w:hAnsi="Symbol" w:hint="default"/>
      </w:rPr>
    </w:lvl>
    <w:lvl w:ilvl="3" w:tplc="0409000F">
      <w:start w:val="1"/>
      <w:numFmt w:val="lowerLetter"/>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01D6AF2"/>
    <w:multiLevelType w:val="hybridMultilevel"/>
    <w:tmpl w:val="189EEC74"/>
    <w:lvl w:ilvl="0" w:tplc="6052B73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BA23FB"/>
    <w:multiLevelType w:val="singleLevel"/>
    <w:tmpl w:val="7E32E152"/>
    <w:lvl w:ilvl="0">
      <w:start w:val="1"/>
      <w:numFmt w:val="decimal"/>
      <w:lvlText w:val="%1."/>
      <w:legacy w:legacy="1" w:legacySpace="0" w:legacyIndent="360"/>
      <w:lvlJc w:val="left"/>
      <w:pPr>
        <w:ind w:left="1080" w:hanging="360"/>
      </w:pPr>
    </w:lvl>
  </w:abstractNum>
  <w:abstractNum w:abstractNumId="41" w15:restartNumberingAfterBreak="0">
    <w:nsid w:val="784539EC"/>
    <w:multiLevelType w:val="multilevel"/>
    <w:tmpl w:val="80524DE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0"/>
  </w:num>
  <w:num w:numId="2">
    <w:abstractNumId w:val="25"/>
  </w:num>
  <w:num w:numId="3">
    <w:abstractNumId w:val="28"/>
  </w:num>
  <w:num w:numId="4">
    <w:abstractNumId w:val="38"/>
  </w:num>
  <w:num w:numId="5">
    <w:abstractNumId w:val="18"/>
  </w:num>
  <w:num w:numId="6">
    <w:abstractNumId w:val="15"/>
  </w:num>
  <w:num w:numId="7">
    <w:abstractNumId w:val="37"/>
  </w:num>
  <w:num w:numId="8">
    <w:abstractNumId w:val="36"/>
  </w:num>
  <w:num w:numId="9">
    <w:abstractNumId w:val="39"/>
  </w:num>
  <w:num w:numId="10">
    <w:abstractNumId w:val="31"/>
  </w:num>
  <w:num w:numId="11">
    <w:abstractNumId w:val="22"/>
  </w:num>
  <w:num w:numId="12">
    <w:abstractNumId w:val="30"/>
  </w:num>
  <w:num w:numId="13">
    <w:abstractNumId w:val="9"/>
  </w:num>
  <w:num w:numId="14">
    <w:abstractNumId w:val="7"/>
  </w:num>
  <w:num w:numId="15">
    <w:abstractNumId w:val="8"/>
  </w:num>
  <w:num w:numId="16">
    <w:abstractNumId w:val="3"/>
  </w:num>
  <w:num w:numId="17">
    <w:abstractNumId w:val="4"/>
  </w:num>
  <w:num w:numId="18">
    <w:abstractNumId w:val="13"/>
  </w:num>
  <w:num w:numId="19">
    <w:abstractNumId w:val="6"/>
  </w:num>
  <w:num w:numId="20">
    <w:abstractNumId w:val="5"/>
  </w:num>
  <w:num w:numId="21">
    <w:abstractNumId w:val="2"/>
  </w:num>
  <w:num w:numId="22">
    <w:abstractNumId w:val="1"/>
  </w:num>
  <w:num w:numId="23">
    <w:abstractNumId w:val="0"/>
  </w:num>
  <w:num w:numId="24">
    <w:abstractNumId w:val="32"/>
  </w:num>
  <w:num w:numId="25">
    <w:abstractNumId w:val="34"/>
  </w:num>
  <w:num w:numId="26">
    <w:abstractNumId w:val="10"/>
    <w:lvlOverride w:ilvl="0">
      <w:lvl w:ilvl="0">
        <w:start w:val="1"/>
        <w:numFmt w:val="bullet"/>
        <w:lvlText w:val=""/>
        <w:legacy w:legacy="1" w:legacySpace="0" w:legacyIndent="360"/>
        <w:lvlJc w:val="left"/>
        <w:pPr>
          <w:ind w:left="1080" w:hanging="360"/>
        </w:pPr>
        <w:rPr>
          <w:rFonts w:ascii="Times" w:hAnsi="Times" w:cs="Times" w:hint="default"/>
        </w:rPr>
      </w:lvl>
    </w:lvlOverride>
  </w:num>
  <w:num w:numId="27">
    <w:abstractNumId w:val="24"/>
  </w:num>
  <w:num w:numId="28">
    <w:abstractNumId w:val="14"/>
  </w:num>
  <w:num w:numId="29">
    <w:abstractNumId w:val="40"/>
  </w:num>
  <w:num w:numId="30">
    <w:abstractNumId w:val="12"/>
  </w:num>
  <w:num w:numId="31">
    <w:abstractNumId w:val="17"/>
  </w:num>
  <w:num w:numId="32">
    <w:abstractNumId w:val="16"/>
  </w:num>
  <w:num w:numId="33">
    <w:abstractNumId w:val="35"/>
  </w:num>
  <w:num w:numId="34">
    <w:abstractNumId w:val="11"/>
  </w:num>
  <w:num w:numId="35">
    <w:abstractNumId w:val="29"/>
  </w:num>
  <w:num w:numId="36">
    <w:abstractNumId w:val="23"/>
  </w:num>
  <w:num w:numId="37">
    <w:abstractNumId w:val="41"/>
  </w:num>
  <w:num w:numId="38">
    <w:abstractNumId w:val="21"/>
  </w:num>
  <w:num w:numId="39">
    <w:abstractNumId w:val="26"/>
  </w:num>
  <w:num w:numId="40">
    <w:abstractNumId w:val="19"/>
  </w:num>
  <w:num w:numId="41">
    <w:abstractNumId w:val="33"/>
  </w:num>
  <w:num w:numId="42">
    <w:abstractNumId w:val="27"/>
  </w:num>
  <w:num w:numId="43">
    <w:abstractNumId w:val="2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A08" w:allStyles="0" w:customStyles="0" w:latentStyles="0" w:stylesInUse="1" w:headingStyles="0" w:numberingStyles="0" w:tableStyles="0" w:directFormattingOnRuns="0" w:directFormattingOnParagraphs="1" w:directFormattingOnNumbering="0" w:directFormattingOnTables="1" w:clearFormatting="1" w:top3HeadingStyles="0" w:visibleStyles="0" w:alternateStyleNames="0"/>
  <w:defaultTabStop w:val="562"/>
  <w:doNotHyphenateCaps/>
  <w:evenAndOddHeaders/>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F"/>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A4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460E8"/>
    <w:rPr>
      <w:sz w:val="24"/>
      <w:szCs w:val="24"/>
      <w:lang w:eastAsia="en-US"/>
    </w:rPr>
  </w:style>
  <w:style w:type="paragraph" w:styleId="Heading1">
    <w:name w:val="heading 1"/>
    <w:basedOn w:val="Normal"/>
    <w:next w:val="Normal"/>
    <w:rsid w:val="00EA7431"/>
    <w:pPr>
      <w:keepNext/>
      <w:numPr>
        <w:numId w:val="3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7C40A5"/>
    <w:pPr>
      <w:keepNext/>
      <w:numPr>
        <w:ilvl w:val="1"/>
        <w:numId w:val="37"/>
      </w:numPr>
      <w:spacing w:before="240" w:after="60"/>
      <w:outlineLvl w:val="1"/>
    </w:pPr>
    <w:rPr>
      <w:rFonts w:ascii="Arial" w:hAnsi="Arial" w:cs="Arial"/>
      <w:b/>
      <w:bCs/>
      <w:i/>
      <w:iCs/>
      <w:sz w:val="28"/>
      <w:szCs w:val="28"/>
    </w:rPr>
  </w:style>
  <w:style w:type="paragraph" w:styleId="Heading3">
    <w:name w:val="heading 3"/>
    <w:basedOn w:val="Normal"/>
    <w:next w:val="Normal"/>
    <w:rsid w:val="00226F0F"/>
    <w:pPr>
      <w:keepNext/>
      <w:numPr>
        <w:ilvl w:val="2"/>
        <w:numId w:val="37"/>
      </w:numPr>
      <w:spacing w:before="240" w:after="60"/>
      <w:outlineLvl w:val="2"/>
    </w:pPr>
    <w:rPr>
      <w:rFonts w:ascii="Arial" w:hAnsi="Arial" w:cs="Arial"/>
      <w:b/>
      <w:bCs/>
      <w:sz w:val="26"/>
      <w:szCs w:val="26"/>
    </w:rPr>
  </w:style>
  <w:style w:type="paragraph" w:styleId="Heading4">
    <w:name w:val="heading 4"/>
    <w:basedOn w:val="Normal"/>
    <w:next w:val="Normal"/>
    <w:rsid w:val="00F04120"/>
    <w:pPr>
      <w:keepNext/>
      <w:numPr>
        <w:ilvl w:val="3"/>
        <w:numId w:val="37"/>
      </w:numPr>
      <w:spacing w:before="240" w:after="60"/>
      <w:outlineLvl w:val="3"/>
    </w:pPr>
    <w:rPr>
      <w:b/>
      <w:bCs/>
      <w:sz w:val="28"/>
      <w:szCs w:val="28"/>
    </w:rPr>
  </w:style>
  <w:style w:type="paragraph" w:styleId="Heading5">
    <w:name w:val="heading 5"/>
    <w:basedOn w:val="Normal"/>
    <w:next w:val="Normal"/>
    <w:rsid w:val="00101E1A"/>
    <w:pPr>
      <w:keepNext/>
      <w:numPr>
        <w:ilvl w:val="4"/>
        <w:numId w:val="37"/>
      </w:numPr>
      <w:outlineLvl w:val="4"/>
    </w:pPr>
    <w:rPr>
      <w:i/>
      <w:iCs/>
      <w:lang w:val="en-GB" w:bidi="fa-IR"/>
    </w:rPr>
  </w:style>
  <w:style w:type="paragraph" w:styleId="Heading6">
    <w:name w:val="heading 6"/>
    <w:basedOn w:val="Normal"/>
    <w:next w:val="Normal"/>
    <w:rsid w:val="00101E1A"/>
    <w:pPr>
      <w:numPr>
        <w:ilvl w:val="5"/>
        <w:numId w:val="37"/>
      </w:numPr>
      <w:spacing w:before="240" w:after="60"/>
      <w:outlineLvl w:val="5"/>
    </w:pPr>
    <w:rPr>
      <w:b/>
      <w:bCs/>
      <w:sz w:val="22"/>
      <w:szCs w:val="22"/>
      <w:lang w:val="en-GB" w:bidi="fa-IR"/>
    </w:rPr>
  </w:style>
  <w:style w:type="paragraph" w:styleId="Heading7">
    <w:name w:val="heading 7"/>
    <w:basedOn w:val="Normal"/>
    <w:next w:val="Normal"/>
    <w:rsid w:val="00101E1A"/>
    <w:pPr>
      <w:numPr>
        <w:ilvl w:val="6"/>
        <w:numId w:val="37"/>
      </w:numPr>
      <w:spacing w:before="240" w:after="60"/>
      <w:outlineLvl w:val="6"/>
    </w:pPr>
    <w:rPr>
      <w:lang w:val="en-GB" w:bidi="fa-IR"/>
    </w:rPr>
  </w:style>
  <w:style w:type="paragraph" w:styleId="Heading8">
    <w:name w:val="heading 8"/>
    <w:basedOn w:val="Normal"/>
    <w:next w:val="Normal"/>
    <w:rsid w:val="00101E1A"/>
    <w:pPr>
      <w:numPr>
        <w:ilvl w:val="7"/>
        <w:numId w:val="37"/>
      </w:numPr>
      <w:spacing w:before="240" w:after="60"/>
      <w:outlineLvl w:val="7"/>
    </w:pPr>
    <w:rPr>
      <w:i/>
      <w:iCs/>
      <w:lang w:val="en-GB" w:bidi="fa-IR"/>
    </w:rPr>
  </w:style>
  <w:style w:type="paragraph" w:styleId="Heading9">
    <w:name w:val="heading 9"/>
    <w:basedOn w:val="Normal"/>
    <w:next w:val="Normal"/>
    <w:rsid w:val="00101E1A"/>
    <w:pPr>
      <w:numPr>
        <w:ilvl w:val="8"/>
        <w:numId w:val="37"/>
      </w:numPr>
      <w:spacing w:before="240" w:after="60"/>
      <w:outlineLvl w:val="8"/>
    </w:pPr>
    <w:rPr>
      <w:rFonts w:ascii="Arial" w:hAnsi="Arial"/>
      <w:sz w:val="22"/>
      <w:szCs w:val="22"/>
      <w:lang w:val="en-GB"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EA9"/>
    <w:rPr>
      <w:rFonts w:ascii="Arial" w:hAnsi="Arial" w:cs="Arial"/>
      <w:b/>
      <w:bCs/>
      <w:i/>
      <w:iCs/>
      <w:sz w:val="28"/>
      <w:szCs w:val="28"/>
      <w:lang w:eastAsia="en-US"/>
    </w:rPr>
  </w:style>
  <w:style w:type="paragraph" w:styleId="Footer">
    <w:name w:val="footer"/>
    <w:basedOn w:val="Normal"/>
    <w:link w:val="FooterChar"/>
    <w:uiPriority w:val="99"/>
    <w:rsid w:val="00C53E29"/>
    <w:pPr>
      <w:tabs>
        <w:tab w:val="center" w:pos="4513"/>
        <w:tab w:val="right" w:pos="9026"/>
      </w:tabs>
    </w:pPr>
  </w:style>
  <w:style w:type="character" w:customStyle="1" w:styleId="FooterChar">
    <w:name w:val="Footer Char"/>
    <w:basedOn w:val="DefaultParagraphFont"/>
    <w:link w:val="Footer"/>
    <w:uiPriority w:val="99"/>
    <w:rsid w:val="00C53E29"/>
    <w:rPr>
      <w:sz w:val="24"/>
      <w:szCs w:val="24"/>
      <w:lang w:eastAsia="en-US"/>
    </w:rPr>
  </w:style>
  <w:style w:type="paragraph" w:styleId="Header">
    <w:name w:val="header"/>
    <w:basedOn w:val="Normal"/>
    <w:link w:val="HeaderChar"/>
    <w:uiPriority w:val="99"/>
    <w:rsid w:val="00C53E29"/>
    <w:pPr>
      <w:tabs>
        <w:tab w:val="center" w:pos="4513"/>
        <w:tab w:val="right" w:pos="9026"/>
      </w:tabs>
    </w:pPr>
  </w:style>
  <w:style w:type="character" w:customStyle="1" w:styleId="HeaderChar">
    <w:name w:val="Header Char"/>
    <w:basedOn w:val="DefaultParagraphFont"/>
    <w:link w:val="Header"/>
    <w:uiPriority w:val="99"/>
    <w:rsid w:val="00C53E29"/>
    <w:rPr>
      <w:sz w:val="24"/>
      <w:szCs w:val="24"/>
      <w:lang w:eastAsia="en-US"/>
    </w:rPr>
  </w:style>
  <w:style w:type="paragraph" w:customStyle="1" w:styleId="OLarticletitle">
    <w:name w:val="OL article title"/>
    <w:basedOn w:val="Normal"/>
    <w:qFormat/>
    <w:rsid w:val="00400FFC"/>
    <w:pPr>
      <w:spacing w:before="900" w:line="400" w:lineRule="exact"/>
      <w:ind w:left="360" w:right="360"/>
      <w:jc w:val="center"/>
    </w:pPr>
    <w:rPr>
      <w:b/>
      <w:sz w:val="36"/>
      <w:szCs w:val="36"/>
      <w:lang w:val="en-US"/>
    </w:rPr>
  </w:style>
  <w:style w:type="paragraph" w:customStyle="1" w:styleId="OLauthorname">
    <w:name w:val="OL author name"/>
    <w:basedOn w:val="Normal"/>
    <w:qFormat/>
    <w:rsid w:val="00C53E29"/>
    <w:pPr>
      <w:spacing w:before="240"/>
      <w:jc w:val="center"/>
    </w:pPr>
    <w:rPr>
      <w:lang w:val="en-US"/>
    </w:rPr>
  </w:style>
  <w:style w:type="paragraph" w:customStyle="1" w:styleId="OLauthoraffiliation">
    <w:name w:val="OL author affiliation"/>
    <w:basedOn w:val="Normal"/>
    <w:qFormat/>
    <w:rsid w:val="00C53E29"/>
    <w:pPr>
      <w:spacing w:before="220"/>
      <w:jc w:val="center"/>
    </w:pPr>
    <w:rPr>
      <w:smallCaps/>
      <w:sz w:val="20"/>
      <w:szCs w:val="20"/>
      <w:lang w:val="en-US"/>
    </w:rPr>
  </w:style>
  <w:style w:type="paragraph" w:customStyle="1" w:styleId="OLabstract">
    <w:name w:val="OL abstract"/>
    <w:basedOn w:val="Normal"/>
    <w:qFormat/>
    <w:rsid w:val="005101BD"/>
    <w:pPr>
      <w:spacing w:before="280"/>
      <w:ind w:left="360" w:right="360"/>
      <w:jc w:val="both"/>
    </w:pPr>
    <w:rPr>
      <w:sz w:val="18"/>
      <w:szCs w:val="18"/>
      <w:lang w:val="en-US"/>
    </w:rPr>
  </w:style>
  <w:style w:type="paragraph" w:customStyle="1" w:styleId="OLabstractextraparagraph">
    <w:name w:val="OL abstract extra paragraph"/>
    <w:basedOn w:val="OLabstract"/>
    <w:qFormat/>
    <w:rsid w:val="008414B2"/>
    <w:pPr>
      <w:spacing w:before="0"/>
      <w:ind w:firstLine="240"/>
    </w:pPr>
  </w:style>
  <w:style w:type="paragraph" w:customStyle="1" w:styleId="OLheadingA-level">
    <w:name w:val="OL heading A-level"/>
    <w:basedOn w:val="Heading1"/>
    <w:qFormat/>
    <w:rsid w:val="00351BAF"/>
    <w:pPr>
      <w:keepNext w:val="0"/>
      <w:spacing w:after="0"/>
      <w:ind w:left="0" w:firstLine="0"/>
    </w:pPr>
    <w:rPr>
      <w:rFonts w:ascii="Times New Roman" w:hAnsi="Times New Roman" w:cs="Times New Roman"/>
      <w:caps/>
      <w:sz w:val="20"/>
      <w:szCs w:val="20"/>
      <w:lang w:val="en-US"/>
    </w:rPr>
  </w:style>
  <w:style w:type="character" w:styleId="Emphasis">
    <w:name w:val="Emphasis"/>
    <w:basedOn w:val="DefaultParagraphFont"/>
    <w:uiPriority w:val="20"/>
    <w:rsid w:val="00084617"/>
    <w:rPr>
      <w:i/>
      <w:iCs/>
    </w:rPr>
  </w:style>
  <w:style w:type="paragraph" w:customStyle="1" w:styleId="OLheadingB-level">
    <w:name w:val="OL heading B-level"/>
    <w:basedOn w:val="Heading2"/>
    <w:qFormat/>
    <w:rsid w:val="00351BAF"/>
    <w:pPr>
      <w:keepNext w:val="0"/>
      <w:spacing w:before="180" w:after="0"/>
      <w:ind w:left="0" w:firstLine="0"/>
    </w:pPr>
    <w:rPr>
      <w:rFonts w:ascii="Times New Roman" w:hAnsi="Times New Roman" w:cs="Times New Roman"/>
      <w:i w:val="0"/>
      <w:caps/>
      <w:sz w:val="20"/>
      <w:szCs w:val="20"/>
    </w:rPr>
  </w:style>
  <w:style w:type="numbering" w:customStyle="1" w:styleId="OLsections">
    <w:name w:val="OL sections"/>
    <w:uiPriority w:val="99"/>
    <w:rsid w:val="008E107E"/>
    <w:pPr>
      <w:numPr>
        <w:numId w:val="38"/>
      </w:numPr>
    </w:pPr>
  </w:style>
  <w:style w:type="paragraph" w:customStyle="1" w:styleId="OLheadingC-level">
    <w:name w:val="OL heading C-level"/>
    <w:basedOn w:val="Heading3"/>
    <w:qFormat/>
    <w:rsid w:val="00351BAF"/>
    <w:pPr>
      <w:keepNext w:val="0"/>
      <w:spacing w:before="120" w:after="0"/>
      <w:ind w:left="0" w:firstLine="0"/>
    </w:pPr>
    <w:rPr>
      <w:rFonts w:ascii="Times New Roman" w:hAnsi="Times New Roman" w:cs="Times New Roman"/>
      <w:sz w:val="20"/>
      <w:szCs w:val="20"/>
      <w:lang w:val="en-US"/>
    </w:rPr>
  </w:style>
  <w:style w:type="paragraph" w:customStyle="1" w:styleId="OLheadingD-level">
    <w:name w:val="OL heading D-level"/>
    <w:basedOn w:val="Heading4"/>
    <w:qFormat/>
    <w:rsid w:val="00351BAF"/>
    <w:pPr>
      <w:keepNext w:val="0"/>
      <w:spacing w:before="120" w:after="0"/>
      <w:ind w:left="0" w:firstLine="0"/>
    </w:pPr>
    <w:rPr>
      <w:rFonts w:ascii="Times New Roman Bold" w:hAnsi="Times New Roman Bold"/>
      <w:sz w:val="20"/>
      <w:szCs w:val="20"/>
    </w:rPr>
  </w:style>
  <w:style w:type="paragraph" w:customStyle="1" w:styleId="OLtext">
    <w:name w:val="OL text"/>
    <w:basedOn w:val="Normal"/>
    <w:qFormat/>
    <w:rsid w:val="00970394"/>
    <w:pPr>
      <w:spacing w:line="240" w:lineRule="exact"/>
      <w:jc w:val="both"/>
    </w:pPr>
    <w:rPr>
      <w:sz w:val="20"/>
      <w:szCs w:val="20"/>
      <w:lang w:val="en-US"/>
    </w:rPr>
  </w:style>
  <w:style w:type="paragraph" w:customStyle="1" w:styleId="OLtextindented">
    <w:name w:val="OL text indented"/>
    <w:basedOn w:val="OLtext"/>
    <w:qFormat/>
    <w:rsid w:val="00970394"/>
    <w:pPr>
      <w:ind w:firstLine="240"/>
    </w:pPr>
  </w:style>
  <w:style w:type="paragraph" w:customStyle="1" w:styleId="OLexamplesecondglossline">
    <w:name w:val="OL example second gloss line"/>
    <w:basedOn w:val="Normal"/>
    <w:qFormat/>
    <w:rsid w:val="003801DE"/>
    <w:pPr>
      <w:keepNext/>
    </w:pPr>
    <w:rPr>
      <w:sz w:val="16"/>
      <w:szCs w:val="16"/>
      <w:lang w:val="en-US"/>
    </w:rPr>
  </w:style>
  <w:style w:type="paragraph" w:customStyle="1" w:styleId="OLnumber">
    <w:name w:val="OL number"/>
    <w:basedOn w:val="OLtextindented"/>
    <w:qFormat/>
    <w:rsid w:val="00B644F3"/>
    <w:pPr>
      <w:ind w:firstLine="360"/>
    </w:pPr>
  </w:style>
  <w:style w:type="paragraph" w:styleId="FootnoteText">
    <w:name w:val="footnote text"/>
    <w:basedOn w:val="Normal"/>
    <w:link w:val="FootnoteTextChar"/>
    <w:rsid w:val="00B644F3"/>
    <w:rPr>
      <w:sz w:val="20"/>
      <w:szCs w:val="20"/>
    </w:rPr>
  </w:style>
  <w:style w:type="character" w:customStyle="1" w:styleId="FootnoteTextChar">
    <w:name w:val="Footnote Text Char"/>
    <w:basedOn w:val="DefaultParagraphFont"/>
    <w:link w:val="FootnoteText"/>
    <w:rsid w:val="00B644F3"/>
    <w:rPr>
      <w:lang w:eastAsia="en-US"/>
    </w:rPr>
  </w:style>
  <w:style w:type="character" w:styleId="FootnoteReference">
    <w:name w:val="footnote reference"/>
    <w:basedOn w:val="DefaultParagraphFont"/>
    <w:rsid w:val="00B644F3"/>
    <w:rPr>
      <w:vertAlign w:val="superscript"/>
    </w:rPr>
  </w:style>
  <w:style w:type="paragraph" w:customStyle="1" w:styleId="OLarticlerunninghead">
    <w:name w:val="OL article running head"/>
    <w:basedOn w:val="Normal"/>
    <w:qFormat/>
    <w:rsid w:val="00CD05EC"/>
    <w:pPr>
      <w:jc w:val="right"/>
    </w:pPr>
    <w:rPr>
      <w:smallCaps/>
      <w:sz w:val="20"/>
    </w:rPr>
  </w:style>
  <w:style w:type="paragraph" w:customStyle="1" w:styleId="OLcopyrightfooter">
    <w:name w:val="OL copyright footer"/>
    <w:basedOn w:val="Normal"/>
    <w:qFormat/>
    <w:rsid w:val="006030FA"/>
    <w:pPr>
      <w:widowControl w:val="0"/>
      <w:tabs>
        <w:tab w:val="right" w:pos="8789"/>
      </w:tabs>
      <w:autoSpaceDE w:val="0"/>
      <w:autoSpaceDN w:val="0"/>
      <w:adjustRightInd w:val="0"/>
      <w:ind w:right="20"/>
    </w:pPr>
    <w:rPr>
      <w:rFonts w:ascii="Times" w:hAnsi="Times" w:cs="Times"/>
      <w:sz w:val="14"/>
      <w:szCs w:val="18"/>
      <w:lang w:val="en-US"/>
    </w:rPr>
  </w:style>
  <w:style w:type="paragraph" w:customStyle="1" w:styleId="OLexampleindentation">
    <w:name w:val="OL example indentation"/>
    <w:basedOn w:val="OLtext"/>
    <w:qFormat/>
    <w:rsid w:val="006610CE"/>
    <w:pPr>
      <w:ind w:left="360"/>
    </w:pPr>
  </w:style>
  <w:style w:type="paragraph" w:customStyle="1" w:styleId="OLcaption">
    <w:name w:val="OL caption"/>
    <w:basedOn w:val="Normal"/>
    <w:qFormat/>
    <w:rsid w:val="00E36180"/>
    <w:pPr>
      <w:keepNext/>
      <w:spacing w:before="220" w:after="120"/>
      <w:jc w:val="center"/>
    </w:pPr>
    <w:rPr>
      <w:b/>
      <w:caps/>
      <w:sz w:val="18"/>
      <w:szCs w:val="18"/>
      <w:lang w:val="en-US"/>
    </w:rPr>
  </w:style>
  <w:style w:type="paragraph" w:customStyle="1" w:styleId="OLtablecontents">
    <w:name w:val="OL table contents"/>
    <w:basedOn w:val="Normal"/>
    <w:qFormat/>
    <w:rsid w:val="002F0401"/>
    <w:pPr>
      <w:keepNext/>
      <w:spacing w:line="200" w:lineRule="exact"/>
    </w:pPr>
    <w:rPr>
      <w:sz w:val="16"/>
      <w:szCs w:val="16"/>
      <w:lang w:val="en-US"/>
    </w:rPr>
  </w:style>
  <w:style w:type="paragraph" w:customStyle="1" w:styleId="OL3ptseparator">
    <w:name w:val="OL 3pt separator"/>
    <w:basedOn w:val="Normal"/>
    <w:qFormat/>
    <w:rsid w:val="00007A47"/>
    <w:rPr>
      <w:sz w:val="6"/>
      <w:szCs w:val="6"/>
    </w:rPr>
  </w:style>
  <w:style w:type="paragraph" w:customStyle="1" w:styleId="OLvolumeheader">
    <w:name w:val="OL volume header"/>
    <w:basedOn w:val="Normal"/>
    <w:qFormat/>
    <w:rsid w:val="00CD05EC"/>
    <w:rPr>
      <w:smallCaps/>
      <w:sz w:val="20"/>
    </w:rPr>
  </w:style>
  <w:style w:type="paragraph" w:customStyle="1" w:styleId="OLfootnote">
    <w:name w:val="OL footnote"/>
    <w:basedOn w:val="OLtext"/>
    <w:qFormat/>
    <w:rsid w:val="00E03CA8"/>
    <w:pPr>
      <w:spacing w:line="180" w:lineRule="exact"/>
      <w:ind w:left="240" w:hanging="240"/>
    </w:pPr>
    <w:rPr>
      <w:sz w:val="16"/>
    </w:rPr>
  </w:style>
  <w:style w:type="paragraph" w:customStyle="1" w:styleId="OLtablecolumnheading">
    <w:name w:val="OL table column heading"/>
    <w:basedOn w:val="OLtablecontents"/>
    <w:qFormat/>
    <w:rsid w:val="00CD05EC"/>
    <w:rPr>
      <w:b/>
    </w:rPr>
  </w:style>
  <w:style w:type="paragraph" w:styleId="DocumentMap">
    <w:name w:val="Document Map"/>
    <w:basedOn w:val="Normal"/>
    <w:link w:val="DocumentMapChar"/>
    <w:rsid w:val="00351BAF"/>
    <w:rPr>
      <w:rFonts w:ascii="Tahoma" w:hAnsi="Tahoma" w:cs="Tahoma"/>
      <w:sz w:val="16"/>
      <w:szCs w:val="16"/>
    </w:rPr>
  </w:style>
  <w:style w:type="character" w:customStyle="1" w:styleId="DocumentMapChar">
    <w:name w:val="Document Map Char"/>
    <w:basedOn w:val="DefaultParagraphFont"/>
    <w:link w:val="DocumentMap"/>
    <w:rsid w:val="00351BAF"/>
    <w:rPr>
      <w:rFonts w:ascii="Tahoma" w:hAnsi="Tahoma" w:cs="Tahoma"/>
      <w:sz w:val="16"/>
      <w:szCs w:val="16"/>
      <w:lang w:eastAsia="en-US"/>
    </w:rPr>
  </w:style>
  <w:style w:type="paragraph" w:customStyle="1" w:styleId="OLreferencesheading">
    <w:name w:val="OL references heading"/>
    <w:basedOn w:val="Normal"/>
    <w:qFormat/>
    <w:rsid w:val="00994541"/>
    <w:pPr>
      <w:spacing w:before="560" w:after="240"/>
      <w:jc w:val="center"/>
    </w:pPr>
    <w:rPr>
      <w:rFonts w:ascii="Times New Roman Bold" w:hAnsi="Times New Roman Bold"/>
      <w:b/>
      <w:caps/>
    </w:rPr>
  </w:style>
  <w:style w:type="character" w:styleId="Hyperlink">
    <w:name w:val="Hyperlink"/>
    <w:basedOn w:val="DefaultParagraphFont"/>
    <w:rsid w:val="0064053B"/>
    <w:rPr>
      <w:color w:val="0000FF" w:themeColor="hyperlink"/>
      <w:u w:val="single"/>
    </w:rPr>
  </w:style>
  <w:style w:type="paragraph" w:customStyle="1" w:styleId="OLreferencelist">
    <w:name w:val="OL reference list"/>
    <w:basedOn w:val="Normal"/>
    <w:qFormat/>
    <w:rsid w:val="0025154A"/>
    <w:pPr>
      <w:ind w:left="360" w:hanging="360"/>
      <w:jc w:val="both"/>
    </w:pPr>
    <w:rPr>
      <w:sz w:val="18"/>
      <w:szCs w:val="18"/>
      <w:lang w:val="en-US"/>
    </w:rPr>
  </w:style>
  <w:style w:type="paragraph" w:styleId="Caption">
    <w:name w:val="caption"/>
    <w:basedOn w:val="Normal"/>
    <w:next w:val="Normal"/>
    <w:rsid w:val="001650F1"/>
    <w:pPr>
      <w:spacing w:after="200"/>
    </w:pPr>
    <w:rPr>
      <w:b/>
      <w:bCs/>
      <w:color w:val="4F81BD" w:themeColor="accent1"/>
      <w:sz w:val="18"/>
      <w:szCs w:val="18"/>
    </w:rPr>
  </w:style>
  <w:style w:type="paragraph" w:styleId="BalloonText">
    <w:name w:val="Balloon Text"/>
    <w:basedOn w:val="Normal"/>
    <w:link w:val="BalloonTextChar"/>
    <w:rsid w:val="001650F1"/>
    <w:rPr>
      <w:rFonts w:ascii="Tahoma" w:hAnsi="Tahoma" w:cs="Tahoma"/>
      <w:sz w:val="16"/>
      <w:szCs w:val="16"/>
    </w:rPr>
  </w:style>
  <w:style w:type="character" w:customStyle="1" w:styleId="BalloonTextChar">
    <w:name w:val="Balloon Text Char"/>
    <w:basedOn w:val="DefaultParagraphFont"/>
    <w:link w:val="BalloonText"/>
    <w:rsid w:val="001650F1"/>
    <w:rPr>
      <w:rFonts w:ascii="Tahoma" w:hAnsi="Tahoma" w:cs="Tahoma"/>
      <w:sz w:val="16"/>
      <w:szCs w:val="16"/>
      <w:lang w:eastAsia="en-US"/>
    </w:rPr>
  </w:style>
  <w:style w:type="paragraph" w:customStyle="1" w:styleId="OLexamplesource">
    <w:name w:val="OL example source"/>
    <w:basedOn w:val="OLtext"/>
    <w:qFormat/>
    <w:rsid w:val="00E3506E"/>
    <w:pPr>
      <w:jc w:val="right"/>
    </w:pPr>
  </w:style>
  <w:style w:type="paragraph" w:customStyle="1" w:styleId="OLfootnoteextraparagraph">
    <w:name w:val="OL footnote extra paragraph"/>
    <w:basedOn w:val="OLfootnote"/>
    <w:qFormat/>
    <w:rsid w:val="00656F06"/>
    <w:pPr>
      <w:ind w:firstLine="240"/>
    </w:pPr>
  </w:style>
  <w:style w:type="table" w:styleId="TableGrid">
    <w:name w:val="Table Grid"/>
    <w:basedOn w:val="TableNormal"/>
    <w:rsid w:val="00501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blockquote">
    <w:name w:val="OL block quote"/>
    <w:basedOn w:val="OLtext"/>
    <w:qFormat/>
    <w:rsid w:val="00784ACB"/>
    <w:pPr>
      <w:spacing w:before="60" w:after="60"/>
      <w:ind w:left="284" w:right="284"/>
    </w:pPr>
  </w:style>
  <w:style w:type="paragraph" w:customStyle="1" w:styleId="OLlist">
    <w:name w:val="OL list"/>
    <w:basedOn w:val="OLtextindented"/>
    <w:qFormat/>
    <w:rsid w:val="003460E8"/>
    <w:pPr>
      <w:ind w:left="480" w:hanging="240"/>
    </w:pPr>
  </w:style>
  <w:style w:type="paragraph" w:styleId="NormalWeb">
    <w:name w:val="Normal (Web)"/>
    <w:basedOn w:val="Normal"/>
    <w:uiPriority w:val="99"/>
    <w:unhideWhenUsed/>
    <w:rsid w:val="00D37580"/>
    <w:pPr>
      <w:spacing w:before="100" w:beforeAutospacing="1" w:after="100" w:afterAutospacing="1"/>
    </w:pPr>
    <w:rPr>
      <w:lang w:eastAsia="en-AU"/>
    </w:rPr>
  </w:style>
  <w:style w:type="paragraph" w:customStyle="1" w:styleId="OLreviewauthor">
    <w:name w:val="OL review author"/>
    <w:basedOn w:val="OLtextindented"/>
    <w:qFormat/>
    <w:rsid w:val="00CD1977"/>
    <w:pPr>
      <w:spacing w:before="240"/>
      <w:ind w:firstLine="0"/>
      <w:jc w:val="left"/>
    </w:pPr>
    <w:rPr>
      <w:smallCaps/>
    </w:rPr>
  </w:style>
  <w:style w:type="paragraph" w:customStyle="1" w:styleId="OLreviewaffiliation">
    <w:name w:val="OL review affiliation"/>
    <w:basedOn w:val="OLreviewauthor"/>
    <w:qFormat/>
    <w:rsid w:val="00CD1977"/>
    <w:pPr>
      <w:spacing w:before="0"/>
    </w:pPr>
    <w:rPr>
      <w:smallCaps w:val="0"/>
    </w:rPr>
  </w:style>
  <w:style w:type="paragraph" w:customStyle="1" w:styleId="Style1">
    <w:name w:val="Style1"/>
    <w:basedOn w:val="Normal"/>
    <w:qFormat/>
    <w:rsid w:val="00D930F9"/>
    <w:pPr>
      <w:spacing w:after="320"/>
      <w:jc w:val="center"/>
    </w:pPr>
    <w:rPr>
      <w:i/>
      <w:sz w:val="36"/>
      <w:szCs w:val="36"/>
      <w:lang w:val="en-US"/>
    </w:rPr>
  </w:style>
  <w:style w:type="paragraph" w:customStyle="1" w:styleId="Style2">
    <w:name w:val="Style2"/>
    <w:basedOn w:val="Normal"/>
    <w:qFormat/>
    <w:rsid w:val="00D930F9"/>
    <w:pPr>
      <w:spacing w:after="240"/>
      <w:jc w:val="both"/>
    </w:pPr>
    <w:rPr>
      <w:szCs w:val="20"/>
      <w:lang w:val="en-US"/>
    </w:rPr>
  </w:style>
  <w:style w:type="character" w:styleId="CommentReference">
    <w:name w:val="annotation reference"/>
    <w:basedOn w:val="DefaultParagraphFont"/>
    <w:uiPriority w:val="99"/>
    <w:rsid w:val="00F46D98"/>
    <w:rPr>
      <w:sz w:val="16"/>
      <w:szCs w:val="16"/>
    </w:rPr>
  </w:style>
  <w:style w:type="paragraph" w:styleId="CommentText">
    <w:name w:val="annotation text"/>
    <w:basedOn w:val="Normal"/>
    <w:link w:val="CommentTextChar"/>
    <w:uiPriority w:val="99"/>
    <w:rsid w:val="00F46D98"/>
    <w:rPr>
      <w:sz w:val="20"/>
      <w:szCs w:val="20"/>
    </w:rPr>
  </w:style>
  <w:style w:type="character" w:customStyle="1" w:styleId="CommentTextChar">
    <w:name w:val="Comment Text Char"/>
    <w:basedOn w:val="DefaultParagraphFont"/>
    <w:link w:val="CommentText"/>
    <w:uiPriority w:val="99"/>
    <w:rsid w:val="00F46D98"/>
    <w:rPr>
      <w:lang w:eastAsia="en-US"/>
    </w:rPr>
  </w:style>
  <w:style w:type="paragraph" w:customStyle="1" w:styleId="OLreviewsquibmemoriamheading">
    <w:name w:val="OL review/squib/memoriam heading"/>
    <w:basedOn w:val="OLreviewaffiliation"/>
    <w:qFormat/>
    <w:rsid w:val="00DD3E73"/>
    <w:pPr>
      <w:spacing w:after="320" w:line="240" w:lineRule="auto"/>
      <w:jc w:val="center"/>
    </w:pPr>
    <w:rPr>
      <w:i/>
      <w:sz w:val="36"/>
      <w:szCs w:val="36"/>
    </w:rPr>
  </w:style>
  <w:style w:type="paragraph" w:customStyle="1" w:styleId="OLsquibmemoriamtitle">
    <w:name w:val="OL squib/memoriam title"/>
    <w:basedOn w:val="OLarticletitle"/>
    <w:qFormat/>
    <w:rsid w:val="002B228A"/>
    <w:pPr>
      <w:spacing w:before="640" w:line="240" w:lineRule="auto"/>
    </w:pPr>
    <w:rPr>
      <w:sz w:val="28"/>
      <w:szCs w:val="28"/>
    </w:rPr>
  </w:style>
  <w:style w:type="paragraph" w:styleId="CommentSubject">
    <w:name w:val="annotation subject"/>
    <w:basedOn w:val="CommentText"/>
    <w:next w:val="CommentText"/>
    <w:link w:val="CommentSubjectChar"/>
    <w:rsid w:val="008D0DEE"/>
    <w:rPr>
      <w:b/>
      <w:bCs/>
    </w:rPr>
  </w:style>
  <w:style w:type="character" w:customStyle="1" w:styleId="CommentSubjectChar">
    <w:name w:val="Comment Subject Char"/>
    <w:basedOn w:val="CommentTextChar"/>
    <w:link w:val="CommentSubject"/>
    <w:rsid w:val="008D0DEE"/>
    <w:rPr>
      <w:b/>
      <w:bCs/>
      <w:lang w:eastAsia="en-US"/>
    </w:rPr>
  </w:style>
  <w:style w:type="paragraph" w:customStyle="1" w:styleId="OLreviewbookinformation">
    <w:name w:val="OL review book information"/>
    <w:basedOn w:val="OLtext"/>
    <w:qFormat/>
    <w:rsid w:val="0033103D"/>
    <w:pPr>
      <w:spacing w:after="240"/>
    </w:pPr>
  </w:style>
  <w:style w:type="paragraph" w:styleId="ListBullet">
    <w:name w:val="List Bullet"/>
    <w:basedOn w:val="Normal"/>
    <w:rsid w:val="004C38C0"/>
    <w:pPr>
      <w:numPr>
        <w:numId w:val="13"/>
      </w:numPr>
      <w:contextualSpacing/>
    </w:pPr>
  </w:style>
  <w:style w:type="paragraph" w:customStyle="1" w:styleId="OLsublist">
    <w:name w:val="OL sublist"/>
    <w:basedOn w:val="OLlist"/>
    <w:qFormat/>
    <w:rsid w:val="00915861"/>
    <w:pPr>
      <w:ind w:left="720"/>
    </w:pPr>
  </w:style>
  <w:style w:type="character" w:styleId="UnresolvedMention">
    <w:name w:val="Unresolved Mention"/>
    <w:basedOn w:val="DefaultParagraphFont"/>
    <w:uiPriority w:val="99"/>
    <w:semiHidden/>
    <w:unhideWhenUsed/>
    <w:rsid w:val="0005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7051">
      <w:bodyDiv w:val="1"/>
      <w:marLeft w:val="0"/>
      <w:marRight w:val="0"/>
      <w:marTop w:val="0"/>
      <w:marBottom w:val="0"/>
      <w:divBdr>
        <w:top w:val="none" w:sz="0" w:space="0" w:color="auto"/>
        <w:left w:val="none" w:sz="0" w:space="0" w:color="auto"/>
        <w:bottom w:val="none" w:sz="0" w:space="0" w:color="auto"/>
        <w:right w:val="none" w:sz="0" w:space="0" w:color="auto"/>
      </w:divBdr>
      <w:divsChild>
        <w:div w:id="718481341">
          <w:marLeft w:val="0"/>
          <w:marRight w:val="0"/>
          <w:marTop w:val="0"/>
          <w:marBottom w:val="0"/>
          <w:divBdr>
            <w:top w:val="none" w:sz="0" w:space="0" w:color="auto"/>
            <w:left w:val="none" w:sz="0" w:space="0" w:color="auto"/>
            <w:bottom w:val="none" w:sz="0" w:space="0" w:color="auto"/>
            <w:right w:val="none" w:sz="0" w:space="0" w:color="auto"/>
          </w:divBdr>
        </w:div>
      </w:divsChild>
    </w:div>
    <w:div w:id="783233737">
      <w:bodyDiv w:val="1"/>
      <w:marLeft w:val="0"/>
      <w:marRight w:val="0"/>
      <w:marTop w:val="0"/>
      <w:marBottom w:val="0"/>
      <w:divBdr>
        <w:top w:val="none" w:sz="0" w:space="0" w:color="auto"/>
        <w:left w:val="none" w:sz="0" w:space="0" w:color="auto"/>
        <w:bottom w:val="none" w:sz="0" w:space="0" w:color="auto"/>
        <w:right w:val="none" w:sz="0" w:space="0" w:color="auto"/>
      </w:divBdr>
    </w:div>
    <w:div w:id="1386098224">
      <w:bodyDiv w:val="1"/>
      <w:marLeft w:val="0"/>
      <w:marRight w:val="0"/>
      <w:marTop w:val="0"/>
      <w:marBottom w:val="0"/>
      <w:divBdr>
        <w:top w:val="none" w:sz="0" w:space="0" w:color="auto"/>
        <w:left w:val="none" w:sz="0" w:space="0" w:color="auto"/>
        <w:bottom w:val="none" w:sz="0" w:space="0" w:color="auto"/>
        <w:right w:val="none" w:sz="0" w:space="0" w:color="auto"/>
      </w:divBdr>
    </w:div>
    <w:div w:id="1679502838">
      <w:bodyDiv w:val="1"/>
      <w:marLeft w:val="0"/>
      <w:marRight w:val="0"/>
      <w:marTop w:val="0"/>
      <w:marBottom w:val="0"/>
      <w:divBdr>
        <w:top w:val="none" w:sz="0" w:space="0" w:color="auto"/>
        <w:left w:val="none" w:sz="0" w:space="0" w:color="auto"/>
        <w:bottom w:val="none" w:sz="0" w:space="0" w:color="auto"/>
        <w:right w:val="none" w:sz="0" w:space="0" w:color="auto"/>
      </w:divBdr>
      <w:divsChild>
        <w:div w:id="15192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2B483-74A9-4C57-9CD4-AEBC4BEFB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Template>
  <TotalTime>2507</TotalTime>
  <Pages>22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1</vt:lpstr>
    </vt:vector>
  </TitlesOfParts>
  <Company>Linguistics RSPAS ANU</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Uncoded basic vocabulary in six Sulawesi word lists: What the absence of a cognate-set assignment in the Austronesian Basic Vocabulary Database does and does not show</dc:title>
  <dc:creator/>
  <cp:lastModifiedBy/>
  <cp:revision>4</cp:revision>
  <cp:lastPrinted>2021-12-28T15:55:00Z</cp:lastPrinted>
  <dcterms:created xsi:type="dcterms:W3CDTF">2023-06-06T23:53:00Z</dcterms:created>
  <dcterms:modified xsi:type="dcterms:W3CDTF">2023-06-16T00:38:00Z</dcterms:modified>
  <dc:description/>
</cp:coreProperties>
</file>