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8"/>
        </w:rPr>
        <w:t>FIGURE CAPTIONS</w:t>
      </w:r>
    </w:p>
    <w:p/>
    <w:p>
      <w:pPr>
        <w:spacing w:after="240"/>
      </w:pPr>
      <w:r>
        <w:rPr>
          <w:rFonts w:ascii="Times New Roman" w:hAnsi="Times New Roman"/>
          <w:b w:val="0"/>
          <w:i w:val="0"/>
          <w:sz w:val="24"/>
        </w:rPr>
        <w:t>Fig. 1 -- Distance distributions of candi (orange, n = 142) and inscriptions (blue, n = 176) from nearest volcano. Dashed lines indicate medians. Candi cluster in the volcano zone (0-15 km); inscriptions cluster in the court zone (15-30 km). The 13 km median gap represents a fundamental spatial division between sacred architecture and administrative text.</w:t>
      </w:r>
    </w:p>
    <w:p>
      <w:pPr>
        <w:spacing w:after="240"/>
      </w:pPr>
      <w:r>
        <w:rPr>
          <w:rFonts w:ascii="Times New Roman" w:hAnsi="Times New Roman"/>
          <w:b w:val="0"/>
          <w:i w:val="0"/>
          <w:sz w:val="24"/>
        </w:rPr>
        <w:t>Fig. 2 -- Archaeological site density by elevation zone in East Java (n = 391). Density increases monotonically from 1.96 sites per 1000 km2 at 0-50 m to 18.61 at &gt;1000 m -- a 9.5-fold increase. The expected inverse-U pattern is absent.</w:t>
      </w:r>
    </w:p>
    <w:p>
      <w:pPr>
        <w:spacing w:after="240"/>
      </w:pPr>
      <w:r>
        <w:rPr>
          <w:rFonts w:ascii="Times New Roman" w:hAnsi="Times New Roman"/>
          <w:b w:val="0"/>
          <w:i w:val="0"/>
          <w:sz w:val="24"/>
        </w:rPr>
        <w:t>Fig. 3 -- Vocabulary composition by burial depth zone. Indigenous vocabulary increases from 9.3% in shallow zones (&lt;2 m) to 56.4% in deep zones (5-10 m) -- a 5.8-fold increase. Sanskrit vocabulary shows the inverse pattern.</w:t>
      </w:r>
    </w:p>
    <w:p>
      <w:pPr>
        <w:spacing w:after="240"/>
      </w:pPr>
      <w:r>
        <w:rPr>
          <w:rFonts w:ascii="Times New Roman" w:hAnsi="Times New Roman"/>
          <w:b w:val="0"/>
          <w:i w:val="0"/>
          <w:sz w:val="24"/>
        </w:rPr>
        <w:t>Fig. 4 -- Pre-Indic vocabulary ratio over time, split by volcanic distance zone. The temporal trend (rho = 0.781, p &lt; 0.0001) is driven entirely by the court zone (20-40 km). Volcano and peripheral zones show no significant temporal trend. The vertical dotted line marks 929 CE (Mataram collapse).</w:t>
      </w:r>
    </w:p>
    <w:p>
      <w:pPr>
        <w:spacing w:after="240"/>
      </w:pPr>
      <w:r>
        <w:rPr>
          <w:rFonts w:ascii="Times New Roman" w:hAnsi="Times New Roman"/>
          <w:b w:val="0"/>
          <w:i w:val="0"/>
          <w:sz w:val="24"/>
        </w:rPr>
        <w:t>Fig. 5 -- Vocabulary composition by zone, before and after 929 CE. Pre-929 inscriptions concentrate in the court zone with Sanskrit dominance. Post-929 inscriptions shift to the periphery with indigenous and mixed vocabulary.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TABLE CAPTIONS</w:t>
      </w:r>
    </w:p>
    <w:p/>
    <w:p>
      <w:pPr>
        <w:spacing w:after="240"/>
      </w:pPr>
      <w:r>
        <w:rPr>
          <w:rFonts w:ascii="Times New Roman" w:hAnsi="Times New Roman"/>
          <w:b w:val="0"/>
          <w:i w:val="0"/>
          <w:sz w:val="24"/>
        </w:rPr>
        <w:t>Tab. 1 -- Summary of five analyses supporting the Two Javas model.</w:t>
      </w:r>
    </w:p>
    <w:p>
      <w:pPr>
        <w:spacing w:after="240"/>
      </w:pPr>
      <w:r>
        <w:rPr>
          <w:rFonts w:ascii="Times New Roman" w:hAnsi="Times New Roman"/>
          <w:b w:val="0"/>
          <w:i w:val="0"/>
          <w:sz w:val="24"/>
        </w:rPr>
        <w:t>Tab. 2 -- Distribution of candi and inscriptions by volcanic distance zone.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exact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