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Сокращатель ссылок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разработать HTTP-сервис, который генерирует короткие ссылки.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сервисе должна быть реализована следующая функциональность: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Генератор ссылок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Ресурс /generate должен обрабатывать POST-запрос, который содержит оригинальную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ссылку, и сгенерировать короткую ссылку.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Оригинальная ссылка передается в теле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POST-запроса в поле “original” JSON-объекта. Сгенерированная короткая ссылка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передается в теле ответа в поле "short" JSON-объекта. Сгенерированная короткая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ссылка должна иметь формат /li/{short-name}, то есть не должна содержать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адрес сервера, где short-name - идентификатор ссылки. Алгоритм генерации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этого идентификатора и его формат остается на усмотрение автора.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 /generate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“original”: “https://some-server.com/some/url?some_param=1”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Пример ответа: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“short”: “/li/short-name”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Редирект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Ресурс /li/{short-name} должен осуществлять редирект на оригинальный url.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Параметры пути запроса: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short-name - идентификатор ссылки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/li/short-name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Требования к сервису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При создании сервиса воспользоваться Spring Framework, Spring Boot.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Сервис должен запускаться как standalone-приложение (java -jar service.jar).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Необходимо покрыть сервис Unit-тестами. Полнота покрытия остается на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усмотрение автора решения (минимум 1 тест).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Приложение должно собираться с использованием Apache Maven.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В качестве БД можно использовать как БД в докере, так и embedded базы данных (например, H2).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