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Guion de exposición DengueML-UPN</w:t>
      </w:r>
    </w:p>
    <w:p>
      <w:pPr>
        <w:pStyle w:val="Subtitle"/>
      </w:pPr>
      <w:r>
        <w:t xml:space="preserve">Sistema de consulta epidemiológica y evaluación de predicciones semanales</w:t>
      </w:r>
    </w:p>
    <w:p>
      <w:pPr>
        <w:pStyle w:val="Normal"/>
      </w:pPr>
      <w:r>
        <w:t xml:space="preserve">Guion universitario · DIRIS Lima Centro · 21-10-2026</w:t>
      </w:r>
    </w:p>
    <w:p>
      <w:pPr>
        <w:pStyle w:val="Normal"/>
      </w:pPr>
      <w:r>
        <w:t xml:space="preserve">Cobertura local: 2023-SE01 a 2024-SE52 · 14 distritos · archivo procesado v3-fd76eb0311248856-22f8bcb2a63d</w:t>
      </w:r>
    </w:p>
    <w:p>
      <w:pPr>
        <w:pStyle w:val="Normal"/>
      </w:pPr>
      <w:r>
        <w:t xml:space="preserve">Lectura principal: la evidencia disponible no demuestra que XGBoost supere a una referencia sencilla; el resultado más favorable en validación fue persistencia. La meta de error menor o igual a 10% no se alcanzó.</w:t>
      </w:r>
    </w:p>
    <w:p>
      <w:pPr>
        <w:pStyle w:val="Normal"/>
      </w:pPr>
      <w:r>
        <w:t xml:space="preserve">No se encontró KPI.docx ni archivo Capstone editable/PDF dentro de la carpeta revisada. Se respetan los cuatro KPI de docs/fichas_kpis.md y la descripción vigente del código; el informe académico original no se modificó.</w:t>
      </w:r>
    </w:p>
    <w:p>
      <w:pPr>
        <w:pStyle w:val="Normal"/>
      </w:pPr>
      <w:r>
        <w:br w:type="page"/>
      </w:r>
    </w:p>
    <w:p>
      <w:pPr>
        <w:pStyle w:val="Heading1"/>
      </w:pPr>
      <w:r>
        <w:t xml:space="preserve">Resultados que deben comunicarse</w:t>
      </w:r>
    </w:p>
    <w:p>
      <w:pPr>
        <w:pStyle w:val="Normal"/>
      </w:pPr>
      <w:r>
        <w:t xml:space="preserve">La evaluación walk-forward comparó 48 predicciones distrito-semana correspondientes a 10 semanas epidemiológicas entre 2024-SE23 a 2024-SE37. El modelo se eligió usando solamente la parte previa, hasta 2024-SE22. La serie local cuenta con 594 combinaciones distrito-semana con registros y 862 marcadas sin registros.</w:t>
      </w:r>
    </w:p>
    <w:tbl>
      <w:tblPr>
        <w:tblStyle w:val="TableGrid"/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start w:w="90" w:type="dxa"/>
          <w:bottom w:w="85" w:type="dxa"/>
          <w:end w:w="90" w:type="dxa"/>
        </w:tblCellMar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Resultado en tramo evaluado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XGBoost publicado (evaluado walk-forward)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Persistencia seleccionado en validación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WAPE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112.4%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62.2%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MAE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12.51 casos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6.92 casos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RMSE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16.78 casos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14.46 casos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sMAPE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100.9%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54.1%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Predicciones dentro de ±10%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4.2%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16.7%</w:t>
            </w:r>
          </w:p>
        </w:tc>
      </w:tr>
    </w:tbl>
    <w:p>
      <w:pPr>
        <w:pStyle w:val="Normal"/>
      </w:pPr>
      <w:r>
        <w:t xml:space="preserve">Persistencia redujo el WAPE frente a XGBoost en 44.7% en este tramo. Es un resultado retrospectivo exploratorio, no una prueba nueva e independiente: reportes walk-forward anteriores ya incluían semanas de la serie completa. Además, el conjunto evaluado es pequeño y termina en 2024.</w:t>
      </w:r>
    </w:p>
    <w:p>
      <w:pPr>
        <w:pStyle w:val="Normal"/>
      </w:pPr>
      <w:r>
        <w:t xml:space="preserve">El método seleccionado para la evaluación histórica no reemplazó el modelo publicado para pronósticos futuros. La estimación XGBoost vigente parte del corte 2024-SE52 y no está actualizada con datos posteriores.</w:t>
      </w:r>
    </w:p>
    <w:p>
      <w:pPr>
        <w:pStyle w:val="Heading1"/>
      </w:pPr>
      <w:r>
        <w:t xml:space="preserve">A Introducción</w:t>
      </w:r>
    </w:p>
    <w:p>
      <w:pPr>
        <w:pStyle w:val="Normal"/>
      </w:pPr>
      <w:r>
        <w:t xml:space="preserve">Buenos días. Presentamos DengueML-UPN, un dashboard educativo que consulta registros semanales de dengue en los 14 distritos de DIRIS Lima Centro. El dengue puede producir brotes que exigen vigilancia y coordinación. Anticipar cambios en los registros ayudaría a revisar tendencias y preparar preguntas para la gestión, pero una estimación automática no reemplaza el trabajo epidemiológico.</w:t>
      </w:r>
    </w:p>
    <w:p>
      <w:pPr>
        <w:pStyle w:val="Normal"/>
      </w:pPr>
      <w:r>
        <w:t xml:space="preserve">El proyecto organiza una serie temporal, ofrece gráficos distritales y compara predicciones históricas con observaciones posteriores. Su valor es hacer visible la evidencia y sus límites. Las cifras representan registros notificados, no una tasa poblacional ni personas necesariamente únicas.</w:t>
      </w:r>
    </w:p>
    <w:p>
      <w:pPr>
        <w:pStyle w:val="Heading1"/>
      </w:pPr>
      <w:r>
        <w:t xml:space="preserve">B Objetivo del sistema</w:t>
      </w:r>
    </w:p>
    <w:p>
      <w:pPr>
        <w:pStyle w:val="Normal"/>
      </w:pPr>
      <w:r>
        <w:t xml:space="preserve">Objetivo general: brindar una consulta y estimación semanal, reproducible y explicable para los 14 distritos de DIRIS Lima Centro, junto con una evaluación temporal del error.</w:t>
      </w:r>
    </w:p>
    <w:p>
      <w:pPr>
        <w:pStyle w:val="Normal"/>
      </w:pPr>
      <w:r>
        <w:t xml:space="preserve">Objetivos específicos: consolidar los registros por distrito y semana; mostrar la curva histórica; generar estimaciones de corto plazo con XGBoost; contrastar el modelo con referencias simples mediante walk-forward; y exponer procedencia, cobertura y limitaciones.</w:t>
      </w:r>
    </w:p>
    <w:p>
      <w:pPr>
        <w:pStyle w:val="Normal"/>
      </w:pPr>
      <w:r>
        <w:t xml:space="preserve">El público principal son estudiantes, profesores y personas que necesitan explorar el comportamiento registrado. El beneficio esperado es facilitar la lectura y la explicación de datos, no declarar brotes ni emitir alertas oficiales.</w:t>
      </w:r>
    </w:p>
    <w:p>
      <w:pPr>
        <w:pStyle w:val="Heading1"/>
      </w:pPr>
      <w:r>
        <w:t xml:space="preserve">C Funcionamiento de la página</w:t>
      </w:r>
    </w:p>
    <w:p>
      <w:pPr>
        <w:pStyle w:val="Bullet"/>
      </w:pPr>
      <w:r>
        <w:t xml:space="preserve">• Abre el dashboard desde INICIAR_WINDOWS.bat o con streamlit run src/app.py.</w:t>
      </w:r>
    </w:p>
    <w:p>
      <w:pPr>
        <w:pStyle w:val="Bullet"/>
      </w:pPr>
      <w:r>
        <w:t xml:space="preserve">• En el menú lateral, entra a Predicciones históricas para evaluar semanas pasadas; elige Comparación real vs. predicho para superponer curvas.</w:t>
      </w:r>
    </w:p>
    <w:p>
      <w:pPr>
        <w:pStyle w:val="Bullet"/>
      </w:pPr>
      <w:r>
        <w:t xml:space="preserve">• Selecciona distrito, año epidemiológico y semana. La opción Todos los distritos agrega los registros disponibles, pero no convierte semanas ausentes en casos cero.</w:t>
      </w:r>
    </w:p>
    <w:p>
      <w:pPr>
        <w:pStyle w:val="Bullet"/>
      </w:pPr>
      <w:r>
        <w:t xml:space="preserve">• Lee Casos reales como registros del panel procesado para esa semana y distrito. Un campo sin observación no debe interpretarse como ausencia de transmisión.</w:t>
      </w:r>
    </w:p>
    <w:p>
      <w:pPr>
        <w:pStyle w:val="Bullet"/>
      </w:pPr>
      <w:r>
        <w:t xml:space="preserve">• Lee Casos predichos como una estimación fuera de muestra, generada entrenando con semanas anteriores al objetivo. Revisa el error absoluto, el error porcentual y el estado del margen ±10%.</w:t>
      </w:r>
    </w:p>
    <w:p>
      <w:pPr>
        <w:pStyle w:val="Bullet"/>
      </w:pPr>
      <w:r>
        <w:t xml:space="preserve">• En la curva, azul representa observaciones, naranja XGBoost histórico y verde persistencia. Las curvas históricas son evaluaciones retrospectivas; el pronóstico futuro aparece en su sección y no está confirmado.</w:t>
      </w:r>
    </w:p>
    <w:p>
      <w:pPr>
        <w:pStyle w:val="Bullet"/>
      </w:pPr>
      <w:r>
        <w:t xml:space="preserve">• Consulta Indicadores y evaluación para MAE, RMSE, WAPE, sMAPE y resultados por distrito. El tramo final muestra la comparación congelada para este informe.</w:t>
      </w:r>
    </w:p>
    <w:p>
      <w:pPr>
        <w:pStyle w:val="Bullet"/>
      </w:pPr>
      <w:r>
        <w:t xml:space="preserve">• En Fuentes de datos y transparencia revisa las instituciones y usa los botones para descargar el panel procesado y los CSV de resultados. Para el CSV original, abre el recurso oficial del MINSA; el original no está guardado dentro del proyecto.</w:t>
      </w:r>
    </w:p>
    <w:p>
      <w:pPr>
        <w:pStyle w:val="Heading1"/>
      </w:pPr>
      <w:r>
        <w:t xml:space="preserve">D KPI e indicadores</w:t>
      </w:r>
    </w:p>
    <w:p>
      <w:pPr>
        <w:pStyle w:val="Heading2"/>
      </w:pPr>
      <w:r>
        <w:t xml:space="preserve">D.1 KPI oficiales del proyecto</w:t>
      </w:r>
    </w:p>
    <w:p>
      <w:pPr>
        <w:pStyle w:val="Normal"/>
      </w:pPr>
      <w:r>
        <w:t xml:space="preserve">El repositorio define cuatro KPI oficiales en docs/fichas_kpis.md. No se sustituyen por métricas de aprendizaje automático.</w:t>
      </w:r>
    </w:p>
    <w:tbl>
      <w:tblPr>
        <w:tblStyle w:val="TableGrid"/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start w:w="90" w:type="dxa"/>
          <w:bottom w:w="85" w:type="dxa"/>
          <w:end w:w="90" w:type="dxa"/>
        </w:tblCellMar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KPI oficial · fórmula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Qué indica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Ejemplo y lectura favorable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Casos semanales por distrito. Total = suma de registros de la semana.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Magnitud absoluta observada; no es incidencia por habitantes.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8 + 10 + 7 = 25 registros. No existe un número universalmente favorable; se interpreta con territorio y periodo.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Nivel preliminar de riesgo. Índice = predicción / referencia histórica × 100.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Compara el pronóstico con la media móvil de 12 semanas. Bajo &lt;80%; medio 80–150%; alto &gt;150%; referencia cero puede dar evaluación especial.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60 / 50 ×100 =120%: medio. Menor no equivale a riesgo sanitario validado; los umbrales son experimentales.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Capacidad de anticipación. Semana del evento − semana de alerta.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Mide cuántas semanas antes habría señalado un evento definido.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Alerta SE20 y pico SE23 = 3 semanas. Más anticipación útil sería mejor, pero el KPI está pendiente de validación empírica.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Tendencia de casos. (actual − anterior) / anterior ×100.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Cambio relativo entre semanas consecutivas; si el anterior es cero, el porcentaje no se define.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De 40 a 50 = +25% y +10 casos. Un aumento no es favorable; describe dirección y escala.</w:t>
            </w:r>
          </w:p>
        </w:tc>
      </w:tr>
    </w:tbl>
    <w:p>
      <w:pPr>
        <w:pStyle w:val="Heading2"/>
      </w:pPr>
      <w:r>
        <w:t xml:space="preserve">D.2 Métricas técnicas complementarias de Machine Learning</w:t>
      </w:r>
    </w:p>
    <w:tbl>
      <w:tblPr>
        <w:tblStyle w:val="TableGrid"/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start w:w="90" w:type="dxa"/>
          <w:bottom w:w="85" w:type="dxa"/>
          <w:end w:w="90" w:type="dxa"/>
        </w:tblCellMar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Métrica · fórmula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Qué mide e interpretación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Ejemplo y valor deseable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Casos reales / predichos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Valor observado y estimación para una combinación distrito-semana.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Real 60 y estimado 54: diferencia 6 casos. Cuanto menor sea la diferencia, mejor, sin prometer acierto exacto.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absoluto = |real − predicho|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Distancia en número de casos; evita cancelación de errores.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|60−54| = 6 casos. Menor es mejor.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porcentual = |real−predicho| / real ×100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relativo; no se define si real = 0 y puede crecer mucho con valores bajos.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6/60 ×100 = 10%. Menor es mejor; la meta del proyecto es ±10%.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MAE = promedio(|real−predicho|)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absoluto medio, expresado en casos.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Errores 2, 2 y 3: MAE=2,33 casos. Menor es mejor.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RMSE = raíz(promedio((real−predicho)²))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en casos que castiga especialmente los fallos grandes y picos.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Errores 2, 2 y 3: RMSE=2,24 casos. Menor es mejor.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WAPE = suma(|real−predicho|) / suma(real) ×100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absoluto ponderado por el volumen total. Evita interpretar porcentajes por semana sin mirar el tamaño de la serie.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Suma de errores 7 y suma real 60: WAPE=11,7%. Menor es mejor; meta complementaria &lt;10%.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sMAPE = promedio(200×|real−predicho| / (|real|+|predicho|))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Error porcentual simétrico; se reporta como porcentaje y requiere tratar real=predicho=0 con valor cero.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Para 10 vs 12 y 20 vs 18: sMAPE≈14,4%. Menor es mejor.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Porcentaje dentro de ±10% = predicciones con |error|/real ≤0,10 / predicciones con real&gt;0 ×100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Proporción de observaciones distrito-semana que cumple el umbral. Los reales cero se excluyen del denominador porcentual.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Si 8 de 40 predicciones cumplen: 20%. Más alto es mejor; la meta 100% no está demostrada.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Semanas evaluadas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Número de semanas con al menos una observación evaluable; se reporta aparte el número de filas distrito-semana.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En el tramo: 10 semanas y 48 predicciones distrito-semana. Mayor cobertura útil, sin sacrificar calidad.</w:t>
            </w:r>
          </w:p>
        </w:tc>
      </w:tr>
    </w:tbl>
    <w:p>
      <w:pPr>
        <w:pStyle w:val="Normal"/>
      </w:pPr>
      <w:r>
        <w:t xml:space="preserve">El holdout no tuvo objetivos reales iguales a cero en sus 48 filas. Por ello, el error porcentual se calculó en todas las predicciones evaluadas. Los porcentajes con casos muy bajos siguen siendo inestables y deben leerse junto con el error absoluto.</w:t>
      </w:r>
    </w:p>
    <w:p>
      <w:pPr>
        <w:pStyle w:val="Heading1"/>
      </w:pPr>
      <w:r>
        <w:t xml:space="preserve">E Explicación de XGBoost y validación</w:t>
      </w:r>
    </w:p>
    <w:p>
      <w:pPr>
        <w:pStyle w:val="Normal"/>
      </w:pPr>
      <w:r>
        <w:t xml:space="preserve">XGBoost es un método de aprendizaje automático que construye árboles de decisión en secuencia. Cada árbol aprende a corregir parte de los errores acumulados, y el conjunto produce la estimación. En este proyecto recibe la historia de casos por distrito: rezagos semanales, promedios móviles, cambios recientes y calendario epidemiológico.</w:t>
      </w:r>
    </w:p>
    <w:p>
      <w:pPr>
        <w:pStyle w:val="Normal"/>
      </w:pPr>
      <w:r>
        <w:t xml:space="preserve">El backtesting walk-forward simula el uso real en fechas pasadas. Para cada semana objetivo, el entrenamiento y las características solo usan datos anteriores. Se predice, se guarda la salida y luego se compara con el dato observado. No se incorporó clima al modelo desplegado; los experimentos climáticos permanecen separados.</w:t>
      </w:r>
    </w:p>
    <w:p>
      <w:pPr>
        <w:pStyle w:val="Normal"/>
      </w:pPr>
      <w:r>
        <w:t xml:space="preserve">La fuga temporal se evita ordenando por año y semana, creando rezagos dentro de cada distrito y cortando el entrenamiento antes de la semana evaluada. Un valor de una semana posterior no puede actuar como característica o formar parte del entrenamiento de esa predicción. La prueba de regresión comprueba que cambiar la semana objetivo no cambia la predicción generada desde el pasado.</w:t>
      </w:r>
    </w:p>
    <w:p>
      <w:pPr>
        <w:pStyle w:val="Normal"/>
      </w:pPr>
      <w:r>
        <w:t xml:space="preserve">Las referencias comparadas fueron persistencia (repetir el último dato), media móvil, XGBoost directo, XGBoost con objetivo logarítmico, una variante regularizada y Poisson. Se eligió el método por MAE en validación temporal anterior. Persistencia ganó; por eso no se afirma que optimizar XGBoost haya conseguido el objetivo.</w:t>
      </w:r>
    </w:p>
    <w:p>
      <w:pPr>
        <w:pStyle w:val="Heading1"/>
      </w:pPr>
      <w:r>
        <w:t xml:space="preserve">F Resultados reales del proyecto</w:t>
      </w:r>
    </w:p>
    <w:tbl>
      <w:tblPr>
        <w:tblStyle w:val="TableGrid"/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start w:w="90" w:type="dxa"/>
          <w:bottom w:w="85" w:type="dxa"/>
          <w:end w:w="90" w:type="dxa"/>
        </w:tblCellMar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Métrica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XGBoost publicado (evaluado walk-forward)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Persistencia seleccionado en validación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WAPE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112.4%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62.2%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MAE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12.51 casos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6.92 casos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RMSE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16.78 casos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14.46 casos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sMAPE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100.9%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54.1%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Predicciones dentro de ±10%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4.2%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16.7%</w:t>
            </w:r>
          </w:p>
        </w:tc>
      </w:tr>
    </w:tbl>
    <w:p>
      <w:pPr>
        <w:pStyle w:val="Normal"/>
      </w:pPr>
      <w:r>
        <w:t xml:space="preserve">Periodo de validación: hasta 2024-SE22. Periodo de evaluación: desde 2024-SE23, 10 semanas con 48 predicciones distrito-semana. El método escogido en validación fue persistencia.</w:t>
      </w:r>
    </w:p>
    <w:p>
      <w:pPr>
        <w:pStyle w:val="Normal"/>
      </w:pPr>
      <w:r>
        <w:t xml:space="preserve">En estas observaciones, persistencia bajó MAE de 12.51 a 6.92 casos y WAPE de 112.4% a 62.2%. La proporción dentro de ±10% fue 16.7% para persistencia y 4.2% para XGBoost. La meta no se alcanzó.</w:t>
      </w:r>
    </w:p>
    <w:p>
      <w:pPr>
        <w:pStyle w:val="Normal"/>
      </w:pPr>
      <w:r>
        <w:t xml:space="preserve">El mayor error absoluto del método elegido fue 73 casos en San Juan de Lurigancho, 2024-SE23. Los errores relativos son particularmente altos en distritos-semanas con pocos casos.</w:t>
      </w:r>
    </w:p>
    <w:p>
      <w:pPr>
        <w:pStyle w:val="Normal"/>
      </w:pPr>
      <w:r>
        <w:t xml:space="preserve">Limitaciones: serie local integrada 2023–2024, solo 594 combinaciones con registros y 862 sin filas; el archivo raw no está disponible localmente. La auditoría encontró microdatos MINSA/CDC publicados hasta 2024, un observatorio CDC con consulta semanal distrital hasta 2026-SE35, una sala diaria hasta 20-10-2026 y boletines DIRIS 2025–2026. No se descargaron ni integraron: la conexión de red local fue rechazada y los cortes, formatos y definiciones requieren conciliación. Pocas semanas permiten evaluar los 14 distritos. Los resultados no son un test virgen: evaluaciones walk-forward previas ya habían utilizado toda la serie. Se requiere protocolo congelado y datos nuevos para confirmar generalización.</w:t>
      </w:r>
    </w:p>
    <w:p>
      <w:pPr>
        <w:pStyle w:val="Heading2"/>
      </w:pPr>
      <w:r>
        <w:t xml:space="preserve">Fuentes oficiales y disponibilidad</w:t>
      </w:r>
    </w:p>
    <w:tbl>
      <w:tblPr>
        <w:tblStyle w:val="TableGrid"/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start w:w="90" w:type="dxa"/>
          <w:bottom w:w="85" w:type="dxa"/>
          <w:end w:w="90" w:type="dxa"/>
        </w:tblCellMar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Fuente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Cobertura y uso</w:t>
            </w:r>
          </w:p>
        </w:tc>
        <w:tc>
          <w:tcPr>
            <w:shd w:fill="123B5D"/>
            <w:tcW w:w="3360" w:type="dxa"/>
          </w:tcPr>
          <w:p>
            <w:pPr>
              <w:spacing w:after="40"/>
            </w:pPr>
            <w:r>
              <w:rPr>
                <w:color w:val="FFFFFF"/>
                <w:sz w:val="16"/>
                <w:b/>
              </w:rPr>
              <w:t xml:space="preserve">Estado local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MINSA / CDC Perú · Vigilancia Epidemiológica de dengue · datosabiertos.gob.pe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Fuente pública 2000–2024; modificación indicada 17-12-2025; licencia ODC Attribution.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Panel local 2023–2024; CSV original no está archivado. Recurso enlazado en el dashboard.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CDC Perú · Observatorio de Clima y Salud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Selector 2018–2026; serie semanal detallada por departamento, provincia y distrito; corte 2026-SE35 (05-09-2026).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Descarga anunciada por el portal; no obtenida desde este entorno. No integrada.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CDC Perú · Sala Situacional Diaria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Indicadores diarios al 20-10-2026 08:00; confirma/probable; ofrece indicadores por distrito.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DIRIS Lima Centro: 1.450 agregados, 1.340 confirmados y 110 probables; cifra de corte, no serie semanal, no integrada.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DIRIS Lima Centro · Dengue 2024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Boletines PDF semanales hasta SE52; publicación 23-12-2024.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Fuente de contexto; no agregada a la serie para evitar mezclar cortes/definiciones.</w:t>
            </w:r>
          </w:p>
        </w:tc>
      </w:tr>
      <w:tr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DIRIS Lima Centro · Dengue 2025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PDF semanales hasta SE53; publicación 29-12-2025.</w:t>
            </w:r>
          </w:p>
        </w:tc>
        <w:tc>
          <w:tcPr>
            <w:shd w:fill="FFFFFF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No integrado; cortes sucesivos en PDF.</w:t>
            </w:r>
          </w:p>
        </w:tc>
      </w:tr>
      <w:tr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DIRIS Lima Centro · Boletines Epidemiológicos 2026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PDF semanales visibles hasta SE29 en ficha revisada (31-07-2026).</w:t>
            </w:r>
          </w:p>
        </w:tc>
        <w:tc>
          <w:tcPr>
            <w:shd w:fill="F1F5F9"/>
            <w:tcW w:w="3360" w:type="dxa"/>
          </w:tcPr>
          <w:p>
            <w:pPr>
              <w:spacing w:after="40"/>
            </w:pPr>
            <w:r>
              <w:rPr>
                <w:color w:val="1F2937"/>
                <w:sz w:val="16"/>
              </w:rPr>
              <w:t xml:space="preserve">No integrado; requiere extracción y conciliación.</w:t>
            </w:r>
          </w:p>
        </w:tc>
      </w:tr>
    </w:tbl>
    <w:p>
      <w:pPr>
        <w:pStyle w:val="Normal"/>
      </w:pPr>
      <w:r>
        <w:t xml:space="preserve">URLs oficiales: https://www.datosabiertos.gob.pe/dataset/vigilancia-epidemiol%C3%B3gica-de-dengue · https://app7.dge.gob.pe/maps/clima-salud/ · https://app7.dge.gob.pe/maps2/sala_diaria_dengue.html · https://www.gob.pe/institucion/dirislimacentro/informes-publicaciones/7824541-dengue-2024 · https://www.gob.pe/institucion/dirislimacentro/informes-publicaciones/7825010-dengue-2025 · https://www.gob.pe/institucion/dirislimacentro/informes-publicaciones/7636617-boletines-epidemiologicos-2026</w:t>
      </w:r>
    </w:p>
    <w:p>
      <w:pPr>
        <w:pStyle w:val="Normal"/>
      </w:pPr>
      <w:r>
        <w:br w:type="page"/>
      </w:r>
    </w:p>
    <w:p>
      <w:pPr>
        <w:pStyle w:val="Heading1"/>
      </w:pPr>
      <w:r>
        <w:t xml:space="preserve">G Guion oral para exposición de 5 a 7 minutos</w:t>
      </w:r>
    </w:p>
    <w:p>
      <w:pPr>
        <w:pStyle w:val="Heading2"/>
      </w:pPr>
      <w:r>
        <w:t xml:space="preserve">1. Presentación e introducción · 40 segundos</w:t>
      </w:r>
    </w:p>
    <w:p>
      <w:pPr>
        <w:pStyle w:val="Normal"/>
      </w:pPr>
      <w:r>
        <w:t xml:space="preserve">Buenos días. Somos el equipo de DengueML-UPN. Presentamos una herramienta educativa para explorar casos notificados de dengue y revisar estimaciones semanales en 14 distritos de DIRIS Lima Centro. El sistema busca facilitar la lectura de los datos y demostrar cómo se evalúa una predicción. No es un sistema de diagnóstico ni una alerta oficial.</w:t>
      </w:r>
    </w:p>
    <w:p>
      <w:pPr>
        <w:pStyle w:val="Heading2"/>
      </w:pPr>
      <w:r>
        <w:t xml:space="preserve">2. Problema y objetivos · 45 segundos</w:t>
      </w:r>
    </w:p>
    <w:p>
      <w:pPr>
        <w:pStyle w:val="Normal"/>
      </w:pPr>
      <w:r>
        <w:t xml:space="preserve">El dengue cambia en el tiempo y entre distritos. Si solo vemos una cifra aislada, perdemos la tendencia. Nuestro objetivo fue consolidar registros por semana, presentar su evolución y probar XGBoost con validación temporal. También comparamos el modelo con reglas sencillas, porque un modelo complejo solo es útil si generaliza mejor.</w:t>
      </w:r>
    </w:p>
    <w:p>
      <w:pPr>
        <w:pStyle w:val="Heading2"/>
      </w:pPr>
      <w:r>
        <w:t xml:space="preserve">3. Funcionamiento del dashboard · 55 segundos</w:t>
      </w:r>
    </w:p>
    <w:p>
      <w:pPr>
        <w:pStyle w:val="Normal"/>
      </w:pPr>
      <w:r>
        <w:t xml:space="preserve">Ahora observamos la pantalla de inicio: el periodo local llega a 2024-SE52. El menú permite explorar predicciones históricas, comparar curvas, revisar indicadores, consultar pronósticos futuros y abrir las fuentes. La cobertura es de 14 distritos. Las semanas sin filas se identifican como sin registros; no las interpretamos como cero transmisión.</w:t>
      </w:r>
    </w:p>
    <w:p>
      <w:pPr>
        <w:pStyle w:val="Heading2"/>
      </w:pPr>
      <w:r>
        <w:t xml:space="preserve">4. Demostración de una predicción histórica · 60 segundos</w:t>
      </w:r>
    </w:p>
    <w:p>
      <w:pPr>
        <w:pStyle w:val="Normal"/>
      </w:pPr>
      <w:r>
        <w:t xml:space="preserve">Ahora seleccionamos la sección de predicciones históricas. Elegimos el año, la semana epidemiológica y el distrito. El valor real corresponde al registro observado posteriormente. La predicción de walk-forward se construyó usando solo semanas anteriores. En la curva, azul representa lo observado y naranja la predicción histórica de XGBoost. La línea verde muestra persistencia. El error absoluto expresa casos; el porcentual no se calcula si el valor real es cero.</w:t>
      </w:r>
    </w:p>
    <w:p>
      <w:pPr>
        <w:pStyle w:val="Heading2"/>
      </w:pPr>
      <w:r>
        <w:t xml:space="preserve">5. KPI y métricas · 50 segundos</w:t>
      </w:r>
    </w:p>
    <w:p>
      <w:pPr>
        <w:pStyle w:val="Normal"/>
      </w:pPr>
      <w:r>
        <w:t xml:space="preserve">Los cuatro KPI oficiales son casos semanales, nivel preliminar de riesgo, capacidad de anticipación y tendencia. Riesgo y anticipación tienen límites importantes: el riesgo es experimental y la anticipación todavía no está validada ante brotes definidos. Para medir el modelo usamos MAE, RMSE, WAPE, sMAPE y la proporción dentro de diez por ciento. MAE indica el error medio en casos; WAPE resume el error relativo global.</w:t>
      </w:r>
    </w:p>
    <w:p>
      <w:pPr>
        <w:pStyle w:val="Heading2"/>
      </w:pPr>
      <w:r>
        <w:t xml:space="preserve">6. Resultados obtenidos · 55 segundos</w:t>
      </w:r>
    </w:p>
    <w:p>
      <w:pPr>
        <w:pStyle w:val="Normal"/>
      </w:pPr>
      <w:r>
        <w:t xml:space="preserve">En el tramo evaluado, que contiene 48 predicciones de 10 semanas, persistencia fue elegida en la validación anterior. Su WAPE fue 62.2%, frente a 112.4% para XGBoost; el MAE fue 6.92 frente a 12.51 casos. Solo 16.7% de sus predicciones quedó dentro de diez por ciento. Por tanto, no alcanzamos la meta y no afirmamos superioridad general. El tramo ya había aparecido en reportes anteriores, así que lo presentamos como evidencia retrospectiva, no como una prueba virgen.</w:t>
      </w:r>
    </w:p>
    <w:p>
      <w:pPr>
        <w:pStyle w:val="Heading2"/>
      </w:pPr>
      <w:r>
        <w:t xml:space="preserve">7. Conclusiones · 35 segundos</w:t>
      </w:r>
    </w:p>
    <w:p>
      <w:pPr>
        <w:pStyle w:val="Normal"/>
      </w:pPr>
      <w:r>
        <w:t xml:space="preserve">El dashboard funciona como herramienta de consulta y evaluación, pero los resultados muestran que XGBoost todavía no supera a persistencia de forma convincente. Faltan más datos compatibles, validación en semanas nuevas y evaluación epidemiológica del indicador de riesgo. Gracias; podemos revisar una semana o una métrica del sistema.</w:t>
      </w:r>
    </w:p>
    <w:p>
      <w:pPr>
        <w:pStyle w:val="Heading1"/>
      </w:pPr>
      <w:r>
        <w:t xml:space="preserve">H Preguntas posibles del profesor</w:t>
      </w:r>
    </w:p>
    <w:p>
      <w:pPr>
        <w:pStyle w:val="Heading3"/>
      </w:pPr>
      <w:r>
        <w:t xml:space="preserve">¿Por qué utilizar XGBoost?</w:t>
      </w:r>
    </w:p>
    <w:p>
      <w:pPr>
        <w:pStyle w:val="Normal"/>
      </w:pPr>
      <w:r>
        <w:t xml:space="preserve">Porque puede aprender relaciones no lineales entre rezagos y calendario, ofrece un modelo reproducible y es apropiado para datos tabulares. Eso no significa que siempre venza a una regla simple.</w:t>
      </w:r>
    </w:p>
    <w:p>
      <w:pPr>
        <w:pStyle w:val="Heading3"/>
      </w:pPr>
      <w:r>
        <w:t xml:space="preserve">¿De dónde salen los datos?</w:t>
      </w:r>
    </w:p>
    <w:p>
      <w:pPr>
        <w:pStyle w:val="Normal"/>
      </w:pPr>
      <w:r>
        <w:t xml:space="preserve">El panel local atribuye su origen a vigilancia MINSA/CDC y cubre 2023–2024. La auditoría encontró fuentes oficiales hasta 2026, pero el archivo original nacional y los cortes recientes no están archivados ni integrados en el proyecto.</w:t>
      </w:r>
    </w:p>
    <w:p>
      <w:pPr>
        <w:pStyle w:val="Heading3"/>
      </w:pPr>
      <w:r>
        <w:t xml:space="preserve">¿Qué significa un error del 10%?</w:t>
      </w:r>
    </w:p>
    <w:p>
      <w:pPr>
        <w:pStyle w:val="Normal"/>
      </w:pPr>
      <w:r>
        <w:t xml:space="preserve">Que la diferencia absoluta representa como máximo 10% del valor real. Si el real es 50, el margen es 5 casos. Con real cero, el porcentaje no se define.</w:t>
      </w:r>
    </w:p>
    <w:p>
      <w:pPr>
        <w:pStyle w:val="Heading3"/>
      </w:pPr>
      <w:r>
        <w:t xml:space="preserve">¿Cómo comprueban que funciona?</w:t>
      </w:r>
    </w:p>
    <w:p>
      <w:pPr>
        <w:pStyle w:val="Normal"/>
      </w:pPr>
      <w:r>
        <w:t xml:space="preserve">Con walk-forward: cada objetivo se pronostica usando solo semanas previas, y después se compara con lo observado. También se contrasta con persistencia y otras referencias.</w:t>
      </w:r>
    </w:p>
    <w:p>
      <w:pPr>
        <w:pStyle w:val="Heading3"/>
      </w:pPr>
      <w:r>
        <w:t xml:space="preserve">¿Qué pasa si faltan datos?</w:t>
      </w:r>
    </w:p>
    <w:p>
      <w:pPr>
        <w:pStyle w:val="Normal"/>
      </w:pPr>
      <w:r>
        <w:t xml:space="preserve">La semana aparece sin registros y se excluye cuando no se puede formar historia válida. No inventamos cero ni imputamos un caso para evaluar.</w:t>
      </w:r>
    </w:p>
    <w:p>
      <w:pPr>
        <w:pStyle w:val="Heading3"/>
      </w:pPr>
      <w:r>
        <w:t xml:space="preserve">¿Qué diferencia hay entre predicción histórica y futura?</w:t>
      </w:r>
    </w:p>
    <w:p>
      <w:pPr>
        <w:pStyle w:val="Normal"/>
      </w:pPr>
      <w:r>
        <w:t xml:space="preserve">La histórica ya tiene un real para compararse; la futura aún no puede verificarse y se origina en el corte 2024-SE52.</w:t>
      </w:r>
    </w:p>
    <w:p>
      <w:pPr>
        <w:pStyle w:val="Heading3"/>
      </w:pPr>
      <w:r>
        <w:t xml:space="preserve">¿Cómo evitan que el modelo conozca resultados futuros?</w:t>
      </w:r>
    </w:p>
    <w:p>
      <w:pPr>
        <w:pStyle w:val="Normal"/>
      </w:pPr>
      <w:r>
        <w:t xml:space="preserve">Se ordena la serie, se entrena solo con fechas anteriores y los rezagos se construyen dentro del distrito con información pasada. Hay pruebas de consistencia temporal.</w:t>
      </w:r>
    </w:p>
    <w:p>
      <w:pPr>
        <w:pStyle w:val="Heading3"/>
      </w:pPr>
      <w:r>
        <w:t xml:space="preserve">¿Qué significa MAE?</w:t>
      </w:r>
    </w:p>
    <w:p>
      <w:pPr>
        <w:pStyle w:val="Normal"/>
      </w:pPr>
      <w:r>
        <w:t xml:space="preserve">Es el promedio de la diferencia absoluta entre la predicción y el valor real, expresada en casos. No es porcentaje de acierto.</w:t>
      </w:r>
    </w:p>
    <w:p>
      <w:pPr>
        <w:pStyle w:val="Heading3"/>
      </w:pPr>
      <w:r>
        <w:t xml:space="preserve">¿Cuáles son las limitaciones?</w:t>
      </w:r>
    </w:p>
    <w:p>
      <w:pPr>
        <w:pStyle w:val="Normal"/>
      </w:pPr>
      <w:r>
        <w:t xml:space="preserve">Cobertura escasa e incompleta, periodo local corto, original no archivado, pocas evaluaciones y ausencia de una validación completamente nueva. Riesgo experimental y anticipación pendiente.</w:t>
      </w:r>
    </w:p>
    <w:p>
      <w:pPr>
        <w:pStyle w:val="Heading3"/>
      </w:pPr>
      <w:r>
        <w:t xml:space="preserve">¿Qué mejoras siguen?</w:t>
      </w:r>
    </w:p>
    <w:p>
      <w:pPr>
        <w:pStyle w:val="Normal"/>
      </w:pPr>
      <w:r>
        <w:t xml:space="preserve">Conseguir una serie oficial semanal más larga y comparable; congelar un protocolo; validar en semanas futuras; evaluar riesgo con especialistas y solo sumar clima si existe una variable disponible en el momento de predecir.</w:t>
      </w:r>
    </w:p>
    <w:p>
      <w:pPr>
        <w:pStyle w:val="Heading3"/>
      </w:pPr>
      <w:r>
        <w:t xml:space="preserve">¿Ya se alcanzó menos de 10% de error?</w:t>
      </w:r>
    </w:p>
    <w:p>
      <w:pPr>
        <w:pStyle w:val="Normal"/>
      </w:pPr>
      <w:r>
        <w:t xml:space="preserve">No. En el tramo reportado, el método elegido quedó dentro del margen en 16,7% de las predicciones distrito-semana.</w:t>
      </w:r>
    </w:p>
    <w:p>
      <w:pPr>
        <w:pStyle w:val="Heading3"/>
      </w:pPr>
      <w:r>
        <w:t xml:space="preserve">¿Se puede tratar como alerta de salud?</w:t>
      </w:r>
    </w:p>
    <w:p>
      <w:pPr>
        <w:pStyle w:val="Normal"/>
      </w:pPr>
      <w:r>
        <w:t xml:space="preserve">No. Es una herramienta educativa y sus etiquetas de riesgo no han sido calibradas como alertas sanitarias oficiales.</w:t>
      </w:r>
    </w:p>
    <w:p>
      <w:pPr>
        <w:pStyle w:val="Heading1"/>
      </w:pPr>
      <w:r>
        <w:t xml:space="preserve">Referencias de implementación</w:t>
      </w:r>
    </w:p>
    <w:p>
      <w:pPr>
        <w:pStyle w:val="Normal"/>
      </w:pPr>
      <w:r>
        <w:t xml:space="preserve">Código y métricas: src/app.py, src/model.py, src/backtesting.py, src/model_benchmark.py, reports/evaluacion_holdout_final.json, reports/predicciones_holdout_final.csv y reports/fuentes_auditadas.json. KPI: docs/fichas_kpis.md. No se alteró el informe Capstone.</w:t>
      </w:r>
    </w:p>
    <w:sectPr>
      <w:pgSz w:w="12240" w:h="15840"/>
      <w:pgMar w:top="980" w:right="1080" w:bottom="980" w:left="1080" w:header="450" w:footer="45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1F2937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rFonts w:ascii="Aptos Display" w:hAnsi="Aptos Display"/>
      <w:b/>
      <w:sz w:val="54"/>
      <w:color w:val="000000"/>
    </w:rPr>
    <w:pPr>
      <w:spacing w:after="180"/>
    </w:pPr>
  </w:style>
  <w:style w:type="paragraph" w:styleId="Subtitle">
    <w:name w:val="Subtitle"/>
    <w:rPr>
      <w:sz w:val="28"/>
      <w:color w:val="334155"/>
    </w:rPr>
    <w:pPr>
      <w:spacing w:after="220"/>
    </w:pPr>
  </w:style>
  <w:style w:type="paragraph" w:styleId="Heading1">
    <w:name w:val="heading 1"/>
    <w:basedOn w:val="Normal"/>
    <w:next w:val="Normal"/>
    <w:qFormat/>
    <w:pPr>
      <w:keepNext/>
      <w:spacing w:before="250" w:after="100"/>
    </w:pPr>
    <w:rPr>
      <w:rFonts w:ascii="Aptos Display" w:hAnsi="Aptos Display"/>
      <w:b/>
      <w:sz w:val="34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180" w:after="70"/>
    </w:pPr>
    <w:rPr>
      <w:b/>
      <w:sz w:val="25"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90" w:after="30"/>
    </w:pPr>
    <w:rPr>
      <w:b/>
      <w:sz w:val="21"/>
      <w:color w:val="000000"/>
    </w:rPr>
  </w:style>
  <w:style w:type="paragraph" w:styleId="Bullet">
    <w:name w:val="List Bullet"/>
    <w:basedOn w:val="Normal"/>
    <w:pPr>
      <w:ind w:left="36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Guion de exposición DengueML-UPN</dc:title>
  <dc:subject>Evaluación y demostración del sistema DengueML-UPN</dc:subject>
  <dc:creator>Equipo DengueML-UPN</dc:creator>
  <cp:keywords>epidemiología, dengue, XGBoost, validación temporal</cp:keywords>
</cp:coreProperties>
</file>