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6DC" w:rsidRDefault="00B4512E" w:rsidP="00B4512E">
      <w:pPr>
        <w:pStyle w:val="Tytu"/>
        <w:jc w:val="center"/>
      </w:pPr>
      <w:r>
        <w:t>SOLID</w:t>
      </w:r>
    </w:p>
    <w:p w:rsidR="00B4512E" w:rsidRPr="00C30266" w:rsidRDefault="00B4512E" w:rsidP="00B4512E">
      <w:pPr>
        <w:pStyle w:val="Akapitzlist"/>
        <w:numPr>
          <w:ilvl w:val="0"/>
          <w:numId w:val="3"/>
        </w:numPr>
        <w:rPr>
          <w:sz w:val="24"/>
        </w:rPr>
      </w:pPr>
      <w:r w:rsidRPr="00C30266">
        <w:rPr>
          <w:b/>
          <w:color w:val="5F497A" w:themeColor="accent4" w:themeShade="BF"/>
          <w:sz w:val="24"/>
        </w:rPr>
        <w:t xml:space="preserve">Single </w:t>
      </w:r>
      <w:proofErr w:type="spellStart"/>
      <w:r w:rsidRPr="00C30266">
        <w:rPr>
          <w:b/>
          <w:color w:val="5F497A" w:themeColor="accent4" w:themeShade="BF"/>
          <w:sz w:val="24"/>
        </w:rPr>
        <w:t>responsibility</w:t>
      </w:r>
      <w:proofErr w:type="spellEnd"/>
      <w:r w:rsidRPr="00C30266">
        <w:rPr>
          <w:b/>
          <w:color w:val="5F497A" w:themeColor="accent4" w:themeShade="BF"/>
          <w:sz w:val="24"/>
        </w:rPr>
        <w:t xml:space="preserve"> </w:t>
      </w:r>
      <w:proofErr w:type="spellStart"/>
      <w:r w:rsidRPr="00C30266">
        <w:rPr>
          <w:b/>
          <w:color w:val="5F497A" w:themeColor="accent4" w:themeShade="BF"/>
          <w:sz w:val="24"/>
        </w:rPr>
        <w:t>principle</w:t>
      </w:r>
      <w:proofErr w:type="spellEnd"/>
      <w:r w:rsidRPr="00C30266">
        <w:rPr>
          <w:b/>
          <w:color w:val="5F497A" w:themeColor="accent4" w:themeShade="BF"/>
          <w:sz w:val="24"/>
        </w:rPr>
        <w:t xml:space="preserve"> (Zasada jednej odpowiedzialności)</w:t>
      </w:r>
      <w:r w:rsidRPr="00C30266">
        <w:rPr>
          <w:b/>
          <w:color w:val="5F497A" w:themeColor="accent4" w:themeShade="BF"/>
          <w:sz w:val="20"/>
        </w:rPr>
        <w:t>:</w:t>
      </w:r>
      <w:r w:rsidRPr="00C30266">
        <w:rPr>
          <w:sz w:val="20"/>
        </w:rPr>
        <w:t xml:space="preserve"> </w:t>
      </w:r>
      <w:r w:rsidRPr="00C30266">
        <w:rPr>
          <w:sz w:val="24"/>
        </w:rPr>
        <w:t xml:space="preserve">Klasa powinna mieć tylko jedną odpowiedzialność (nigdy nie powinien istnieć więcej niż jeden powód do modyfikacji klasy). Zasada pojedynczej odpowiedzialności mówi, że oba te procesy powinny być niezależne i zaimplementowane w postaci dwóch oddzielnych klas lub modułów, które komunikują się ze sobą za pomocą publicznych interfejsów. </w:t>
      </w:r>
    </w:p>
    <w:p w:rsidR="00B4512E" w:rsidRPr="00C30266" w:rsidRDefault="00B4512E" w:rsidP="00C30266">
      <w:pPr>
        <w:pStyle w:val="Akapitzlist"/>
        <w:numPr>
          <w:ilvl w:val="0"/>
          <w:numId w:val="3"/>
        </w:numPr>
        <w:rPr>
          <w:sz w:val="24"/>
        </w:rPr>
      </w:pPr>
      <w:proofErr w:type="spellStart"/>
      <w:r w:rsidRPr="00C30266">
        <w:rPr>
          <w:b/>
          <w:color w:val="5F497A" w:themeColor="accent4" w:themeShade="BF"/>
          <w:sz w:val="24"/>
        </w:rPr>
        <w:t>Open</w:t>
      </w:r>
      <w:proofErr w:type="spellEnd"/>
      <w:r w:rsidRPr="00C30266">
        <w:rPr>
          <w:b/>
          <w:color w:val="5F497A" w:themeColor="accent4" w:themeShade="BF"/>
          <w:sz w:val="24"/>
        </w:rPr>
        <w:t>/</w:t>
      </w:r>
      <w:proofErr w:type="spellStart"/>
      <w:r w:rsidRPr="00C30266">
        <w:rPr>
          <w:b/>
          <w:color w:val="5F497A" w:themeColor="accent4" w:themeShade="BF"/>
          <w:sz w:val="24"/>
        </w:rPr>
        <w:t>closed</w:t>
      </w:r>
      <w:proofErr w:type="spellEnd"/>
      <w:r w:rsidRPr="00C30266">
        <w:rPr>
          <w:b/>
          <w:color w:val="5F497A" w:themeColor="accent4" w:themeShade="BF"/>
          <w:sz w:val="24"/>
        </w:rPr>
        <w:t xml:space="preserve"> </w:t>
      </w:r>
      <w:proofErr w:type="spellStart"/>
      <w:r w:rsidRPr="00C30266">
        <w:rPr>
          <w:b/>
          <w:color w:val="5F497A" w:themeColor="accent4" w:themeShade="BF"/>
          <w:sz w:val="24"/>
        </w:rPr>
        <w:t>principle</w:t>
      </w:r>
      <w:proofErr w:type="spellEnd"/>
      <w:r w:rsidRPr="00C30266">
        <w:rPr>
          <w:b/>
          <w:color w:val="5F497A" w:themeColor="accent4" w:themeShade="BF"/>
          <w:sz w:val="24"/>
        </w:rPr>
        <w:t xml:space="preserve"> (Zasada otwarte-zamknięte):</w:t>
      </w:r>
      <w:r w:rsidRPr="00C30266">
        <w:rPr>
          <w:sz w:val="24"/>
        </w:rPr>
        <w:t xml:space="preserve"> Klasy (encje) powinny być otwarte na rozszerzenia i zamknięte na modyfikacje.</w:t>
      </w:r>
    </w:p>
    <w:p w:rsidR="00C30266" w:rsidRPr="00C30266" w:rsidRDefault="00B4512E" w:rsidP="00C30266">
      <w:pPr>
        <w:pStyle w:val="Akapitzlist"/>
        <w:numPr>
          <w:ilvl w:val="0"/>
          <w:numId w:val="3"/>
        </w:numPr>
        <w:rPr>
          <w:sz w:val="24"/>
        </w:rPr>
      </w:pPr>
      <w:proofErr w:type="spellStart"/>
      <w:r w:rsidRPr="00C30266">
        <w:rPr>
          <w:b/>
          <w:color w:val="5F497A" w:themeColor="accent4" w:themeShade="BF"/>
          <w:sz w:val="24"/>
        </w:rPr>
        <w:t>Liskov</w:t>
      </w:r>
      <w:proofErr w:type="spellEnd"/>
      <w:r w:rsidRPr="00C30266">
        <w:rPr>
          <w:b/>
          <w:color w:val="5F497A" w:themeColor="accent4" w:themeShade="BF"/>
          <w:sz w:val="24"/>
        </w:rPr>
        <w:t xml:space="preserve"> </w:t>
      </w:r>
      <w:proofErr w:type="spellStart"/>
      <w:r w:rsidRPr="00C30266">
        <w:rPr>
          <w:b/>
          <w:color w:val="5F497A" w:themeColor="accent4" w:themeShade="BF"/>
          <w:sz w:val="24"/>
        </w:rPr>
        <w:t>substitution</w:t>
      </w:r>
      <w:proofErr w:type="spellEnd"/>
      <w:r w:rsidRPr="00C30266">
        <w:rPr>
          <w:b/>
          <w:color w:val="5F497A" w:themeColor="accent4" w:themeShade="BF"/>
          <w:sz w:val="24"/>
        </w:rPr>
        <w:t xml:space="preserve"> </w:t>
      </w:r>
      <w:proofErr w:type="spellStart"/>
      <w:r w:rsidRPr="00C30266">
        <w:rPr>
          <w:b/>
          <w:color w:val="5F497A" w:themeColor="accent4" w:themeShade="BF"/>
          <w:sz w:val="24"/>
        </w:rPr>
        <w:t>principle</w:t>
      </w:r>
      <w:proofErr w:type="spellEnd"/>
      <w:r w:rsidRPr="00C30266">
        <w:rPr>
          <w:b/>
          <w:color w:val="5F497A" w:themeColor="accent4" w:themeShade="BF"/>
          <w:sz w:val="24"/>
        </w:rPr>
        <w:t xml:space="preserve"> (Zasada podstawienia </w:t>
      </w:r>
      <w:proofErr w:type="spellStart"/>
      <w:r w:rsidRPr="00C30266">
        <w:rPr>
          <w:b/>
          <w:color w:val="5F497A" w:themeColor="accent4" w:themeShade="BF"/>
          <w:sz w:val="24"/>
        </w:rPr>
        <w:t>Liskov</w:t>
      </w:r>
      <w:proofErr w:type="spellEnd"/>
      <w:r w:rsidRPr="00C30266">
        <w:rPr>
          <w:b/>
          <w:color w:val="5F497A" w:themeColor="accent4" w:themeShade="BF"/>
          <w:sz w:val="24"/>
        </w:rPr>
        <w:t>)</w:t>
      </w:r>
      <w:r w:rsidR="00C30266" w:rsidRPr="00C30266">
        <w:rPr>
          <w:b/>
          <w:color w:val="5F497A" w:themeColor="accent4" w:themeShade="BF"/>
          <w:sz w:val="24"/>
        </w:rPr>
        <w:t>:</w:t>
      </w:r>
      <w:r w:rsidR="00C30266" w:rsidRPr="00C30266">
        <w:rPr>
          <w:sz w:val="24"/>
        </w:rPr>
        <w:t xml:space="preserve"> </w:t>
      </w:r>
      <w:r w:rsidRPr="00C30266">
        <w:rPr>
          <w:sz w:val="24"/>
        </w:rPr>
        <w:t>Funkcje które używają wskaźników lub referencji do klas bazowych, muszą być w stanie używać również obiektów klas dziedziczących po klasach bazowych, bez dokładnej znajomości tych obiektów.</w:t>
      </w:r>
    </w:p>
    <w:p w:rsidR="00C30266" w:rsidRPr="00C30266" w:rsidRDefault="00B4512E" w:rsidP="00C30266">
      <w:pPr>
        <w:pStyle w:val="Akapitzlist"/>
        <w:numPr>
          <w:ilvl w:val="0"/>
          <w:numId w:val="3"/>
        </w:numPr>
        <w:rPr>
          <w:sz w:val="24"/>
        </w:rPr>
      </w:pPr>
      <w:proofErr w:type="spellStart"/>
      <w:r w:rsidRPr="00C30266">
        <w:rPr>
          <w:b/>
          <w:color w:val="5F497A" w:themeColor="accent4" w:themeShade="BF"/>
          <w:sz w:val="24"/>
        </w:rPr>
        <w:t>Interface</w:t>
      </w:r>
      <w:proofErr w:type="spellEnd"/>
      <w:r w:rsidRPr="00C30266">
        <w:rPr>
          <w:b/>
          <w:color w:val="5F497A" w:themeColor="accent4" w:themeShade="BF"/>
          <w:sz w:val="24"/>
        </w:rPr>
        <w:t xml:space="preserve"> </w:t>
      </w:r>
      <w:proofErr w:type="spellStart"/>
      <w:r w:rsidRPr="00C30266">
        <w:rPr>
          <w:b/>
          <w:color w:val="5F497A" w:themeColor="accent4" w:themeShade="BF"/>
          <w:sz w:val="24"/>
        </w:rPr>
        <w:t>segregation</w:t>
      </w:r>
      <w:proofErr w:type="spellEnd"/>
      <w:r w:rsidRPr="00C30266">
        <w:rPr>
          <w:b/>
          <w:color w:val="5F497A" w:themeColor="accent4" w:themeShade="BF"/>
          <w:sz w:val="24"/>
        </w:rPr>
        <w:t xml:space="preserve"> </w:t>
      </w:r>
      <w:proofErr w:type="spellStart"/>
      <w:r w:rsidRPr="00C30266">
        <w:rPr>
          <w:b/>
          <w:color w:val="5F497A" w:themeColor="accent4" w:themeShade="BF"/>
          <w:sz w:val="24"/>
        </w:rPr>
        <w:t>principle</w:t>
      </w:r>
      <w:proofErr w:type="spellEnd"/>
      <w:r w:rsidRPr="00C30266">
        <w:rPr>
          <w:b/>
          <w:color w:val="5F497A" w:themeColor="accent4" w:themeShade="BF"/>
          <w:sz w:val="24"/>
        </w:rPr>
        <w:t xml:space="preserve"> (Zasada segregacji interfejsów)</w:t>
      </w:r>
      <w:r w:rsidR="00C30266" w:rsidRPr="00C30266">
        <w:rPr>
          <w:b/>
          <w:color w:val="5F497A" w:themeColor="accent4" w:themeShade="BF"/>
          <w:sz w:val="24"/>
        </w:rPr>
        <w:t>:</w:t>
      </w:r>
      <w:r w:rsidR="00C30266" w:rsidRPr="00C30266">
        <w:rPr>
          <w:sz w:val="24"/>
        </w:rPr>
        <w:t xml:space="preserve"> </w:t>
      </w:r>
      <w:r w:rsidRPr="00C30266">
        <w:rPr>
          <w:sz w:val="24"/>
        </w:rPr>
        <w:t xml:space="preserve">Wiele dedykowanych interfejsów jest lepsze niż jeden </w:t>
      </w:r>
      <w:proofErr w:type="spellStart"/>
      <w:r w:rsidRPr="00C30266">
        <w:rPr>
          <w:sz w:val="24"/>
        </w:rPr>
        <w:t>ogólny.</w:t>
      </w:r>
      <w:proofErr w:type="spellEnd"/>
    </w:p>
    <w:p w:rsidR="00B4512E" w:rsidRPr="00C30266" w:rsidRDefault="00B4512E" w:rsidP="00C30266">
      <w:pPr>
        <w:pStyle w:val="Akapitzlist"/>
        <w:numPr>
          <w:ilvl w:val="0"/>
          <w:numId w:val="3"/>
        </w:numPr>
        <w:rPr>
          <w:sz w:val="24"/>
        </w:rPr>
      </w:pPr>
      <w:proofErr w:type="spellStart"/>
      <w:r w:rsidRPr="00C30266">
        <w:rPr>
          <w:b/>
          <w:color w:val="5F497A" w:themeColor="accent4" w:themeShade="BF"/>
          <w:sz w:val="24"/>
        </w:rPr>
        <w:t>Dependency</w:t>
      </w:r>
      <w:proofErr w:type="spellEnd"/>
      <w:r w:rsidRPr="00C30266">
        <w:rPr>
          <w:b/>
          <w:color w:val="5F497A" w:themeColor="accent4" w:themeShade="BF"/>
          <w:sz w:val="24"/>
        </w:rPr>
        <w:t xml:space="preserve"> </w:t>
      </w:r>
      <w:proofErr w:type="spellStart"/>
      <w:r w:rsidRPr="00C30266">
        <w:rPr>
          <w:b/>
          <w:color w:val="5F497A" w:themeColor="accent4" w:themeShade="BF"/>
          <w:sz w:val="24"/>
        </w:rPr>
        <w:t>inversion</w:t>
      </w:r>
      <w:proofErr w:type="spellEnd"/>
      <w:r w:rsidRPr="00C30266">
        <w:rPr>
          <w:b/>
          <w:color w:val="5F497A" w:themeColor="accent4" w:themeShade="BF"/>
          <w:sz w:val="24"/>
        </w:rPr>
        <w:t xml:space="preserve"> </w:t>
      </w:r>
      <w:proofErr w:type="spellStart"/>
      <w:r w:rsidRPr="00C30266">
        <w:rPr>
          <w:b/>
          <w:color w:val="5F497A" w:themeColor="accent4" w:themeShade="BF"/>
          <w:sz w:val="24"/>
        </w:rPr>
        <w:t>principle</w:t>
      </w:r>
      <w:proofErr w:type="spellEnd"/>
      <w:r w:rsidRPr="00C30266">
        <w:rPr>
          <w:b/>
          <w:color w:val="5F497A" w:themeColor="accent4" w:themeShade="BF"/>
          <w:sz w:val="24"/>
        </w:rPr>
        <w:t xml:space="preserve"> (Zasada odwrócenia zależności)</w:t>
      </w:r>
      <w:r w:rsidR="00C30266" w:rsidRPr="00C30266">
        <w:rPr>
          <w:b/>
          <w:color w:val="5F497A" w:themeColor="accent4" w:themeShade="BF"/>
          <w:sz w:val="24"/>
        </w:rPr>
        <w:t>:</w:t>
      </w:r>
      <w:r w:rsidR="00C30266" w:rsidRPr="00C30266">
        <w:rPr>
          <w:sz w:val="24"/>
        </w:rPr>
        <w:t xml:space="preserve"> </w:t>
      </w:r>
      <w:proofErr w:type="spellStart"/>
      <w:r w:rsidRPr="00C30266">
        <w:rPr>
          <w:sz w:val="24"/>
        </w:rPr>
        <w:t>Wysokopoziomowe</w:t>
      </w:r>
      <w:proofErr w:type="spellEnd"/>
      <w:r w:rsidRPr="00C30266">
        <w:rPr>
          <w:sz w:val="24"/>
        </w:rPr>
        <w:t xml:space="preserve"> moduły nie powinny zależeć od modułów niskopoziomowych - zależności między nimi powinny wynikać z abstrakcji.</w:t>
      </w:r>
    </w:p>
    <w:p w:rsidR="00C30266" w:rsidRPr="00C30266" w:rsidRDefault="00B4512E" w:rsidP="00C30266">
      <w:pPr>
        <w:pStyle w:val="Akapitzlist"/>
        <w:numPr>
          <w:ilvl w:val="0"/>
          <w:numId w:val="3"/>
        </w:numPr>
        <w:pBdr>
          <w:top w:val="single" w:sz="4" w:space="1" w:color="7030A0"/>
          <w:left w:val="single" w:sz="4" w:space="4" w:color="7030A0"/>
          <w:bottom w:val="single" w:sz="4" w:space="1" w:color="7030A0"/>
          <w:right w:val="single" w:sz="4" w:space="4" w:color="7030A0"/>
        </w:pBdr>
        <w:rPr>
          <w:b/>
          <w:color w:val="5F497A" w:themeColor="accent4" w:themeShade="BF"/>
          <w:sz w:val="24"/>
          <w:u w:val="single"/>
        </w:rPr>
      </w:pPr>
      <w:r w:rsidRPr="00C30266">
        <w:rPr>
          <w:b/>
          <w:color w:val="5F497A" w:themeColor="accent4" w:themeShade="BF"/>
          <w:sz w:val="24"/>
          <w:u w:val="single"/>
        </w:rPr>
        <w:t>Używanie szkolne pierwszej zasady SOLID:</w:t>
      </w:r>
    </w:p>
    <w:p w:rsidR="00C30266" w:rsidRPr="00C30266" w:rsidRDefault="00B4512E" w:rsidP="00C30266">
      <w:pPr>
        <w:pStyle w:val="Akapitzlist"/>
        <w:numPr>
          <w:ilvl w:val="1"/>
          <w:numId w:val="3"/>
        </w:numPr>
        <w:pBdr>
          <w:top w:val="single" w:sz="4" w:space="1" w:color="7030A0"/>
          <w:left w:val="single" w:sz="4" w:space="4" w:color="7030A0"/>
          <w:bottom w:val="single" w:sz="4" w:space="1" w:color="7030A0"/>
          <w:right w:val="single" w:sz="4" w:space="4" w:color="7030A0"/>
        </w:pBdr>
        <w:rPr>
          <w:sz w:val="24"/>
        </w:rPr>
      </w:pPr>
      <w:r w:rsidRPr="00C30266">
        <w:rPr>
          <w:sz w:val="24"/>
        </w:rPr>
        <w:t>do każdej osobnej klasy dajemy jedną metodę i funkcję. Można zastosować kalkulator. Jedna klasa oblicza podstawowe działania matematyczne, oraz można dodać dodatkowe klasy typu potęgowanie czy pierwiastkowanie oraz jakieś funkcje geometryczne i trygonometryczne.</w:t>
      </w:r>
    </w:p>
    <w:p w:rsidR="00C30266" w:rsidRPr="00C30266" w:rsidRDefault="00B4512E" w:rsidP="00C30266">
      <w:pPr>
        <w:pStyle w:val="Akapitzlist"/>
        <w:numPr>
          <w:ilvl w:val="1"/>
          <w:numId w:val="3"/>
        </w:numPr>
        <w:pBdr>
          <w:top w:val="single" w:sz="4" w:space="1" w:color="7030A0"/>
          <w:left w:val="single" w:sz="4" w:space="4" w:color="7030A0"/>
          <w:bottom w:val="single" w:sz="4" w:space="1" w:color="7030A0"/>
          <w:right w:val="single" w:sz="4" w:space="4" w:color="7030A0"/>
        </w:pBdr>
        <w:rPr>
          <w:sz w:val="24"/>
        </w:rPr>
      </w:pPr>
      <w:r w:rsidRPr="00C30266">
        <w:rPr>
          <w:sz w:val="24"/>
        </w:rPr>
        <w:t>drugi przykład może być zastosowanie do architektury sal. W jednej klasie są meble w drugiej są tylko urządzenia komputerowe i peryferyjne a w trzeciej jakie ściany czy coś.</w:t>
      </w:r>
    </w:p>
    <w:p w:rsidR="00C30266" w:rsidRDefault="00B4512E" w:rsidP="00C30266">
      <w:pPr>
        <w:pStyle w:val="Akapitzlist"/>
        <w:numPr>
          <w:ilvl w:val="1"/>
          <w:numId w:val="3"/>
        </w:numPr>
        <w:pBdr>
          <w:top w:val="single" w:sz="4" w:space="1" w:color="7030A0"/>
          <w:left w:val="single" w:sz="4" w:space="4" w:color="7030A0"/>
          <w:bottom w:val="single" w:sz="4" w:space="1" w:color="7030A0"/>
          <w:right w:val="single" w:sz="4" w:space="4" w:color="7030A0"/>
        </w:pBdr>
        <w:rPr>
          <w:sz w:val="24"/>
        </w:rPr>
      </w:pPr>
      <w:r w:rsidRPr="00C30266">
        <w:rPr>
          <w:sz w:val="24"/>
        </w:rPr>
        <w:t xml:space="preserve">trzecim przykładem może być umowa o praktyki. w jednej klasie możemy podać od kiedy do kiedy są odbywane praktyki, w drugiej czy są płatne czy bezpłatne jeśli tak to wpisuje płace za daną godzinę (jeśli chodzi o zawodówki nas to raczej nie dotyczy), w jaki sposób będą odbywane praktyki (zdalnie, </w:t>
      </w:r>
      <w:proofErr w:type="spellStart"/>
      <w:r w:rsidRPr="00C30266">
        <w:rPr>
          <w:sz w:val="24"/>
        </w:rPr>
        <w:t>niezdalnie</w:t>
      </w:r>
      <w:proofErr w:type="spellEnd"/>
      <w:r w:rsidRPr="00C30266">
        <w:rPr>
          <w:sz w:val="24"/>
        </w:rPr>
        <w:t xml:space="preserve">, to i to), jaka umowa czy wydrukowana czy e-umowa, w jaki </w:t>
      </w:r>
      <w:proofErr w:type="spellStart"/>
      <w:r w:rsidRPr="00C30266">
        <w:rPr>
          <w:sz w:val="24"/>
        </w:rPr>
        <w:t>sposob</w:t>
      </w:r>
      <w:proofErr w:type="spellEnd"/>
      <w:r w:rsidRPr="00C30266">
        <w:rPr>
          <w:sz w:val="24"/>
        </w:rPr>
        <w:t xml:space="preserve"> prowadzony dzienniczek (tez zdalnie czy papierowy), jakie </w:t>
      </w:r>
      <w:proofErr w:type="spellStart"/>
      <w:r w:rsidRPr="00C30266">
        <w:rPr>
          <w:sz w:val="24"/>
        </w:rPr>
        <w:t>beda</w:t>
      </w:r>
      <w:proofErr w:type="spellEnd"/>
      <w:r w:rsidRPr="00C30266">
        <w:rPr>
          <w:sz w:val="24"/>
        </w:rPr>
        <w:t xml:space="preserve"> nasze zadanie w danej firmie, adres firmy i dane kontaktowe i nasze dane kontaktowe</w:t>
      </w:r>
      <w:r w:rsidR="00C30266" w:rsidRPr="00C30266">
        <w:rPr>
          <w:sz w:val="24"/>
        </w:rPr>
        <w:t>.</w:t>
      </w:r>
    </w:p>
    <w:p w:rsidR="00B4512E" w:rsidRDefault="00C30266" w:rsidP="00C30266">
      <w:pPr>
        <w:pStyle w:val="Tytu"/>
        <w:jc w:val="center"/>
      </w:pPr>
      <w:r>
        <w:br w:type="page"/>
      </w:r>
      <w:r>
        <w:lastRenderedPageBreak/>
        <w:t>Kod</w:t>
      </w:r>
    </w:p>
    <w:p w:rsidR="00C30266" w:rsidRPr="00C30266" w:rsidRDefault="00751515" w:rsidP="00C30266">
      <w:r>
        <w:rPr>
          <w:noProof/>
          <w:lang w:eastAsia="pl-PL"/>
        </w:rPr>
        <w:drawing>
          <wp:inline distT="0" distB="0" distL="0" distR="0">
            <wp:extent cx="4010025" cy="3733800"/>
            <wp:effectExtent l="1905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0266" w:rsidRPr="00C30266" w:rsidSect="00C30266">
      <w:pgSz w:w="11906" w:h="16838"/>
      <w:pgMar w:top="1417" w:right="1417" w:bottom="1417" w:left="1417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3F0A9C"/>
    <w:multiLevelType w:val="hybridMultilevel"/>
    <w:tmpl w:val="757467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F83EDB"/>
    <w:multiLevelType w:val="hybridMultilevel"/>
    <w:tmpl w:val="1C009A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E4208E"/>
    <w:multiLevelType w:val="hybridMultilevel"/>
    <w:tmpl w:val="4950167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4512E"/>
    <w:rsid w:val="003836DC"/>
    <w:rsid w:val="00751515"/>
    <w:rsid w:val="00B4512E"/>
    <w:rsid w:val="00C30266"/>
    <w:rsid w:val="00DE6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836DC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451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451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B4512E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751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515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301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2024-01-08T07:22:00Z</dcterms:created>
  <dcterms:modified xsi:type="dcterms:W3CDTF">2024-01-08T07:54:00Z</dcterms:modified>
</cp:coreProperties>
</file>