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before="0" w:line="360" w:lineRule="auto"/>
        <w:ind w:firstLine="708.6614173228347"/>
        <w:jc w:val="center"/>
        <w:rPr>
          <w:rFonts w:ascii="Times New Roman" w:cs="Times New Roman" w:eastAsia="Times New Roman" w:hAnsi="Times New Roman"/>
          <w:color w:val="2e74b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4b5"/>
          <w:sz w:val="28"/>
          <w:szCs w:val="28"/>
          <w:highlight w:val="white"/>
          <w:rtl w:val="0"/>
        </w:rPr>
        <w:t xml:space="preserve">Описание задания для студентов:</w:t>
      </w:r>
    </w:p>
    <w:p w:rsidR="00000000" w:rsidDel="00000000" w:rsidP="00000000" w:rsidRDefault="00000000" w:rsidRPr="00000000" w14:paraId="00000002">
      <w:pPr>
        <w:shd w:fill="ffffff" w:val="clear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кредитной организации ЗАО «Закрытие» появилась потребность в организации процесса подготовки отчетности по форме 101: Данные оборотной ведомости по счетам бухгалтерского учёта.</w:t>
      </w:r>
    </w:p>
    <w:p w:rsidR="00000000" w:rsidDel="00000000" w:rsidP="00000000" w:rsidRDefault="00000000" w:rsidRPr="00000000" w14:paraId="00000003">
      <w:pPr>
        <w:shd w:fill="ffffff" w:val="clear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ходе первичного обследования получены следующие вводные данные: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ЗАО «Закрытие» работал сотрудник И.И. Иванов. При увольнении из организации Иванов удалил все наработки по организации процесса подготовки отчетности по форме 101.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Помимо этого, сотрудник И.И. Иванов удалил часть данных из БД, из-за чего отчетность стала формироваться некорректно.</w:t>
      </w:r>
    </w:p>
    <w:p w:rsidR="00000000" w:rsidDel="00000000" w:rsidP="00000000" w:rsidRDefault="00000000" w:rsidRPr="00000000" w14:paraId="00000006">
      <w:pPr>
        <w:shd w:fill="ffffff" w:val="clear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Для решения данных проблем было предложено разработать аналитическую витрину для формирования формы 101 на основе исходной БД.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Работа по разработке витрины будет вестись в соответствии с технологическим процессом: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Сбор и систематизация требований;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Составление маппинга витрины на источники в БД;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Составление технического задания;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Создание прототипа витрины;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Визуализация данных (дашборд).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4b5"/>
          <w:sz w:val="28"/>
          <w:szCs w:val="28"/>
          <w:highlight w:val="white"/>
          <w:rtl w:val="0"/>
        </w:rPr>
        <w:t xml:space="preserve">Целью проекта является: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Организация процесса подготовки отчетности кредитных организаций по форме 101: Данные оборотной ведомости по счетам бухгалтерского учёта;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Снижение рисков штрафов и иных санкций, возможных из-за предоставления некорректной отчетности или ее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непредоставления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</w:t>
      </w:r>
    </w:p>
    <w:p w:rsidR="00000000" w:rsidDel="00000000" w:rsidP="00000000" w:rsidRDefault="00000000" w:rsidRPr="00000000" w14:paraId="00000010">
      <w:pPr>
        <w:pStyle w:val="Heading2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Дополнительная информация: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Форма 101 регулируется ЦБ, который определяет тип и формат данных, которые обязаны передаваться в отчетности. Версии с описанием формата данных публикуются на сайте ЦБ. Соответственно, для прототипа мы будем использовать именно эти требования. Переходим по ссылке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4f81bd"/>
            <w:sz w:val="28"/>
            <w:szCs w:val="28"/>
            <w:highlight w:val="white"/>
            <w:u w:val="single"/>
            <w:vertAlign w:val="baseline"/>
            <w:rtl w:val="0"/>
          </w:rPr>
          <w:t xml:space="preserve">https://www.cbr.ru/banking_sector/otchetnost-kreditnykh-organizaciy/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, в разделе «Форма 101» скачиваем последний опубликованный PDF с названием «Описание формата данных». В данном файле нас интересует только пункт 1. «Данные формы 0409101 по кредитным организациям». Здесь перечислен список полей с указанием типа данных. По сути это и есть атрибутный состав нашей целевой таблицы т.е. таблицы с отчетностью. (я скачала -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highlight w:val="white"/>
            <w:u w:val="single"/>
            <w:rtl w:val="0"/>
          </w:rPr>
          <w:t xml:space="preserve">101-20240201.docx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m9ac1doqg6m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4z94gcienqb" w:id="1"/>
      <w:bookmarkEnd w:id="1"/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Почему Chapter имеет 5 значений, хотя глав учета должно быть 4.</w:t>
        <w:br w:type="textWrapping"/>
        <w:t xml:space="preserve"> Ответ: Раньше глав учета было 5 (была также глава учета Д - Счета ДЕПО). Так как в контексте задачи в отчет собираются только ненулевые показатели, для устаревшей главы данных не будет, несмотря на её физическое присутствие в базе данных. (Последний счет в базе по 5-й главе был закрыт в 2017-м году)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4z94gcienqb" w:id="1"/>
      <w:bookmarkEnd w:id="1"/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Остатки в БД - исходящие или входящие?</w:t>
        <w:br w:type="textWrapping"/>
        <w:t xml:space="preserve"> Ответ: В таблице restdate находятся исходящие остатки.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4z94gcienqb" w:id="1"/>
      <w:bookmarkEnd w:id="1"/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За какой период строить прототип и искать ошибку в этапах 4 и 4* соответственно?</w:t>
        <w:br w:type="textWrapping"/>
        <w:t xml:space="preserve"> Ответ: Май 2021 года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4z94gcienqb" w:id="1"/>
      <w:bookmarkEnd w:id="1"/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«Приказ Банка России от 24.10.1997 N 02-469» прекратил свое действие в 2004 году, на что ориентироваться при заполнении п.3 в ТЗ.</w:t>
        <w:br w:type="textWrapping"/>
        <w:t xml:space="preserve"> Ответ: При написании ТЗ по прежнему ориентируемся на приказ N 02-469.</w:t>
        <w:br w:type="textWrapping"/>
        <w:t xml:space="preserve"> Примечание: На 2024 год актуальная версия – «Указание Банка России от 10.04.2023 № 6406-У»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4z94gcienqb" w:id="1"/>
      <w:bookmarkEnd w:id="1"/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Пометки «не выводятся» и «не актуально» в списке атрибутов с сайта ЦБ.</w:t>
        <w:br w:type="textWrapping"/>
        <w:t xml:space="preserve"> Ответ: пометку «не выводятся» игнорируем. Атрибут с пометкой «не актуально» не используем.</w:t>
      </w:r>
    </w:p>
    <w:p w:rsidR="00000000" w:rsidDel="00000000" w:rsidP="00000000" w:rsidRDefault="00000000" w:rsidRPr="00000000" w14:paraId="00000018">
      <w:pPr>
        <w:spacing w:after="160" w:before="12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4z94gcienqb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4z94gcienqb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normaltextrun" w:customStyle="1">
    <w:name w:val="normaltextrun"/>
    <w:basedOn w:val="a0"/>
    <w:rsid w:val="00B22D1E"/>
  </w:style>
  <w:style w:type="character" w:styleId="eop" w:customStyle="1">
    <w:name w:val="eop"/>
    <w:basedOn w:val="a0"/>
    <w:rsid w:val="00B22D1E"/>
  </w:style>
  <w:style w:type="character" w:styleId="a3">
    <w:name w:val="Strong"/>
    <w:basedOn w:val="a0"/>
    <w:uiPriority w:val="22"/>
    <w:qFormat w:val="1"/>
    <w:rsid w:val="00B22D1E"/>
    <w:rPr>
      <w:b w:val="1"/>
      <w:bCs w:val="1"/>
    </w:rPr>
  </w:style>
  <w:style w:type="paragraph" w:styleId="a4">
    <w:name w:val="List Paragraph"/>
    <w:basedOn w:val="a"/>
    <w:uiPriority w:val="34"/>
    <w:qFormat w:val="1"/>
    <w:rsid w:val="005A0795"/>
    <w:pPr>
      <w:ind w:left="720"/>
      <w:contextualSpacing w:val="1"/>
    </w:pPr>
  </w:style>
  <w:style w:type="character" w:styleId="20" w:customStyle="1">
    <w:name w:val="Заголовок 2 Знак"/>
    <w:basedOn w:val="a0"/>
    <w:link w:val="2"/>
    <w:uiPriority w:val="9"/>
    <w:rsid w:val="001A7D4E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character" w:styleId="a5">
    <w:name w:val="Hyperlink"/>
    <w:basedOn w:val="a0"/>
    <w:uiPriority w:val="99"/>
    <w:unhideWhenUsed w:val="1"/>
    <w:rsid w:val="001A7D4E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br.ru/banking_sector/otchetnost-kreditnykh-organizaciy/" TargetMode="External"/><Relationship Id="rId8" Type="http://schemas.openxmlformats.org/officeDocument/2006/relationships/hyperlink" Target="https://docs.google.com/document/d/1Lg2hkR7PQF2GwayoAxXsr6tuo2XAFZKr/edit?usp=drive_link&amp;ouid=116333482792996715337&amp;rtpof=true&amp;sd=tru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0hcNQy2VG5JJdTPJhrH29WcXhQ==">CgMxLjAyDmgubTlhYzFkb3FnNm1pMg5oLmU0ejk0Z2NpZW5xYjIOaC5lNHo5NGdjaWVucWIyDmguZTR6OTRnY2llbnFiMg5oLmU0ejk0Z2NpZW5xYjIOaC5lNHo5NGdjaWVucWIyDmguZTR6OTRnY2llbnFiMg5oLmU0ejk0Z2NpZW5xYjgAciExUjc1OUtvYVVLMjMxVnhRU3pQVGVUVXdBRDhNYmZyM0M=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2022-11-27T20:30:00Z</dcterms:created>
  <dc:creator>Пользователь Windows</dc:creator>
</cp:coreProperties>
</file>