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e74b5"/>
          <w:sz w:val="32"/>
          <w:szCs w:val="32"/>
          <w:highlight w:val="white"/>
        </w:rPr>
      </w:pPr>
      <w:r w:rsidDel="00000000" w:rsidR="00000000" w:rsidRPr="00000000">
        <w:rPr>
          <w:rFonts w:ascii="Times New Roman" w:cs="Times New Roman" w:eastAsia="Times New Roman" w:hAnsi="Times New Roman"/>
          <w:color w:val="2e74b5"/>
          <w:sz w:val="32"/>
          <w:szCs w:val="32"/>
          <w:highlight w:val="white"/>
          <w:rtl w:val="0"/>
        </w:rPr>
        <w:t xml:space="preserve">4 этап – Прототипирование</w:t>
      </w:r>
    </w:p>
    <w:p w:rsidR="00000000" w:rsidDel="00000000" w:rsidP="00000000" w:rsidRDefault="00000000" w:rsidRPr="00000000" w14:paraId="00000002">
      <w:pPr>
        <w:rPr>
          <w:rFonts w:ascii="Times New Roman" w:cs="Times New Roman" w:eastAsia="Times New Roman" w:hAnsi="Times New Roman"/>
          <w:color w:val="2e74b5"/>
          <w:sz w:val="32"/>
          <w:szCs w:val="32"/>
          <w:highlight w:val="white"/>
        </w:rPr>
      </w:pPr>
      <w:r w:rsidDel="00000000" w:rsidR="00000000" w:rsidRPr="00000000">
        <w:rPr>
          <w:rFonts w:ascii="Times New Roman" w:cs="Times New Roman" w:eastAsia="Times New Roman" w:hAnsi="Times New Roman"/>
          <w:color w:val="2e74b5"/>
          <w:sz w:val="32"/>
          <w:szCs w:val="32"/>
          <w:highlight w:val="white"/>
          <w:rtl w:val="0"/>
        </w:rPr>
        <w:t xml:space="preserve">Теоретическая справка:</w:t>
      </w:r>
    </w:p>
    <w:p w:rsidR="00000000" w:rsidDel="00000000" w:rsidP="00000000" w:rsidRDefault="00000000" w:rsidRPr="00000000" w14:paraId="0000000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Как уже было отмечено ранее, прототип – это некий макет нашей будущей витрины. Что же такое витрина данных? Простыми словами, витрина – это некая область в хранилище данных компании, которая сформирована под какие-либо определенные бизнес-потребности. В каждой отдельной витрине хранятся лишь те данные, которые нужны конкретному бизнес-пользователю. Например, для бухгалтерии витрина будет содержать данные, необходимые для формирования разных видов отчетностей (доходы, расходы, уплаченные компанией налоги и т.п.), в то время как сотрудники отдела кадров, например, будут работать с витриной, содержащей данные о сотрудниках компании. </w:t>
      </w:r>
    </w:p>
    <w:p w:rsidR="00000000" w:rsidDel="00000000" w:rsidP="00000000" w:rsidRDefault="00000000" w:rsidRPr="00000000" w14:paraId="0000000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Отсюда вытекают такие преимущества витрин, как:</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8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возможность работать только с теми данными, которые нужны – они максимально приближены к потребностям пользователя</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более простое проектирование, настройка и поддержка витрины</w:t>
      </w:r>
    </w:p>
    <w:p w:rsidR="00000000" w:rsidDel="00000000" w:rsidP="00000000" w:rsidRDefault="00000000" w:rsidRPr="00000000" w14:paraId="0000000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Витрина, как правило, состоит из 2 и более связанных между собой таблиц (сущностей), каждая из которых имеет ряд полей (атрибутов), характеризующих объект. Например, сущность «Банковский счёт» может иметь такие атрибуты как «номер счета», «дата открытия счета», «дата закрытия счёта», «ФИО владельца счёта» и т.п. Если рассмотреть табличное представление сущности, то атрибуты – это столбцы, а каждый отдельный банковский счёт с его характеристиками – это строка. Связь между таблицами, как правило, происходит по ключам – идентификаторам строк, которые уникально определяют каждую запись таблицы. Для примера это могут быть синтетические id строк (которые просто присваивают каждой строке уникальный номер), номера счетов (для сущности Банковский счёт), ОГРН (если мы говорим про сущность Юр.лицо) или связка ИНН+ОГРН (так называемый составной ключ) и т.п.</w:t>
      </w:r>
    </w:p>
    <w:p w:rsidR="00000000" w:rsidDel="00000000" w:rsidP="00000000" w:rsidRDefault="00000000" w:rsidRPr="00000000" w14:paraId="00000008">
      <w:pPr>
        <w:rPr>
          <w:rFonts w:ascii="Times New Roman" w:cs="Times New Roman" w:eastAsia="Times New Roman" w:hAnsi="Times New Roman"/>
          <w:color w:val="2e74b5"/>
          <w:sz w:val="32"/>
          <w:szCs w:val="32"/>
          <w:highlight w:val="whit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e74b5"/>
          <w:sz w:val="32"/>
          <w:szCs w:val="32"/>
          <w:highlight w:val="white"/>
        </w:rPr>
      </w:pPr>
      <w:r w:rsidDel="00000000" w:rsidR="00000000" w:rsidRPr="00000000">
        <w:rPr>
          <w:rFonts w:ascii="Times New Roman" w:cs="Times New Roman" w:eastAsia="Times New Roman" w:hAnsi="Times New Roman"/>
          <w:color w:val="2e74b5"/>
          <w:sz w:val="32"/>
          <w:szCs w:val="32"/>
          <w:highlight w:val="white"/>
          <w:rtl w:val="0"/>
        </w:rPr>
        <w:t xml:space="preserve">Задача:</w:t>
      </w:r>
    </w:p>
    <w:p w:rsidR="00000000" w:rsidDel="00000000" w:rsidP="00000000" w:rsidRDefault="00000000" w:rsidRPr="00000000" w14:paraId="0000000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Согласно законодательству, кредитные организации должны отчитываться перед ЦБ о ведении своей операционной деятельности. Наиболее полная информация по балансу кредитной организации предоставляется в оборотно-сальдовой ведомости и предоставляется ЦБ ежемесячно. Эта ведомость подготавливается кредитными организациями по форме 101. </w:t>
      </w:r>
    </w:p>
    <w:p w:rsidR="00000000" w:rsidDel="00000000" w:rsidP="00000000" w:rsidRDefault="00000000" w:rsidRPr="00000000" w14:paraId="0000000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На данном этапе домашнего задания мы как раз предлагаем вам собрать прототип для витрины, которая будет использоваться для формирования ЦБ отчетности по Форме 101. Необходимо объединить составленные на предыдущем этапе SQL-запросы в единый прототип, который будет формировать таблицу с отчетом за выбранный период. </w:t>
      </w:r>
    </w:p>
    <w:p w:rsidR="00000000" w:rsidDel="00000000" w:rsidP="00000000" w:rsidRDefault="00000000" w:rsidRPr="00000000" w14:paraId="0000000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Вводные данные:</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643"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heading=h.39ffj4qlvk25" w:id="0"/>
      <w:bookmarkEnd w:id="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Форма 101 регулируется ЦБ, который определяет тип и формат данных, которые обязаны передаваться в отчетности. Версии с описанием формата данных публикуются на сайте ЦБ. Соответственно, для прототипа мы будем использовать именно эти требования. Переходим по ссылке </w:t>
      </w:r>
      <w:hyperlink r:id="rId7">
        <w:r w:rsidDel="00000000" w:rsidR="00000000" w:rsidRPr="00000000">
          <w:rPr>
            <w:rFonts w:ascii="Times New Roman" w:cs="Times New Roman" w:eastAsia="Times New Roman" w:hAnsi="Times New Roman"/>
            <w:i w:val="0"/>
            <w:iCs w:val="0"/>
            <w:smallCaps w:val="0"/>
            <w:strike w:val="0"/>
            <w:color w:val="0563c1"/>
            <w:sz w:val="22"/>
            <w:szCs w:val="22"/>
            <w:u w:val="single"/>
            <w:shd w:fill="auto" w:val="clear"/>
            <w:vertAlign w:val="baseline"/>
            <w:rtl w:val="0"/>
          </w:rPr>
          <w:t xml:space="preserve">https://www.cbr.ru/banking_sector/otchetnost-kreditnykh-organizaciy/</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в разделе «Форма 101» скачиваем последний опубликованный PDF с названием «Описание формата данных». В данном файле нас интересует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только</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пункт 1. «Данные формы 0409101 по кредитным организациям». Здесь перечислен список полей с указанием типа данных. По сути это и есть атрибутный состав нашей целевой таблицы т.е. таблицы с отчетностью.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643"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Опираясь на SQL-запросы с предыдущего этапа необходимо написать единый запрос (=прототип), который будет формировать набор данных со всеми перечисленными в документе атрибутами.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643"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Сохранить набор данных, полученный прототипом, в таблицу (витрину), используя DDL</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643"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Подумать какой первичный ключ может быть сформирован в данной таблице, обосновать свой выбор, приложить комментарий в любом удобном формате</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643"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Написать SQL-запрос, который бы позволил проверить прототип на предмет наличия дублей по первичному ключу</w:t>
      </w:r>
    </w:p>
    <w:p w:rsidR="00000000" w:rsidDel="00000000" w:rsidP="00000000" w:rsidRDefault="00000000" w:rsidRPr="00000000" w14:paraId="00000014">
      <w:pPr>
        <w:ind w:left="283"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Примечания:</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03" w:right="0" w:hanging="36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В рамках данной конкретной задачи допускается </w:t>
      </w:r>
      <w:r w:rsidDel="00000000" w:rsidR="00000000" w:rsidRPr="00000000">
        <w:rPr>
          <w:rFonts w:ascii="Times New Roman" w:cs="Times New Roman" w:eastAsia="Times New Roman" w:hAnsi="Times New Roman"/>
          <w:i w:val="0"/>
          <w:iCs w:val="0"/>
          <w:smallCaps w:val="0"/>
          <w:strike w:val="0"/>
          <w:color w:val="000000"/>
          <w:sz w:val="22"/>
          <w:szCs w:val="22"/>
          <w:u w:val="single"/>
          <w:shd w:fill="auto" w:val="clear"/>
          <w:vertAlign w:val="baseline"/>
          <w:rtl w:val="0"/>
        </w:rPr>
        <w:t xml:space="preserve">не</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добавлять в прототип атрибуты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VV, OVA, OVP, IV, PRIZ</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03"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Отчетность формируется за конкретный период, выбранный самостоятельно с учетом наличия данных в БД</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03" w:right="0" w:hanging="360"/>
        <w:jc w:val="left"/>
        <w:rPr>
          <w:rFonts w:ascii="Times New Roman" w:cs="Times New Roman" w:eastAsia="Times New Roman" w:hAnsi="Times New Roman"/>
          <w:b w:val="1"/>
          <w:bCs w:val="1"/>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Не забывайте про использование СТЕ (табличные выражения with)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43"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2e74b5"/>
          <w:sz w:val="32"/>
          <w:szCs w:val="32"/>
          <w:highlight w:val="white"/>
        </w:rPr>
      </w:pPr>
      <w:r w:rsidDel="00000000" w:rsidR="00000000" w:rsidRPr="00000000">
        <w:rPr>
          <w:rFonts w:ascii="Times New Roman" w:cs="Times New Roman" w:eastAsia="Times New Roman" w:hAnsi="Times New Roman"/>
          <w:color w:val="2e74b5"/>
          <w:sz w:val="32"/>
          <w:szCs w:val="32"/>
          <w:highlight w:val="white"/>
          <w:rtl w:val="0"/>
        </w:rPr>
        <w:t xml:space="preserve">Результат выполненной работы:</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43"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Работающий прототип т.е. скрипт SQL-запроса, который формирует набор данных с отчетностью</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43"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DDL-запрос, который создает таблицу (витрину) и выгрузка данных таблицы (витрины) в excel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43"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Текстовый комментарий о том, какой атрибут или связка атрибутов могут составлять первичный ключ в таблице + обоснование выбора. Формат текстового комментария произвольный – как вариант, можно приложить к скрипту на проверку дублирования (п.4).</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643"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Работающий скрипт SQL-запроса, который позволяет проверить прототип на отсутствие дублей по первичному ключу</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643" w:right="0" w:hanging="36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highlight w:val="white"/>
          <w:u w:val="none"/>
          <w:vertAlign w:val="baseline"/>
          <w:rtl w:val="0"/>
        </w:rPr>
        <w:t xml:space="preserve">SQL-запросы необходимо сохранить в отдельный файл с расширением *.sql, добавить необходимые комментарии к скриптам, результат выполнения требуется сохранить в формате MS Excel </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2e74b5"/>
          <w:sz w:val="32"/>
          <w:szCs w:val="32"/>
          <w:highlight w:val="white"/>
        </w:rPr>
      </w:pPr>
      <w:r w:rsidDel="00000000" w:rsidR="00000000" w:rsidRPr="00000000">
        <w:rPr>
          <w:rFonts w:ascii="Times New Roman" w:cs="Times New Roman" w:eastAsia="Times New Roman" w:hAnsi="Times New Roman"/>
          <w:color w:val="2e74b5"/>
          <w:sz w:val="32"/>
          <w:szCs w:val="32"/>
          <w:highlight w:val="white"/>
          <w:rtl w:val="0"/>
        </w:rPr>
        <w:t xml:space="preserve"> Методика оценивания:</w:t>
      </w:r>
    </w:p>
    <w:tbl>
      <w:tblPr>
        <w:tblStyle w:val="Table1"/>
        <w:tblW w:w="933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840"/>
        <w:gridCol w:w="6870"/>
        <w:gridCol w:w="1620"/>
        <w:tblGridChange w:id="0">
          <w:tblGrid>
            <w:gridCol w:w="840"/>
            <w:gridCol w:w="6870"/>
            <w:gridCol w:w="16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Критерий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Макс. баллов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SQL-запросы, необходимые для формирования таблицы с отчетностью (прототип, DDL), правильность выгруженных данных</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Выбор первичного ключа и обоснование выбора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2 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SQL-запрос за проверку отсутствия дублирования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2E">
            <w:pPr>
              <w:spacing w:after="0"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Итого: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30">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15 </w:t>
            </w:r>
            <w:r w:rsidDel="00000000" w:rsidR="00000000" w:rsidRPr="00000000">
              <w:rPr>
                <w:rtl w:val="0"/>
              </w:rPr>
            </w:r>
          </w:p>
        </w:tc>
      </w:tr>
    </w:tbl>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2">
    <w:lvl w:ilvl="0">
      <w:start w:val="1"/>
      <w:numFmt w:val="decimal"/>
      <w:lvlText w:val="%1."/>
      <w:lvlJc w:val="left"/>
      <w:pPr>
        <w:ind w:left="643"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643"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03" w:hanging="360"/>
      </w:pPr>
      <w:rPr>
        <w:rFonts w:ascii="Noto Sans Symbols" w:cs="Noto Sans Symbols" w:eastAsia="Noto Sans Symbols" w:hAnsi="Noto Sans Symbols"/>
      </w:rPr>
    </w:lvl>
    <w:lvl w:ilvl="1">
      <w:start w:val="1"/>
      <w:numFmt w:val="bullet"/>
      <w:lvlText w:val="o"/>
      <w:lvlJc w:val="left"/>
      <w:pPr>
        <w:ind w:left="1723" w:hanging="360"/>
      </w:pPr>
      <w:rPr>
        <w:rFonts w:ascii="Courier New" w:cs="Courier New" w:eastAsia="Courier New" w:hAnsi="Courier New"/>
      </w:rPr>
    </w:lvl>
    <w:lvl w:ilvl="2">
      <w:start w:val="1"/>
      <w:numFmt w:val="bullet"/>
      <w:lvlText w:val="▪"/>
      <w:lvlJc w:val="left"/>
      <w:pPr>
        <w:ind w:left="2443" w:hanging="360"/>
      </w:pPr>
      <w:rPr>
        <w:rFonts w:ascii="Noto Sans Symbols" w:cs="Noto Sans Symbols" w:eastAsia="Noto Sans Symbols" w:hAnsi="Noto Sans Symbols"/>
      </w:rPr>
    </w:lvl>
    <w:lvl w:ilvl="3">
      <w:start w:val="1"/>
      <w:numFmt w:val="bullet"/>
      <w:lvlText w:val="●"/>
      <w:lvlJc w:val="left"/>
      <w:pPr>
        <w:ind w:left="3163" w:hanging="360"/>
      </w:pPr>
      <w:rPr>
        <w:rFonts w:ascii="Noto Sans Symbols" w:cs="Noto Sans Symbols" w:eastAsia="Noto Sans Symbols" w:hAnsi="Noto Sans Symbols"/>
      </w:rPr>
    </w:lvl>
    <w:lvl w:ilvl="4">
      <w:start w:val="1"/>
      <w:numFmt w:val="bullet"/>
      <w:lvlText w:val="o"/>
      <w:lvlJc w:val="left"/>
      <w:pPr>
        <w:ind w:left="3883" w:hanging="360"/>
      </w:pPr>
      <w:rPr>
        <w:rFonts w:ascii="Courier New" w:cs="Courier New" w:eastAsia="Courier New" w:hAnsi="Courier New"/>
      </w:rPr>
    </w:lvl>
    <w:lvl w:ilvl="5">
      <w:start w:val="1"/>
      <w:numFmt w:val="bullet"/>
      <w:lvlText w:val="▪"/>
      <w:lvlJc w:val="left"/>
      <w:pPr>
        <w:ind w:left="4603" w:hanging="360"/>
      </w:pPr>
      <w:rPr>
        <w:rFonts w:ascii="Noto Sans Symbols" w:cs="Noto Sans Symbols" w:eastAsia="Noto Sans Symbols" w:hAnsi="Noto Sans Symbols"/>
      </w:rPr>
    </w:lvl>
    <w:lvl w:ilvl="6">
      <w:start w:val="1"/>
      <w:numFmt w:val="bullet"/>
      <w:lvlText w:val="●"/>
      <w:lvlJc w:val="left"/>
      <w:pPr>
        <w:ind w:left="5323" w:hanging="360"/>
      </w:pPr>
      <w:rPr>
        <w:rFonts w:ascii="Noto Sans Symbols" w:cs="Noto Sans Symbols" w:eastAsia="Noto Sans Symbols" w:hAnsi="Noto Sans Symbols"/>
      </w:rPr>
    </w:lvl>
    <w:lvl w:ilvl="7">
      <w:start w:val="1"/>
      <w:numFmt w:val="bullet"/>
      <w:lvlText w:val="o"/>
      <w:lvlJc w:val="left"/>
      <w:pPr>
        <w:ind w:left="6043" w:hanging="360"/>
      </w:pPr>
      <w:rPr>
        <w:rFonts w:ascii="Courier New" w:cs="Courier New" w:eastAsia="Courier New" w:hAnsi="Courier New"/>
      </w:rPr>
    </w:lvl>
    <w:lvl w:ilvl="8">
      <w:start w:val="1"/>
      <w:numFmt w:val="bullet"/>
      <w:lvlText w:val="▪"/>
      <w:lvlJc w:val="left"/>
      <w:pPr>
        <w:ind w:left="676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br.ru/banking_sector/otchetnost-kreditnykh-organizaci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hYAdbeJwxoDG2V00h+WjGeVLjg==">CgMxLjAyDmguMzlmZmo0cWx2azI1OAByITFlUUpzWEVTMVdSVkZzalN4REtveHJjdHZENklKYjc5NA==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