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</w:rPr>
      </w:pPr>
      <w:r>
        <w:rPr>
          <w:b/>
        </w:rPr>
        <w:t xml:space="preserve">Рецензия</w:t>
      </w:r>
      <w:r>
        <w:rPr>
          <w:b/>
        </w:rPr>
      </w:r>
      <w:r>
        <w:rPr>
          <w:b/>
        </w:rPr>
      </w:r>
    </w:p>
    <w:p>
      <w:pPr>
        <w:pStyle w:val="891"/>
        <w:pBdr/>
        <w:spacing w:after="0" w:afterAutospacing="0" w:before="0" w:beforeAutospacing="0"/>
        <w:ind/>
        <w:jc w:val="center"/>
        <w:rPr>
          <w:rFonts w:ascii="Times New Roman CYR" w:hAnsi="Times New Roman CYR"/>
          <w:b/>
          <w:bCs/>
        </w:rPr>
      </w:pPr>
      <w:r>
        <w:rPr>
          <w:b/>
        </w:rPr>
        <w:t xml:space="preserve">на </w:t>
      </w:r>
      <w:r>
        <w:rPr>
          <w:b/>
        </w:rPr>
        <w:t xml:space="preserve"> выпускную квалификационную работу</w:t>
      </w:r>
      <w:r>
        <w:rPr>
          <w:rFonts w:ascii="Times New Roman CYR" w:hAnsi="Times New Roman CYR"/>
          <w:b/>
          <w:bCs/>
        </w:rPr>
      </w:r>
      <w:r>
        <w:rPr>
          <w:rFonts w:ascii="Times New Roman CYR" w:hAnsi="Times New Roman CYR"/>
          <w:b/>
          <w:bCs/>
        </w:rPr>
      </w:r>
    </w:p>
    <w:p>
      <w:pPr>
        <w:pBdr/>
        <w:spacing/>
        <w:ind/>
        <w:jc w:val="center"/>
        <w:rPr>
          <w:rFonts w:ascii="Times New Roman CYR" w:hAnsi="Times New Roman CYR"/>
          <w:b/>
          <w:bCs/>
        </w:rPr>
      </w:pPr>
      <w:r>
        <w:rPr>
          <w:rFonts w:ascii="Times New Roman CYR" w:hAnsi="Times New Roman CYR"/>
          <w:b/>
          <w:bCs/>
        </w:rPr>
      </w:r>
      <w:r>
        <w:rPr>
          <w:rFonts w:ascii="Times New Roman CYR" w:hAnsi="Times New Roman CYR"/>
          <w:b/>
          <w:bCs/>
        </w:rPr>
      </w:r>
      <w:r>
        <w:rPr>
          <w:rFonts w:ascii="Times New Roman CYR" w:hAnsi="Times New Roman CYR"/>
          <w:b/>
          <w:bCs/>
        </w:rPr>
      </w:r>
    </w:p>
    <w:p>
      <w:pPr>
        <w:pBdr/>
        <w:spacing/>
        <w:ind/>
        <w:jc w:val="center"/>
        <w:rPr>
          <w:rFonts w:ascii="Times New Roman CYR" w:hAnsi="Times New Roman CYR"/>
          <w:b/>
          <w:bCs/>
          <w:sz w:val="28"/>
          <w:szCs w:val="28"/>
        </w:rPr>
      </w:pPr>
      <w:r>
        <w:rPr>
          <w:rFonts w:ascii="Times New Roman CYR" w:hAnsi="Times New Roman CYR"/>
          <w:b/>
          <w:bCs/>
          <w:sz w:val="28"/>
          <w:szCs w:val="28"/>
          <w:lang w:val="ru-RU"/>
        </w:rPr>
        <w:t xml:space="preserve">Косенко Никиты Игоревича</w:t>
      </w:r>
      <w:r>
        <w:rPr>
          <w:rFonts w:ascii="Times New Roman CYR" w:hAnsi="Times New Roman CYR"/>
          <w:b/>
          <w:bCs/>
          <w:sz w:val="28"/>
          <w:szCs w:val="28"/>
        </w:rPr>
      </w:r>
      <w:r>
        <w:rPr>
          <w:rFonts w:ascii="Times New Roman CYR" w:hAnsi="Times New Roman CYR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Times New Roman CYR" w:hAnsi="Times New Roman CYR"/>
          <w:b/>
          <w:bCs/>
        </w:rPr>
      </w:pPr>
      <w:r>
        <w:rPr>
          <w:rFonts w:ascii="Times New Roman CYR" w:hAnsi="Times New Roman CYR"/>
          <w:b/>
          <w:bCs/>
        </w:rPr>
        <w:t xml:space="preserve">на тему</w:t>
      </w:r>
      <w:r>
        <w:rPr>
          <w:rFonts w:ascii="Times New Roman CYR" w:hAnsi="Times New Roman CYR"/>
          <w:b/>
          <w:bCs/>
        </w:rPr>
      </w:r>
      <w:r>
        <w:rPr>
          <w:rFonts w:ascii="Times New Roman CYR" w:hAnsi="Times New Roman CYR"/>
          <w:b/>
          <w:bCs/>
        </w:rPr>
      </w:r>
    </w:p>
    <w:p w14:paraId="679D1957">
      <w:pPr>
        <w:pBdr/>
        <w:spacing/>
        <w:ind/>
        <w:jc w:val="center"/>
        <w:rPr>
          <w:b/>
          <w:bCs/>
        </w:rPr>
      </w:pPr>
      <w:r>
        <w:rPr>
          <w:rFonts w:ascii="Times New Roman CYR" w:hAnsi="Times New Roman CYR"/>
          <w:b/>
          <w:bCs/>
          <w:sz w:val="28"/>
          <w:szCs w:val="28"/>
        </w:rPr>
        <w:t xml:space="preserve">«</w:t>
      </w:r>
      <w:r>
        <w:rPr>
          <w:rFonts w:ascii="Times New Roman CYR" w:hAnsi="Times New Roman CYR"/>
          <w:b/>
          <w:bCs/>
          <w:sz w:val="28"/>
          <w:szCs w:val="28"/>
        </w:rPr>
        <w:t xml:space="preserve">Разработка </w:t>
      </w:r>
      <w:r>
        <w:rPr>
          <w:rFonts w:ascii="Times New Roman CYR" w:hAnsi="Times New Roman CYR"/>
          <w:b/>
          <w:bCs/>
          <w:sz w:val="28"/>
          <w:szCs w:val="28"/>
        </w:rPr>
        <w:t xml:space="preserve">оптимизированного табличного метода</w:t>
      </w:r>
      <w:r>
        <w:rPr>
          <w:rFonts w:ascii="Times New Roman CYR" w:hAnsi="Times New Roman CYR"/>
          <w:b/>
          <w:bCs/>
          <w:sz w:val="28"/>
          <w:szCs w:val="28"/>
        </w:rPr>
      </w:r>
      <w:r>
        <w:rPr>
          <w:b/>
          <w:bCs/>
        </w:rPr>
      </w:r>
    </w:p>
    <w:p w14:paraId="08EB3105">
      <w:pPr>
        <w:pBdr/>
        <w:spacing/>
        <w:ind/>
        <w:jc w:val="center"/>
        <w:rPr>
          <w:rFonts w:ascii="Times New Roman CYR" w:hAnsi="Times New Roman CYR"/>
          <w:b/>
          <w:bCs/>
          <w:sz w:val="28"/>
          <w:szCs w:val="28"/>
        </w:rPr>
      </w:pPr>
      <w:r>
        <w:rPr>
          <w:rFonts w:ascii="Times New Roman CYR" w:hAnsi="Times New Roman CYR"/>
          <w:b/>
          <w:bCs/>
          <w:sz w:val="28"/>
          <w:szCs w:val="28"/>
        </w:rPr>
        <w:t xml:space="preserve">доступа для СУБД PostgreSQL</w:t>
      </w:r>
      <w:r>
        <w:rPr>
          <w:rFonts w:ascii="Times New Roman CYR" w:hAnsi="Times New Roman CYR"/>
          <w:b/>
          <w:bCs/>
          <w:sz w:val="28"/>
          <w:szCs w:val="28"/>
        </w:rPr>
        <w:t xml:space="preserve">»</w:t>
      </w:r>
      <w:r>
        <w:rPr>
          <w:b/>
          <w:bCs/>
        </w:rPr>
      </w:r>
      <w:r>
        <w:rPr>
          <w:rFonts w:ascii="Times New Roman CYR" w:hAnsi="Times New Roman CYR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Times New Roman CYR" w:hAnsi="Times New Roman CYR"/>
          <w:bCs/>
        </w:rPr>
      </w:pP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данной выпускной квалификационной работы является разработка оптимизированного табличного метода доступа для системы управления базами данных </w:t>
      </w:r>
      <w:r>
        <w:rPr>
          <w:sz w:val="28"/>
          <w:szCs w:val="28"/>
          <w:lang w:val="en-US"/>
        </w:rPr>
        <w:t xml:space="preserve">PostgreSQL, </w:t>
      </w:r>
      <w:r>
        <w:rPr>
          <w:sz w:val="28"/>
          <w:szCs w:val="28"/>
          <w:lang w:val="ru-RU"/>
        </w:rPr>
        <w:t xml:space="preserve">который позволит быстрее выполнять запросы к хранящимся в кластере базам данных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состоит из вве</w:t>
      </w:r>
      <w:r>
        <w:rPr>
          <w:sz w:val="28"/>
          <w:szCs w:val="28"/>
        </w:rPr>
        <w:t xml:space="preserve">дения, четырех глав, заключения и</w:t>
      </w:r>
      <w:r>
        <w:rPr>
          <w:sz w:val="28"/>
          <w:szCs w:val="28"/>
        </w:rPr>
        <w:t xml:space="preserve"> приложени</w:t>
      </w:r>
      <w:r>
        <w:rPr>
          <w:sz w:val="28"/>
          <w:szCs w:val="28"/>
        </w:rPr>
        <w:t xml:space="preserve">й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перво</w:t>
      </w:r>
      <w:r>
        <w:rPr>
          <w:sz w:val="28"/>
          <w:szCs w:val="28"/>
        </w:rPr>
        <w:t xml:space="preserve">й главе проводится детальное исследование механизмов работы СУБД </w:t>
      </w:r>
      <w:r>
        <w:rPr>
          <w:sz w:val="28"/>
          <w:szCs w:val="28"/>
          <w:lang w:val="en-US"/>
        </w:rPr>
        <w:t xml:space="preserve">PostgreSQL</w:t>
      </w:r>
      <w:r>
        <w:rPr>
          <w:sz w:val="28"/>
          <w:szCs w:val="28"/>
        </w:rPr>
        <w:t xml:space="preserve">, проводится анализ особенностей хранения данных, порождающих замедление исполнения запросов. Также проводи</w:t>
      </w:r>
      <w:r>
        <w:rPr>
          <w:sz w:val="28"/>
          <w:szCs w:val="28"/>
        </w:rPr>
        <w:t xml:space="preserve">тся сравнительный анализ альтернативных вариантов хранения кортежей, проводятся исследование даваемого ими прироста производительности. Для определения подходящих способов реализации проводится анализ существующих инструментов для написания расширений для </w:t>
      </w:r>
      <w:r>
        <w:rPr>
          <w:sz w:val="28"/>
          <w:szCs w:val="28"/>
          <w:lang w:val="en-US"/>
        </w:rPr>
        <w:t xml:space="preserve">PostgreSQL.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Вторая глава посвящена описанию альтернативного способа реализации механизма физического хранения кортежей </w:t>
      </w:r>
      <w:r>
        <w:rPr>
          <w:sz w:val="28"/>
          <w:szCs w:val="28"/>
        </w:rPr>
        <w:t xml:space="preserve">таблиц для СУБД </w:t>
      </w:r>
      <w:r>
        <w:rPr>
          <w:sz w:val="28"/>
          <w:szCs w:val="28"/>
          <w:lang w:val="en-US"/>
        </w:rPr>
        <w:t xml:space="preserve">PostgreSQL.</w:t>
      </w:r>
      <w:r>
        <w:rPr>
          <w:sz w:val="28"/>
          <w:szCs w:val="28"/>
          <w:lang w:val="ru-RU"/>
        </w:rPr>
        <w:t xml:space="preserve"> В главе приводятся описания нового распределения разделяемой памяти сервера СУБД, 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информации, находящейся в записях, содержащих старые версии кортежей, а также алгоритма действий при восстановлении сервера после сбоя.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  <w:highlight w:val="none"/>
          <w14:ligatures w14:val="none"/>
        </w:rPr>
      </w:pPr>
      <w:r>
        <w:rPr>
          <w:sz w:val="28"/>
          <w:szCs w:val="28"/>
        </w:rPr>
        <w:t xml:space="preserve">Третья глава содержит результаты разработки архитектуры расширения</w:t>
      </w:r>
      <w:r>
        <w:t xml:space="preserve">. </w:t>
      </w:r>
      <w:r>
        <w:rPr>
          <w:sz w:val="28"/>
          <w:szCs w:val="28"/>
        </w:rPr>
        <w:t xml:space="preserve">В ней описывается модульная структура проекта, основные типы и функции, используемые при работе метода доступа. Также приводится описание процесса сборки и запуска расширения совместно с сервером СУБД.</w:t>
      </w:r>
      <w:r>
        <w:rPr>
          <w:sz w:val="28"/>
          <w:szCs w:val="28"/>
          <w:highlight w:val="none"/>
          <w14:ligatures w14:val="none"/>
        </w:rPr>
      </w:r>
    </w:p>
    <w:p w14:paraId="1CD5081C">
      <w:pPr>
        <w:pBdr/>
        <w:spacing w:after="120" w:before="120" w:line="276" w:lineRule="auto"/>
        <w:ind w:firstLine="540"/>
        <w:jc w:val="both"/>
        <w:rPr>
          <w14:ligatures w14:val="none"/>
        </w:rPr>
      </w:pPr>
      <w:r>
        <w:rPr>
          <w:sz w:val="28"/>
          <w:szCs w:val="28"/>
          <w:highlight w:val="none"/>
        </w:rPr>
        <w:t xml:space="preserve">В четвертой главе описывается программная реализация раз</w:t>
      </w:r>
      <w:r>
        <w:rPr>
          <w:sz w:val="28"/>
          <w:szCs w:val="28"/>
          <w:highlight w:val="none"/>
        </w:rPr>
        <w:t xml:space="preserve">работанной библиотеки-расширения,приводятся примеры ее применения для хранения кортежей и работы при сбое работы сервера. Также приводятся результаты нагрузочного тестирования, на основании которого делаются выводы о полученном приросте производительности.</w:t>
      </w:r>
      <w:r>
        <w:rPr>
          <w:sz w:val="28"/>
          <w:szCs w:val="28"/>
          <w:highlight w:val="none"/>
        </w:rPr>
      </w:r>
      <w:r>
        <w:rPr>
          <w14:ligatures w14:val="none"/>
        </w:rPr>
      </w:r>
    </w:p>
    <w:p w14:paraId="72A4C500">
      <w:pPr>
        <w:pBdr/>
        <w:spacing w:after="120" w:before="120" w:line="276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Все требования, предъявляемые к выпускным квалификационным работам студентов выполнены. К достоинствам работы можно отнести глубокий анализ устройства </w:t>
      </w:r>
      <w:r>
        <w:rPr>
          <w:sz w:val="28"/>
          <w:szCs w:val="28"/>
          <w:highlight w:val="none"/>
        </w:rPr>
        <w:t xml:space="preserve">механизмов работы </w:t>
      </w:r>
      <w:r>
        <w:rPr>
          <w:sz w:val="28"/>
          <w:szCs w:val="28"/>
          <w:highlight w:val="none"/>
          <w:lang w:val="en-US"/>
        </w:rPr>
        <w:t xml:space="preserve">PostgreSQL, </w:t>
      </w:r>
      <w:r>
        <w:rPr>
          <w:sz w:val="28"/>
          <w:szCs w:val="28"/>
          <w:highlight w:val="none"/>
          <w:lang w:val="ru-RU"/>
        </w:rPr>
        <w:t xml:space="preserve">а также использование современных инструментальных средств для решения актуальной проблемы оптимизации исполнения запросов. Изложение информации последовательно, работа не содержит замечаний по оформлению.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pBdr/>
        <w:spacing w:after="120" w:before="120" w:line="276" w:lineRule="auto"/>
        <w:ind w:firstLine="540"/>
        <w:jc w:val="both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Из недостатков работы следует отметить</w:t>
      </w:r>
      <w:r>
        <w:rPr>
          <w:sz w:val="28"/>
          <w:szCs w:val="28"/>
          <w:lang w:val="ru-RU"/>
        </w:rPr>
        <w:t xml:space="preserve"> отсутствие дробления больших кортежей на </w:t>
      </w:r>
      <w:r>
        <w:rPr>
          <w:sz w:val="28"/>
          <w:szCs w:val="28"/>
          <w:lang w:val="en-US"/>
        </w:rPr>
        <w:t xml:space="preserve">TOAST</w:t>
      </w:r>
      <w:r>
        <w:rPr>
          <w:sz w:val="28"/>
          <w:szCs w:val="28"/>
          <w:lang w:val="ru-RU"/>
        </w:rPr>
        <w:t xml:space="preserve">-таблицы и обеспечения уровня изолированности транзакций  </w:t>
      </w:r>
      <w:r>
        <w:rPr>
          <w:sz w:val="28"/>
          <w:szCs w:val="28"/>
          <w:lang w:val="en-US"/>
        </w:rPr>
        <w:t xml:space="preserve">Serializable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ru-RU"/>
        </w:rPr>
        <w:t xml:space="preserve">Тем не менее, эти недостатки не снижают общей ценности рассматриваемой работы.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pBdr/>
        <w:spacing/>
        <w:ind w:right="0" w:firstLine="567" w:left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Выпускная квалификационная работа отвечает предъявляемым требованиям и заслуживает оценки </w:t>
      </w:r>
      <w:r>
        <w:rPr>
          <w:color w:val="000000"/>
          <w:sz w:val="28"/>
          <w:szCs w:val="28"/>
          <w:highlight w:val="white"/>
        </w:rPr>
        <w:t xml:space="preserve">отлично (А)</w:t>
      </w:r>
      <w:bookmarkStart w:id="0" w:name="_GoBack"/>
      <w:r>
        <w:rPr>
          <w:sz w:val="28"/>
          <w:szCs w:val="28"/>
          <w:highlight w:val="white"/>
        </w:rPr>
      </w:r>
      <w:bookmarkEnd w:id="0"/>
      <w:r>
        <w:rPr>
          <w:color w:val="000000"/>
          <w:sz w:val="28"/>
          <w:szCs w:val="28"/>
        </w:rPr>
        <w:t xml:space="preserve">, а студент </w:t>
      </w:r>
      <w:r>
        <w:rPr>
          <w:color w:val="000000"/>
          <w:sz w:val="28"/>
          <w:szCs w:val="28"/>
        </w:rPr>
        <w:t xml:space="preserve">Косенко Никита Игоревич заслуживает присвоения квалификации "</w:t>
      </w:r>
      <w:r>
        <w:rPr>
          <w:color w:val="000000"/>
          <w:sz w:val="28"/>
          <w:szCs w:val="28"/>
        </w:rPr>
        <w:t xml:space="preserve">магистр" по направлению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подготовки </w:t>
      </w:r>
      <w:r>
        <w:rPr>
          <w:color w:val="000000"/>
          <w:sz w:val="28"/>
          <w:szCs w:val="28"/>
          <w:highlight w:val="white"/>
        </w:rPr>
        <w:t xml:space="preserve">09.04.04</w:t>
      </w:r>
      <w:r>
        <w:rPr>
          <w:color w:val="000000"/>
          <w:sz w:val="28"/>
          <w:szCs w:val="28"/>
          <w:highlight w:val="white"/>
        </w:rPr>
        <w:t xml:space="preserve"> </w:t>
      </w:r>
      <w:r>
        <w:rPr>
          <w:color w:val="000000"/>
          <w:sz w:val="28"/>
          <w:szCs w:val="28"/>
        </w:rPr>
        <w:t xml:space="preserve">— «</w:t>
      </w:r>
      <w:r>
        <w:rPr>
          <w:color w:val="000000"/>
          <w:sz w:val="28"/>
          <w:szCs w:val="28"/>
          <w:highlight w:val="white"/>
        </w:rPr>
        <w:t xml:space="preserve">Программная </w:t>
      </w:r>
      <w:r>
        <w:rPr>
          <w:color w:val="000000"/>
          <w:sz w:val="28"/>
          <w:szCs w:val="28"/>
          <w:highlight w:val="white"/>
        </w:rPr>
        <w:t xml:space="preserve">инженерия</w:t>
      </w:r>
      <w:r>
        <w:rPr>
          <w:color w:val="000000"/>
          <w:sz w:val="28"/>
          <w:szCs w:val="28"/>
          <w:highlight w:val="white"/>
        </w:rPr>
        <w:t xml:space="preserve">»</w:t>
      </w:r>
      <w:r>
        <w:rPr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 w:firstLine="540"/>
        <w:jc w:val="both"/>
        <w:rPr>
          <w:rFonts w:ascii="Times New Roman CYR" w:hAnsi="Times New Roman CYR"/>
          <w:bCs/>
        </w:rPr>
      </w:pP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</w:p>
    <w:p>
      <w:pPr>
        <w:pBdr/>
        <w:spacing/>
        <w:ind w:firstLine="540"/>
        <w:jc w:val="both"/>
        <w:rPr>
          <w:rFonts w:ascii="Times New Roman CYR" w:hAnsi="Times New Roman CYR"/>
          <w:bCs/>
        </w:rPr>
      </w:pP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</w:p>
    <w:p>
      <w:pPr>
        <w:pBdr/>
        <w:spacing/>
        <w:ind/>
        <w:jc w:val="both"/>
        <w:rPr>
          <w:rFonts w:ascii="Times New Roman CYR" w:hAnsi="Times New Roman CYR"/>
          <w:bCs/>
          <w:sz w:val="28"/>
          <w:szCs w:val="28"/>
        </w:rPr>
      </w:pPr>
      <w:r>
        <w:rPr>
          <w:rFonts w:ascii="Times New Roman CYR" w:hAnsi="Times New Roman CYR"/>
          <w:bCs/>
          <w:sz w:val="28"/>
          <w:szCs w:val="28"/>
        </w:rPr>
        <w:t xml:space="preserve">Рецензент</w:t>
      </w:r>
      <w:r>
        <w:rPr>
          <w:rFonts w:ascii="Times New Roman CYR" w:hAnsi="Times New Roman CYR"/>
          <w:bCs/>
          <w:sz w:val="28"/>
          <w:szCs w:val="28"/>
        </w:rPr>
      </w:r>
      <w:r>
        <w:rPr>
          <w:rFonts w:ascii="Times New Roman CYR" w:hAnsi="Times New Roman CYR"/>
          <w:bCs/>
          <w:sz w:val="28"/>
          <w:szCs w:val="28"/>
        </w:rPr>
      </w:r>
    </w:p>
    <w:p>
      <w:pPr>
        <w:pBdr/>
        <w:spacing/>
        <w:ind/>
        <w:jc w:val="both"/>
        <w:rPr>
          <w:rFonts w:ascii="Times New Roman CYR" w:hAnsi="Times New Roman CYR"/>
          <w:sz w:val="28"/>
          <w:szCs w:val="28"/>
          <w:highlight w:val="none"/>
        </w:rPr>
      </w:pPr>
      <w:r>
        <w:rPr>
          <w:rFonts w:ascii="Times New Roman CYR" w:hAnsi="Times New Roman CYR"/>
          <w:bCs/>
          <w:sz w:val="28"/>
          <w:szCs w:val="28"/>
          <w:highlight w:val="none"/>
        </w:rPr>
        <w:t xml:space="preserve">Ведущий инженер-программист</w:t>
      </w:r>
      <w:r>
        <w:rPr>
          <w:rFonts w:ascii="Times New Roman CYR" w:hAnsi="Times New Roman CYR"/>
          <w:bCs/>
          <w:sz w:val="28"/>
          <w:szCs w:val="28"/>
        </w:rPr>
      </w:r>
      <w:r>
        <w:rPr>
          <w:rFonts w:ascii="Times New Roman CYR" w:hAnsi="Times New Roman CYR"/>
          <w:sz w:val="28"/>
          <w:szCs w:val="28"/>
          <w:highlight w:val="none"/>
        </w:rPr>
      </w:r>
    </w:p>
    <w:p w14:paraId="64D8082A">
      <w:pPr>
        <w:pBdr/>
        <w:spacing/>
        <w:ind/>
        <w:jc w:val="both"/>
        <w:rPr>
          <w:rFonts w:ascii="Times New Roman CYR" w:hAnsi="Times New Roman CYR"/>
          <w:sz w:val="28"/>
          <w:szCs w:val="28"/>
          <w:highlight w:val="white"/>
        </w:rPr>
      </w:pPr>
      <w:r>
        <w:rPr>
          <w:rFonts w:ascii="Times New Roman CYR" w:hAnsi="Times New Roman CYR"/>
          <w:bCs/>
          <w:sz w:val="28"/>
          <w:szCs w:val="28"/>
          <w:highlight w:val="none"/>
        </w:rPr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кафедры 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№17 «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Информатики и процессов управления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»</w:t>
      </w:r>
      <w:r>
        <w:rPr>
          <w:rFonts w:ascii="Times New Roman CYR" w:hAnsi="Times New Roman CYR"/>
          <w:sz w:val="28"/>
          <w:szCs w:val="28"/>
        </w:rPr>
      </w:r>
      <w:r>
        <w:rPr>
          <w:rFonts w:ascii="Times New Roman CYR" w:hAnsi="Times New Roman CYR"/>
          <w:sz w:val="28"/>
          <w:szCs w:val="28"/>
          <w:highlight w:val="white"/>
        </w:rPr>
      </w:r>
    </w:p>
    <w:p w14:paraId="005AF464">
      <w:pPr>
        <w:pBdr/>
        <w:spacing/>
        <w:ind/>
        <w:jc w:val="both"/>
        <w:rPr>
          <w:rFonts w:ascii="Times New Roman CYR" w:hAnsi="Times New Roman CYR"/>
          <w:sz w:val="28"/>
          <w:szCs w:val="28"/>
        </w:rPr>
      </w:pPr>
      <w:r>
        <w:rPr>
          <w:rFonts w:ascii="Times New Roman CYR" w:hAnsi="Times New Roman CYR"/>
          <w:bCs/>
          <w:sz w:val="28"/>
          <w:szCs w:val="28"/>
          <w:highlight w:val="white"/>
        </w:rPr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института общей профессиональной подготовки (м) НИЯУ МИФИ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, 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 </w:t>
      </w:r>
      <w:r>
        <w:rPr>
          <w:rFonts w:ascii="Times New Roman CYR" w:hAnsi="Times New Roman CYR"/>
          <w:bCs/>
          <w:sz w:val="28"/>
          <w:szCs w:val="28"/>
        </w:rPr>
        <w:t xml:space="preserve">              </w:t>
      </w:r>
      <w:r>
        <w:rPr>
          <w:rFonts w:ascii="Times New Roman CYR" w:hAnsi="Times New Roman CYR"/>
          <w:sz w:val="28"/>
          <w:szCs w:val="28"/>
        </w:rPr>
      </w:r>
      <w:r>
        <w:rPr>
          <w:rFonts w:ascii="Times New Roman CYR" w:hAnsi="Times New Roman CYR"/>
          <w:sz w:val="28"/>
          <w:szCs w:val="28"/>
        </w:rPr>
      </w:r>
    </w:p>
    <w:p w14:paraId="220CF97C">
      <w:pPr>
        <w:pBdr/>
        <w:spacing/>
        <w:ind w:firstLine="708" w:left="4956"/>
        <w:jc w:val="both"/>
        <w:rPr>
          <w:rFonts w:ascii="Times New Roman CYR" w:hAnsi="Times New Roman CYR"/>
          <w:sz w:val="28"/>
          <w:szCs w:val="28"/>
        </w:rPr>
      </w:pPr>
      <w:r>
        <w:rPr>
          <w:rFonts w:ascii="Times New Roman CYR" w:hAnsi="Times New Roman CYR"/>
          <w:bCs/>
          <w:sz w:val="28"/>
          <w:szCs w:val="28"/>
          <w:highlight w:val="none"/>
        </w:rPr>
      </w:r>
      <w:r>
        <w:rPr>
          <w:rFonts w:ascii="Times New Roman CYR" w:hAnsi="Times New Roman CYR"/>
          <w:bCs/>
          <w:sz w:val="28"/>
          <w:szCs w:val="28"/>
          <w:highlight w:val="none"/>
        </w:rPr>
      </w:r>
      <w:r>
        <w:rPr>
          <w:rFonts w:ascii="Times New Roman CYR" w:hAnsi="Times New Roman CYR"/>
          <w:sz w:val="28"/>
          <w:szCs w:val="28"/>
        </w:rPr>
      </w:r>
    </w:p>
    <w:p w14:paraId="1071EE8C">
      <w:pPr>
        <w:pBdr/>
        <w:spacing/>
        <w:ind w:firstLine="708" w:left="4956"/>
        <w:jc w:val="both"/>
        <w:rPr>
          <w:rFonts w:ascii="Times New Roman CYR" w:hAnsi="Times New Roman CYR"/>
          <w:sz w:val="28"/>
          <w:szCs w:val="28"/>
          <w:highlight w:val="none"/>
        </w:rPr>
      </w:pPr>
      <w:r>
        <w:rPr>
          <w:rFonts w:ascii="Times New Roman CYR" w:hAnsi="Times New Roman CYR"/>
          <w:bCs/>
          <w:sz w:val="28"/>
          <w:szCs w:val="28"/>
          <w:highlight w:val="none"/>
        </w:rPr>
      </w:r>
      <w:r>
        <w:rPr>
          <w:rFonts w:ascii="Times New Roman CYR" w:hAnsi="Times New Roman CYR"/>
          <w:bCs/>
          <w:sz w:val="28"/>
          <w:szCs w:val="28"/>
          <w:highlight w:val="none"/>
        </w:rPr>
      </w:r>
      <w:r>
        <w:rPr>
          <w:rFonts w:ascii="Times New Roman CYR" w:hAnsi="Times New Roman CYR"/>
          <w:sz w:val="28"/>
          <w:szCs w:val="28"/>
          <w:highlight w:val="none"/>
        </w:rPr>
      </w:r>
    </w:p>
    <w:p w14:paraId="39A79C41">
      <w:pPr>
        <w:pBdr/>
        <w:spacing/>
        <w:ind w:firstLine="708" w:left="4956"/>
        <w:jc w:val="both"/>
        <w:rPr>
          <w:rFonts w:ascii="Times New Roman CYR" w:hAnsi="Times New Roman CYR"/>
          <w:sz w:val="28"/>
          <w:szCs w:val="28"/>
          <w:highlight w:val="none"/>
        </w:rPr>
      </w:pPr>
      <w:r>
        <w:rPr>
          <w:rFonts w:ascii="Times New Roman CYR" w:hAnsi="Times New Roman CYR"/>
          <w:bCs/>
          <w:sz w:val="28"/>
          <w:szCs w:val="28"/>
        </w:rPr>
      </w:r>
      <w:r>
        <w:rPr>
          <w:rFonts w:ascii="Times New Roman CYR" w:hAnsi="Times New Roman CYR"/>
          <w:bCs/>
          <w:sz w:val="28"/>
          <w:szCs w:val="28"/>
          <w:u w:val="single"/>
        </w:rPr>
        <w:tab/>
      </w:r>
      <w:r>
        <w:rPr>
          <w:rFonts w:ascii="Times New Roman CYR" w:hAnsi="Times New Roman CYR"/>
          <w:bCs/>
          <w:sz w:val="28"/>
          <w:szCs w:val="28"/>
          <w:u w:val="single"/>
        </w:rPr>
        <w:tab/>
      </w:r>
      <w:r>
        <w:rPr>
          <w:rFonts w:ascii="Times New Roman CYR" w:hAnsi="Times New Roman CYR"/>
          <w:bCs/>
          <w:sz w:val="28"/>
          <w:szCs w:val="28"/>
        </w:rPr>
        <w:t xml:space="preserve"> </w:t>
      </w:r>
      <w:r>
        <w:rPr>
          <w:rFonts w:ascii="Times New Roman CYR" w:hAnsi="Times New Roman CYR"/>
          <w:bCs/>
          <w:sz w:val="28"/>
          <w:szCs w:val="28"/>
        </w:rPr>
        <w:t xml:space="preserve">/</w:t>
      </w:r>
      <w:r>
        <w:rPr>
          <w:rFonts w:ascii="Times New Roman CYR" w:hAnsi="Times New Roman CYR"/>
          <w:bCs/>
          <w:sz w:val="28"/>
          <w:szCs w:val="28"/>
          <w:highlight w:val="none"/>
        </w:rPr>
        <w:t xml:space="preserve">О</w:t>
      </w:r>
      <w:r>
        <w:rPr>
          <w:rFonts w:ascii="Times New Roman CYR" w:hAnsi="Times New Roman CYR"/>
          <w:bCs/>
          <w:sz w:val="28"/>
          <w:szCs w:val="28"/>
          <w:highlight w:val="white"/>
        </w:rPr>
        <w:t xml:space="preserve">.Н. </w:t>
      </w:r>
      <w:r>
        <w:rPr>
          <w:rFonts w:ascii="Times New Roman CYR" w:hAnsi="Times New Roman CYR"/>
          <w:bCs/>
          <w:sz w:val="28"/>
          <w:szCs w:val="28"/>
        </w:rPr>
        <w:t xml:space="preserve">Густун/</w:t>
      </w:r>
      <w:r>
        <w:rPr>
          <w:rFonts w:ascii="Times New Roman CYR" w:hAnsi="Times New Roman CYR"/>
          <w:sz w:val="28"/>
          <w:szCs w:val="28"/>
          <w:highlight w:val="none"/>
        </w:rPr>
      </w:r>
    </w:p>
    <w:p>
      <w:pPr>
        <w:pBdr/>
        <w:spacing/>
        <w:ind w:firstLine="6096"/>
        <w:jc w:val="both"/>
        <w:rPr>
          <w:rFonts w:ascii="Times New Roman CYR" w:hAnsi="Times New Roman CYR"/>
          <w:bCs/>
          <w:sz w:val="20"/>
          <w:szCs w:val="20"/>
        </w:rPr>
      </w:pPr>
      <w:r>
        <w:rPr>
          <w:rFonts w:ascii="Times New Roman CYR" w:hAnsi="Times New Roman CYR"/>
          <w:bCs/>
          <w:sz w:val="20"/>
          <w:szCs w:val="20"/>
        </w:rPr>
        <w:t xml:space="preserve">(под</w:t>
      </w:r>
      <w:r>
        <w:rPr>
          <w:rFonts w:ascii="Times New Roman CYR" w:hAnsi="Times New Roman CYR"/>
          <w:bCs/>
          <w:sz w:val="20"/>
          <w:szCs w:val="20"/>
        </w:rPr>
        <w:t xml:space="preserve">пись)</w:t>
      </w:r>
      <w:r>
        <w:rPr>
          <w:rFonts w:ascii="Times New Roman CYR" w:hAnsi="Times New Roman CYR"/>
          <w:bCs/>
          <w:sz w:val="20"/>
          <w:szCs w:val="20"/>
        </w:rPr>
        <w:tab/>
      </w:r>
      <w:r>
        <w:rPr>
          <w:rFonts w:ascii="Times New Roman CYR" w:hAnsi="Times New Roman CYR"/>
          <w:bCs/>
          <w:sz w:val="20"/>
          <w:szCs w:val="20"/>
        </w:rPr>
        <w:t xml:space="preserve"> </w:t>
      </w:r>
      <w:r>
        <w:rPr>
          <w:rFonts w:ascii="Times New Roman CYR" w:hAnsi="Times New Roman CYR"/>
          <w:bCs/>
          <w:sz w:val="20"/>
          <w:szCs w:val="20"/>
        </w:rPr>
      </w:r>
      <w:r>
        <w:rPr>
          <w:rFonts w:ascii="Times New Roman CYR" w:hAnsi="Times New Roman CYR"/>
          <w:bCs/>
          <w:sz w:val="20"/>
          <w:szCs w:val="20"/>
        </w:rPr>
      </w:r>
    </w:p>
    <w:p>
      <w:pPr>
        <w:pBdr/>
        <w:spacing/>
        <w:ind w:firstLine="540"/>
        <w:jc w:val="both"/>
        <w:rPr>
          <w:rFonts w:ascii="Times New Roman CYR" w:hAnsi="Times New Roman CYR"/>
          <w:bCs/>
        </w:rPr>
      </w:pP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  <w:r>
        <w:rPr>
          <w:rFonts w:ascii="Times New Roman CYR" w:hAnsi="Times New Roman CYR"/>
          <w:bCs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 CYR">
    <w:panose1 w:val="02020603050405020304"/>
  </w:font>
  <w:font w:name="Arial">
    <w:panose1 w:val="020B0604020202020204"/>
  </w:font>
  <w:font w:name="SimSun">
    <w:panose1 w:val="0200060300000000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7"/>
    <w:next w:val="887"/>
    <w:link w:val="8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8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8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8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8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8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8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8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  <w:rPr>
      <w:sz w:val="24"/>
      <w:szCs w:val="24"/>
      <w:lang w:eastAsia="zh-CN"/>
    </w:r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rmal (Web)"/>
    <w:basedOn w:val="887"/>
    <w:pPr>
      <w:pBdr/>
      <w:spacing w:after="100" w:afterAutospacing="1" w:before="100" w:beforeAutospacing="1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Home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Рецензия</dc:title>
  <dc:creator>aplet</dc:creator>
  <cp:revision>5</cp:revision>
  <dcterms:created xsi:type="dcterms:W3CDTF">2020-05-14T15:29:00Z</dcterms:created>
  <dcterms:modified xsi:type="dcterms:W3CDTF">2026-06-06T08:00:14Z</dcterms:modified>
</cp:coreProperties>
</file>