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93"/>
        <w:pBdr/>
        <w:spacing w:line="360" w:lineRule="auto"/>
        <w:ind/>
        <w:rPr>
          <w:sz w:val="24"/>
          <w:szCs w:val="24"/>
        </w:rPr>
      </w:pPr>
      <w:r>
        <w:rPr>
          <w:sz w:val="24"/>
          <w:szCs w:val="24"/>
        </w:rPr>
        <w:t xml:space="preserve">Министерство науки и высшего образования Российской Федерации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895"/>
        <w:pBdr/>
        <w:spacing w:after="0" w:before="0" w:line="360" w:lineRule="auto"/>
        <w:ind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Федеральное государственное автономное образовательное учреждение высшего образования</w:t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  <w:t xml:space="preserve"> «Национальный исследовательский ядерный университет «МИФИ»</w:t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rFonts w:eastAsia="Times New Roman"/>
          <w:b/>
          <w:lang w:eastAsia="ru-RU"/>
        </w:rPr>
      </w:pPr>
      <w:r>
        <w:rPr>
          <w:rFonts w:eastAsia="Times New Roman"/>
          <w:b/>
          <w:lang w:eastAsia="ru-RU"/>
        </w:rPr>
        <w:t xml:space="preserve">Институт интеллектуальных кибернетических систем</w:t>
      </w:r>
      <w:r>
        <w:rPr>
          <w:rFonts w:eastAsia="Times New Roman"/>
          <w:b/>
          <w:lang w:eastAsia="ru-RU"/>
        </w:rPr>
      </w:r>
      <w:r>
        <w:rPr>
          <w:rFonts w:eastAsia="Times New Roman"/>
          <w:b/>
          <w:lang w:eastAsia="ru-RU"/>
        </w:rPr>
      </w:r>
    </w:p>
    <w:p>
      <w:pPr>
        <w:pBdr/>
        <w:spacing w:line="360" w:lineRule="auto"/>
        <w:ind/>
        <w:jc w:val="center"/>
        <w:rPr>
          <w:bCs/>
        </w:rPr>
      </w:pPr>
      <w:r>
        <w:rPr>
          <w:b/>
        </w:rPr>
        <w:t xml:space="preserve">Кафедра кибернетики (№ 22)</w:t>
      </w:r>
      <w:r>
        <w:rPr>
          <w:bCs/>
        </w:rPr>
      </w:r>
      <w:r>
        <w:rPr>
          <w:bCs/>
        </w:rPr>
      </w:r>
    </w:p>
    <w:p>
      <w:pPr>
        <w:pBdr/>
        <w:spacing w:line="360" w:lineRule="auto"/>
        <w:ind/>
        <w:jc w:val="both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Style w:val="886"/>
        <w:pBdr/>
        <w:spacing w:line="360" w:lineRule="auto"/>
        <w:ind/>
        <w:rPr/>
      </w:pPr>
      <w:r>
        <w:rPr>
          <w:szCs w:val="24"/>
        </w:rPr>
        <w:t xml:space="preserve">Отзыв научного руководителя</w:t>
      </w:r>
      <w:r>
        <w:t xml:space="preserve"> </w:t>
      </w:r>
      <w:r/>
    </w:p>
    <w:p>
      <w:pPr>
        <w:pStyle w:val="886"/>
        <w:pBdr/>
        <w:spacing w:line="360" w:lineRule="auto"/>
        <w:ind/>
        <w:rPr>
          <w:szCs w:val="24"/>
        </w:rPr>
      </w:pPr>
      <w:r>
        <w:t xml:space="preserve">на выпускную квалификационную работу  студента</w:t>
      </w:r>
      <w:r>
        <w:rPr>
          <w:bCs/>
        </w:rPr>
        <w:t xml:space="preserve"> </w:t>
      </w:r>
      <w:r>
        <w:rPr>
          <w:bCs/>
          <w:u w:val="single"/>
        </w:rPr>
        <w:t xml:space="preserve">очной</w:t>
      </w:r>
      <w:r>
        <w:t xml:space="preserve"> формы обучения</w:t>
      </w:r>
      <w:r>
        <w:rPr>
          <w:szCs w:val="24"/>
        </w:rPr>
      </w:r>
      <w:r>
        <w:rPr>
          <w:szCs w:val="24"/>
        </w:rPr>
      </w:r>
    </w:p>
    <w:p>
      <w:pPr>
        <w:pBdr/>
        <w:spacing/>
        <w:ind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  <w:r>
        <w:rPr>
          <w:lang w:eastAsia="ru-RU"/>
        </w:rPr>
      </w:r>
    </w:p>
    <w:tbl>
      <w:tblPr>
        <w:tblStyle w:val="898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503"/>
        <w:gridCol w:w="5068"/>
      </w:tblGrid>
      <w:tr>
        <w:trPr/>
        <w:tc>
          <w:tcPr>
            <w:tcBorders/>
            <w:tcW w:w="4503" w:type="dxa"/>
          </w:tcPr>
          <w:p>
            <w:pPr>
              <w:pBdr/>
              <w:spacing/>
              <w:ind/>
              <w:rPr>
                <w:b/>
                <w:lang w:eastAsia="ru-RU"/>
              </w:rPr>
            </w:pPr>
            <w:r>
              <w:rPr>
                <w:b/>
                <w:lang w:eastAsia="ru-RU"/>
              </w:rPr>
              <w:t xml:space="preserve">ФИО студента</w:t>
            </w:r>
            <w:r>
              <w:rPr>
                <w:b/>
                <w:lang w:eastAsia="ru-RU"/>
              </w:rPr>
              <w:t xml:space="preserve">:</w:t>
            </w:r>
            <w:r>
              <w:rPr>
                <w:b/>
                <w:lang w:eastAsia="ru-RU"/>
              </w:rPr>
            </w:r>
            <w:r>
              <w:rPr>
                <w:b/>
                <w:lang w:eastAsia="ru-RU"/>
              </w:rPr>
            </w:r>
          </w:p>
        </w:tc>
        <w:tc>
          <w:tcPr>
            <w:tcBorders/>
            <w:tcW w:w="5068" w:type="dxa"/>
          </w:tcPr>
          <w:p>
            <w:pPr>
              <w:pBdr/>
              <w:spacing/>
              <w:ind/>
              <w:rPr>
                <w:b/>
                <w:lang w:eastAsia="ru-RU"/>
              </w:rPr>
            </w:pPr>
            <w:r>
              <w:rPr>
                <w:b/>
                <w:bCs/>
              </w:rPr>
              <w:t xml:space="preserve">Косенко Никита Игоревич</w:t>
            </w:r>
            <w:r>
              <w:rPr>
                <w:b/>
                <w:lang w:eastAsia="ru-RU"/>
              </w:rPr>
            </w:r>
            <w:r>
              <w:rPr>
                <w:b/>
                <w:lang w:eastAsia="ru-RU"/>
              </w:rPr>
            </w:r>
          </w:p>
        </w:tc>
      </w:tr>
      <w:tr>
        <w:trPr/>
        <w:tc>
          <w:tcPr>
            <w:tcBorders/>
            <w:tcW w:w="4503" w:type="dxa"/>
            <w:vAlign w:val="bottom"/>
          </w:tcPr>
          <w:p>
            <w:pPr>
              <w:pBdr/>
              <w:spacing w:before="200"/>
              <w:ind/>
              <w:rPr>
                <w:b/>
              </w:rPr>
            </w:pPr>
            <w:r>
              <w:rPr>
                <w:b/>
              </w:rPr>
              <w:t xml:space="preserve">Руководитель выпускной</w:t>
            </w:r>
            <w:r>
              <w:rPr>
                <w:b/>
              </w:rPr>
            </w:r>
            <w:r>
              <w:rPr>
                <w:b/>
              </w:rPr>
            </w:r>
          </w:p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</w:rPr>
              <w:t xml:space="preserve">квалификационной работы</w:t>
            </w:r>
            <w:r>
              <w:rPr>
                <w:b/>
              </w:rPr>
              <w:t xml:space="preserve">: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5068" w:type="dxa"/>
            <w:vAlign w:val="bottom"/>
          </w:tcPr>
          <w:p>
            <w:pPr>
              <w:pBdr/>
              <w:spacing/>
              <w:ind/>
              <w:rPr>
                <w:lang w:eastAsia="ru-RU"/>
              </w:rPr>
            </w:pPr>
            <w:r>
              <w:rPr>
                <w:b/>
                <w:bCs/>
              </w:rPr>
              <w:t xml:space="preserve">Климов Валентин Вячеславович</w:t>
            </w:r>
            <w:r>
              <w:rPr>
                <w:b/>
                <w:bCs/>
              </w:rPr>
              <w:t xml:space="preserve">,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к.т.н., доцент</w:t>
            </w:r>
            <w:r>
              <w:rPr>
                <w:b/>
                <w:bCs/>
              </w:rPr>
              <w:t xml:space="preserve"> кафедры </w:t>
            </w:r>
            <w:r>
              <w:rPr>
                <w:b/>
                <w:bCs/>
              </w:rPr>
              <w:t xml:space="preserve">«Кибернетика»</w:t>
            </w:r>
            <w:r>
              <w:rPr>
                <w:lang w:eastAsia="ru-RU"/>
              </w:rPr>
            </w:r>
            <w:r>
              <w:rPr>
                <w:lang w:eastAsia="ru-RU"/>
              </w:rPr>
            </w:r>
          </w:p>
        </w:tc>
      </w:tr>
    </w:tbl>
    <w:p>
      <w:pPr>
        <w:pBdr/>
        <w:spacing/>
        <w:ind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  <w:r>
        <w:rPr>
          <w:lang w:eastAsia="ru-RU"/>
        </w:rPr>
      </w:r>
    </w:p>
    <w:p>
      <w:pPr>
        <w:pBdr/>
        <w:spacing w:line="360" w:lineRule="auto"/>
        <w:ind/>
        <w:jc w:val="center"/>
        <w:rPr>
          <w:b/>
          <w:u w:val="single"/>
        </w:rPr>
      </w:pPr>
      <w:r>
        <w:rPr>
          <w:b/>
        </w:rPr>
        <w:t xml:space="preserve">Тема выпускной квалификационной работы: </w:t>
      </w:r>
      <w:r>
        <w:rPr>
          <w:b/>
        </w:rPr>
        <w:t xml:space="preserve">«</w:t>
      </w:r>
      <w:r>
        <w:rPr>
          <w:b/>
        </w:rPr>
        <w:t xml:space="preserve">Разработка оптимизированного табличного метода доступа для СУБД PostgreSQL</w:t>
      </w:r>
      <w:r>
        <w:rPr>
          <w:b/>
        </w:rPr>
        <w:t xml:space="preserve">»</w:t>
      </w:r>
      <w:r>
        <w:rPr>
          <w:b/>
          <w:u w:val="single"/>
        </w:rPr>
      </w:r>
      <w:r>
        <w:rPr>
          <w:b/>
          <w:u w:val="single"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124D6310">
      <w:pPr>
        <w:pBdr/>
        <w:spacing w:line="360" w:lineRule="auto"/>
        <w:ind w:firstLine="708"/>
        <w:jc w:val="both"/>
        <w:rPr/>
      </w:pPr>
      <w:r>
        <w:rPr>
          <w:color w:val="000000"/>
          <w:shd w:val="clear" w:color="auto" w:fill="ffffff"/>
        </w:rPr>
        <w:t xml:space="preserve">С</w:t>
      </w:r>
      <w:r>
        <w:rPr>
          <w:color w:val="000000"/>
          <w:shd w:val="clear" w:color="auto" w:fill="ffffff"/>
        </w:rPr>
        <w:t xml:space="preserve">овременные информационные системы обрабатывают большие данных, что предъявляет повышенные требования к производительности систем управления базами данных. Одной из наиболее распространённых реляционных СУБД является PostgreSQL, которая активно используется</w:t>
      </w:r>
      <w:r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 xml:space="preserve">в корпоративных приложениях, аналитических системах и веб-сервисах благодаря своей надёжности, расширяемости и поддержке сложных механизмов обработки данных. Работа Косенко Н.И. заключается в реализации расширения для СУБД PostgreSQL, которое позволит уско</w:t>
      </w:r>
      <w:r>
        <w:rPr>
          <w:color w:val="000000"/>
          <w:shd w:val="clear" w:color="auto" w:fill="ffffff"/>
        </w:rPr>
        <w:t xml:space="preserve">рить выполнение запросов за счет отличного от классического Postgres способа физического расположения данных в файловой системе хост-машины.</w:t>
      </w:r>
      <w:r>
        <w:rPr>
          <w:color w:val="000000"/>
          <w:shd w:val="clear" w:color="auto" w:fill="ffffff"/>
        </w:rPr>
      </w:r>
      <w:r/>
    </w:p>
    <w:p w14:paraId="17519864">
      <w:pPr>
        <w:pBdr/>
        <w:spacing w:line="360" w:lineRule="auto"/>
        <w:ind w:firstLine="708"/>
        <w:jc w:val="both"/>
        <w:rPr/>
      </w:pPr>
      <w:r>
        <w:rPr>
          <w:color w:val="000000"/>
          <w:shd w:val="clear" w:color="auto" w:fill="ffffff"/>
        </w:rPr>
        <w:t xml:space="preserve">В первой главе проводится исследование механизмов работы СУБД PostgreSQL на предмет особенностей, </w:t>
      </w:r>
      <w:r>
        <w:rPr>
          <w:color w:val="000000"/>
          <w:shd w:val="clear" w:color="auto" w:fill="ffffff"/>
        </w:rPr>
        <w:t xml:space="preserve">порождающих замедление исполнения запросов</w:t>
      </w:r>
      <w:r>
        <w:rPr>
          <w:color w:val="000000"/>
          <w:shd w:val="clear" w:color="auto" w:fill="ffffff"/>
        </w:rPr>
        <w:t xml:space="preserve">. Проводится исследование решений проблемы и сравнение существующих инструментальных средств для их реализации.</w:t>
      </w:r>
      <w:r>
        <w:rPr>
          <w:color w:val="000000"/>
          <w:shd w:val="clear" w:color="auto" w:fill="ffffff"/>
        </w:rPr>
      </w:r>
      <w:r/>
    </w:p>
    <w:p w14:paraId="32FAB857">
      <w:pPr>
        <w:pBdr/>
        <w:spacing w:line="360" w:lineRule="auto"/>
        <w:ind w:firstLine="708"/>
        <w:jc w:val="both"/>
        <w:rPr/>
      </w:pPr>
      <w:r>
        <w:rPr>
          <w:color w:val="000000"/>
          <w:shd w:val="clear" w:color="auto" w:fill="ffffff"/>
        </w:rPr>
        <w:t xml:space="preserve">Вторая глава посвящена описанию альтернативного способа реализации механизма обеспечения многоверсионности кортежей таблиц для СУБД PostgreSQL. Также она содержит описание процесса восстановления при сбое сервера.</w:t>
      </w:r>
      <w:r>
        <w:rPr>
          <w:color w:val="000000"/>
          <w:shd w:val="clear" w:color="auto" w:fill="ffffff"/>
        </w:rPr>
      </w:r>
      <w:r/>
    </w:p>
    <w:p w14:paraId="4D2F7CD1">
      <w:pPr>
        <w:pBdr/>
        <w:spacing w:line="360" w:lineRule="auto"/>
        <w:ind w:firstLine="708"/>
        <w:jc w:val="both"/>
        <w:rPr/>
      </w:pPr>
      <w:r>
        <w:rPr>
          <w:color w:val="000000"/>
          <w:shd w:val="clear" w:color="auto" w:fill="ffffff"/>
        </w:rPr>
        <w:t xml:space="preserve">Третья глава содержит описание архитектуры расширения. В ней описывается модульная структура проекта, основные функции, используемые при работе метода доступа. Также приводится описание процесса интеграции расширения с кластером СУБД</w:t>
      </w:r>
      <w:r>
        <w:rPr>
          <w:color w:val="000000"/>
          <w:shd w:val="clear" w:color="auto" w:fill="ffffff"/>
        </w:rPr>
        <w:t xml:space="preserve">.</w:t>
      </w:r>
      <w:r>
        <w:rPr>
          <w:color w:val="000000"/>
          <w:shd w:val="clear" w:color="auto" w:fill="ffffff"/>
        </w:rPr>
      </w:r>
      <w:r/>
    </w:p>
    <w:p w14:paraId="1E9A767B">
      <w:pPr>
        <w:pBdr/>
        <w:spacing w:line="360" w:lineRule="auto"/>
        <w:ind w:firstLine="708"/>
        <w:jc w:val="both"/>
        <w:rPr>
          <w:color w:val="000000"/>
        </w:rPr>
      </w:pPr>
      <w:r>
        <w:rPr>
          <w:color w:val="000000"/>
          <w:shd w:val="clear" w:color="auto" w:fill="ffffff"/>
        </w:rPr>
        <w:t xml:space="preserve">В четвертой главе описывается программная реализация разработанной библиотеки-расширения, приводятся результаты ее использования и нагрузочного тестирования, на основании ко</w:t>
      </w:r>
      <w:r>
        <w:rPr>
          <w:color w:val="000000"/>
          <w:shd w:val="clear" w:color="auto" w:fill="ffffff"/>
        </w:rPr>
        <w:t xml:space="preserve">торого делаются выводы о полученном приросте производительности</w:t>
      </w:r>
      <w:r>
        <w:rPr>
          <w:color w:val="000000"/>
          <w:shd w:val="clear" w:color="auto" w:fill="ffffff"/>
        </w:rPr>
        <w:t xml:space="preserve">.</w:t>
      </w:r>
      <w:r>
        <w:rPr>
          <w:color w:val="000000"/>
        </w:rPr>
      </w:r>
      <w:r>
        <w:rPr>
          <w:color w:val="000000"/>
        </w:rPr>
      </w:r>
    </w:p>
    <w:p w14:paraId="7BA0CD1D">
      <w:pPr>
        <w:pBdr/>
        <w:spacing w:line="360" w:lineRule="auto"/>
        <w:ind w:firstLine="708"/>
        <w:jc w:val="both"/>
        <w:rPr>
          <w:color w:val="000000"/>
        </w:rPr>
      </w:pPr>
      <w:r>
        <w:rPr>
          <w:color w:val="000000"/>
          <w:shd w:val="clear" w:color="auto" w:fill="ffffff"/>
        </w:rPr>
        <w:t xml:space="preserve">Преимуществом работы можно считать то, что в результате реализации нового табличного метода доступа к данным Косенко Н.И получил </w:t>
      </w:r>
      <w:r>
        <w:rPr>
          <w:color w:val="000000"/>
          <w:shd w:val="clear" w:color="auto" w:fill="ffffff"/>
        </w:rPr>
        <w:t xml:space="preserve">легко интегрируемый и собираемый программный модуль, дающий повышение производительности запросов в сравнении с классическим вариантом расположения данных в PostgreSQL.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 w:line="360" w:lineRule="auto"/>
        <w:ind w:firstLine="708"/>
        <w:jc w:val="both"/>
        <w:rPr>
          <w:color w:val="000000"/>
        </w:rPr>
      </w:pPr>
      <w:r>
        <w:rPr>
          <w:color w:val="000000"/>
          <w:shd w:val="clear" w:color="auto" w:fill="ffffff"/>
        </w:rPr>
        <w:t xml:space="preserve">В</w:t>
      </w:r>
      <w:r>
        <w:rPr>
          <w:color w:val="000000"/>
          <w:shd w:val="clear" w:color="auto" w:fill="ffffff"/>
        </w:rPr>
        <w:t xml:space="preserve"> качестве недостатков  работы следует отметить отсутствие реализации работы метода доступа с механизмами репликации и неполную реализацию свойства изолированности транзакций. Однако данные недостатки не снижают высокого уровня проделанной работы.</w:t>
      </w:r>
      <w:r>
        <w:rPr>
          <w:color w:val="000000"/>
        </w:rPr>
      </w:r>
      <w:r>
        <w:rPr>
          <w:color w:val="000000"/>
        </w:rPr>
      </w:r>
    </w:p>
    <w:p w14:paraId="317BEAA1">
      <w:pPr>
        <w:pBdr/>
        <w:spacing w:line="360" w:lineRule="auto"/>
        <w:ind w:firstLine="708"/>
        <w:jc w:val="both"/>
        <w:rPr>
          <w:color w:val="000000" w:themeColor="text1"/>
        </w:rPr>
      </w:pPr>
      <w:r>
        <w:rPr>
          <w:color w:val="000000"/>
          <w:shd w:val="clear" w:color="auto" w:fill="ffffff"/>
        </w:rPr>
        <w:t xml:space="preserve">ВЫВОД: </w:t>
      </w:r>
      <w:r>
        <w:rPr>
          <w:color w:val="000000" w:themeColor="text1"/>
        </w:rPr>
        <w:t xml:space="preserve">«Выпускная кв</w:t>
      </w:r>
      <w:r>
        <w:rPr>
          <w:color w:val="000000" w:themeColor="text1"/>
        </w:rPr>
        <w:t xml:space="preserve">алификационная работа полностью </w:t>
      </w:r>
      <w:r>
        <w:rPr>
          <w:color w:val="000000" w:themeColor="text1"/>
        </w:rPr>
        <w:t xml:space="preserve">отвечает предъявляемым требованиям и заслуживает оценки </w:t>
      </w:r>
      <w:r>
        <w:rPr>
          <w:color w:val="000000" w:themeColor="text1"/>
          <w:highlight w:val="none"/>
        </w:rPr>
        <w:t xml:space="preserve">«</w:t>
      </w:r>
      <w:r>
        <w:rPr>
          <w:color w:val="000000" w:themeColor="text1"/>
          <w:highlight w:val="white"/>
        </w:rPr>
        <w:t xml:space="preserve">отлично» (А, 9</w:t>
      </w:r>
      <w:r>
        <w:rPr>
          <w:color w:val="000000" w:themeColor="text1"/>
          <w:highlight w:val="white"/>
        </w:rPr>
        <w:t xml:space="preserve">3)</w:t>
      </w:r>
      <w:r>
        <w:rPr>
          <w:color w:val="000000" w:themeColor="text1"/>
          <w:highlight w:val="white"/>
        </w:rPr>
        <w:t xml:space="preserve">,</w:t>
      </w:r>
      <w:r>
        <w:rPr>
          <w:color w:val="000000" w:themeColor="text1"/>
        </w:rPr>
        <w:t xml:space="preserve"> а студент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  <w:t xml:space="preserve">Косенко Никита Игоревич </w:t>
      </w:r>
      <w:r>
        <w:rPr>
          <w:color w:val="000000" w:themeColor="text1"/>
        </w:rPr>
        <w:t xml:space="preserve">заслуживает </w:t>
      </w:r>
      <w:r>
        <w:rPr>
          <w:color w:val="000000" w:themeColor="text1"/>
        </w:rPr>
        <w:t xml:space="preserve">присвоения квалификации "</w:t>
      </w:r>
      <w:r>
        <w:rPr>
          <w:color w:val="000000" w:themeColor="text1"/>
        </w:rPr>
        <w:t xml:space="preserve">магистр" по направлению подготовки </w:t>
      </w:r>
      <w:r>
        <w:rPr>
          <w:color w:val="000000" w:themeColor="text1"/>
          <w:highlight w:val="white"/>
        </w:rPr>
        <w:t xml:space="preserve">09.04.04</w:t>
      </w:r>
      <w:r>
        <w:rPr>
          <w:color w:val="000000" w:themeColor="text1"/>
        </w:rPr>
        <w:t xml:space="preserve"> — «</w:t>
      </w:r>
      <w:r>
        <w:rPr>
          <w:color w:val="000000" w:themeColor="text1"/>
          <w:highlight w:val="white"/>
        </w:rPr>
        <w:t xml:space="preserve">программная инженерия</w:t>
      </w:r>
      <w:r>
        <w:rPr>
          <w:color w:val="000000" w:themeColor="text1"/>
        </w:rPr>
        <w:t xml:space="preserve">».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360" w:lineRule="auto"/>
        <w:ind/>
        <w:jc w:val="both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Bdr/>
        <w:spacing w:line="360" w:lineRule="auto"/>
        <w:ind/>
        <w:jc w:val="both"/>
        <w:rPr>
          <w:bCs/>
        </w:rPr>
      </w:pPr>
      <w:r>
        <w:rPr>
          <w:bCs/>
        </w:rPr>
        <w:t xml:space="preserve">Научный руководитель,</w:t>
      </w:r>
      <w:r>
        <w:rPr>
          <w:bCs/>
        </w:rPr>
      </w:r>
      <w:r>
        <w:rPr>
          <w:bCs/>
        </w:rPr>
      </w:r>
    </w:p>
    <w:p>
      <w:pPr>
        <w:pBdr/>
        <w:spacing w:line="360" w:lineRule="auto"/>
        <w:ind/>
        <w:jc w:val="both"/>
        <w:rPr>
          <w:bCs/>
        </w:rPr>
      </w:pPr>
      <w:r>
        <w:rPr>
          <w:bCs/>
        </w:rPr>
        <w:t xml:space="preserve">к</w:t>
      </w:r>
      <w:r>
        <w:rPr>
          <w:bCs/>
        </w:rPr>
        <w:t xml:space="preserve">.т.н., </w:t>
      </w:r>
      <w:r>
        <w:rPr>
          <w:bCs/>
        </w:rPr>
        <w:t xml:space="preserve">доцент </w:t>
      </w:r>
      <w:r>
        <w:rPr>
          <w:bCs/>
        </w:rPr>
        <w:t xml:space="preserve">кафедры </w:t>
      </w:r>
      <w:r>
        <w:rPr>
          <w:bCs/>
        </w:rPr>
        <w:t xml:space="preserve">«</w:t>
      </w:r>
      <w:r>
        <w:rPr>
          <w:bCs/>
        </w:rPr>
        <w:t xml:space="preserve">Кибернетика</w:t>
      </w:r>
      <w:r>
        <w:rPr>
          <w:bCs/>
        </w:rPr>
        <w:t xml:space="preserve">»</w:t>
      </w:r>
      <w:r>
        <w:rPr>
          <w:bCs/>
        </w:rPr>
      </w:r>
      <w:r>
        <w:rPr>
          <w:bCs/>
        </w:rPr>
      </w:r>
    </w:p>
    <w:p>
      <w:pPr>
        <w:pBdr/>
        <w:spacing w:line="360" w:lineRule="auto"/>
        <w:ind/>
        <w:jc w:val="both"/>
        <w:rPr>
          <w:bCs/>
        </w:rPr>
      </w:pPr>
      <w:r>
        <w:rPr>
          <w:bCs/>
        </w:rPr>
        <w:t xml:space="preserve">НИЯУ </w:t>
      </w:r>
      <w:r>
        <w:rPr>
          <w:bCs/>
        </w:rPr>
        <w:t xml:space="preserve">«</w:t>
      </w:r>
      <w:r>
        <w:rPr>
          <w:bCs/>
        </w:rPr>
        <w:t xml:space="preserve">МИФИ</w:t>
      </w:r>
      <w:r>
        <w:rPr>
          <w:bCs/>
        </w:rPr>
        <w:t xml:space="preserve">»</w:t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</w:rPr>
        <w:t xml:space="preserve">               </w:t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bookmarkStart w:id="0" w:name="_GoBack"/>
      <w:r/>
      <w:bookmarkEnd w:id="0"/>
      <w:r>
        <w:rPr>
          <w:bCs/>
        </w:rPr>
        <w:t xml:space="preserve">В.В. Климов </w:t>
      </w:r>
      <w:r>
        <w:rPr>
          <w:bCs/>
        </w:rPr>
      </w:r>
      <w:r>
        <w:rPr>
          <w:bCs/>
        </w:rPr>
      </w:r>
    </w:p>
    <w:sectPr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</w:font>
  <w:font w:name="Arial">
    <w:panose1 w:val="020B0604020202020204"/>
  </w:font>
  <w:font w:name="SimSun">
    <w:panose1 w:val="02000603000000000000"/>
  </w:font>
  <w:font w:name="Times New Roman">
    <w:panose1 w:val="02020603050405020304"/>
  </w:font>
  <w:font w:name="Calibri">
    <w:panose1 w:val="020F0502020204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9EF0D81"/>
    <w:lvl w:ilvl="0">
      <w:isLgl w:val="false"/>
      <w:lvlJc w:val="left"/>
      <w:lvlText w:val="%1."/>
      <w:numFmt w:val="decimal"/>
      <w:pPr>
        <w:pBdr/>
        <w:spacing/>
        <w:ind w:hanging="360" w:left="12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9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5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2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 Light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1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2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1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2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3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4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5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6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1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2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3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4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5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6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1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2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3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4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5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6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8">
    <w:name w:val="Heading 3"/>
    <w:basedOn w:val="884"/>
    <w:next w:val="884"/>
    <w:link w:val="83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29">
    <w:name w:val="Heading 4"/>
    <w:basedOn w:val="884"/>
    <w:next w:val="884"/>
    <w:link w:val="83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0">
    <w:name w:val="Heading 5"/>
    <w:basedOn w:val="884"/>
    <w:next w:val="884"/>
    <w:link w:val="83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1">
    <w:name w:val="Heading 6"/>
    <w:basedOn w:val="884"/>
    <w:next w:val="884"/>
    <w:link w:val="84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2">
    <w:name w:val="Heading 7"/>
    <w:basedOn w:val="884"/>
    <w:next w:val="884"/>
    <w:link w:val="84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3">
    <w:name w:val="Heading 8"/>
    <w:basedOn w:val="884"/>
    <w:next w:val="884"/>
    <w:link w:val="84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4">
    <w:name w:val="Heading 9"/>
    <w:basedOn w:val="884"/>
    <w:next w:val="884"/>
    <w:link w:val="84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5">
    <w:name w:val="Heading 1 Char"/>
    <w:basedOn w:val="887"/>
    <w:link w:val="8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6">
    <w:name w:val="Heading 2 Char"/>
    <w:basedOn w:val="887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7">
    <w:name w:val="Heading 3 Char"/>
    <w:basedOn w:val="887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8">
    <w:name w:val="Heading 4 Char"/>
    <w:basedOn w:val="887"/>
    <w:link w:val="82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9">
    <w:name w:val="Heading 5 Char"/>
    <w:basedOn w:val="887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0">
    <w:name w:val="Heading 6 Char"/>
    <w:basedOn w:val="887"/>
    <w:link w:val="83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1">
    <w:name w:val="Heading 7 Char"/>
    <w:basedOn w:val="887"/>
    <w:link w:val="83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2">
    <w:name w:val="Heading 8 Char"/>
    <w:basedOn w:val="887"/>
    <w:link w:val="8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3">
    <w:name w:val="Heading 9 Char"/>
    <w:basedOn w:val="887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4">
    <w:name w:val="Title"/>
    <w:basedOn w:val="884"/>
    <w:next w:val="884"/>
    <w:link w:val="84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5">
    <w:name w:val="Title Char"/>
    <w:basedOn w:val="887"/>
    <w:link w:val="84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6">
    <w:name w:val="Subtitle"/>
    <w:basedOn w:val="884"/>
    <w:next w:val="884"/>
    <w:link w:val="84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7">
    <w:name w:val="Subtitle Char"/>
    <w:basedOn w:val="887"/>
    <w:link w:val="84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8">
    <w:name w:val="Quote"/>
    <w:basedOn w:val="884"/>
    <w:next w:val="884"/>
    <w:link w:val="84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9">
    <w:name w:val="Quote Char"/>
    <w:basedOn w:val="887"/>
    <w:link w:val="84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0">
    <w:name w:val="Intense Emphasis"/>
    <w:basedOn w:val="88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1">
    <w:name w:val="Intense Quote"/>
    <w:basedOn w:val="884"/>
    <w:next w:val="884"/>
    <w:link w:val="85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2">
    <w:name w:val="Intense Quote Char"/>
    <w:basedOn w:val="887"/>
    <w:link w:val="85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3">
    <w:name w:val="Intense Reference"/>
    <w:basedOn w:val="88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4">
    <w:name w:val="No Spacing"/>
    <w:basedOn w:val="884"/>
    <w:uiPriority w:val="1"/>
    <w:qFormat/>
    <w:pPr>
      <w:pBdr/>
      <w:spacing w:after="0" w:line="240" w:lineRule="auto"/>
      <w:ind/>
    </w:pPr>
  </w:style>
  <w:style w:type="character" w:styleId="855">
    <w:name w:val="Subtle Emphasis"/>
    <w:basedOn w:val="88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Strong"/>
    <w:basedOn w:val="887"/>
    <w:uiPriority w:val="22"/>
    <w:qFormat/>
    <w:pPr>
      <w:pBdr/>
      <w:spacing/>
      <w:ind/>
    </w:pPr>
    <w:rPr>
      <w:b/>
      <w:bCs/>
    </w:rPr>
  </w:style>
  <w:style w:type="character" w:styleId="857">
    <w:name w:val="Subtle Reference"/>
    <w:basedOn w:val="88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8">
    <w:name w:val="Book Title"/>
    <w:basedOn w:val="88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9">
    <w:name w:val="Header"/>
    <w:basedOn w:val="884"/>
    <w:link w:val="86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0">
    <w:name w:val="Header Char"/>
    <w:basedOn w:val="887"/>
    <w:link w:val="859"/>
    <w:uiPriority w:val="99"/>
    <w:pPr>
      <w:pBdr/>
      <w:spacing/>
      <w:ind/>
    </w:pPr>
  </w:style>
  <w:style w:type="paragraph" w:styleId="861">
    <w:name w:val="Footer"/>
    <w:basedOn w:val="884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Footer Char"/>
    <w:basedOn w:val="887"/>
    <w:link w:val="861"/>
    <w:uiPriority w:val="99"/>
    <w:pPr>
      <w:pBdr/>
      <w:spacing/>
      <w:ind/>
    </w:pPr>
  </w:style>
  <w:style w:type="paragraph" w:styleId="863">
    <w:name w:val="Caption"/>
    <w:basedOn w:val="884"/>
    <w:next w:val="88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4">
    <w:name w:val="footnote text"/>
    <w:basedOn w:val="884"/>
    <w:link w:val="86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5">
    <w:name w:val="Footnote Text Char"/>
    <w:basedOn w:val="887"/>
    <w:link w:val="864"/>
    <w:uiPriority w:val="99"/>
    <w:semiHidden/>
    <w:pPr>
      <w:pBdr/>
      <w:spacing/>
      <w:ind/>
    </w:pPr>
    <w:rPr>
      <w:sz w:val="20"/>
      <w:szCs w:val="20"/>
    </w:rPr>
  </w:style>
  <w:style w:type="character" w:styleId="866">
    <w:name w:val="footnote reference"/>
    <w:basedOn w:val="887"/>
    <w:uiPriority w:val="99"/>
    <w:semiHidden/>
    <w:unhideWhenUsed/>
    <w:pPr>
      <w:pBdr/>
      <w:spacing/>
      <w:ind/>
    </w:pPr>
    <w:rPr>
      <w:vertAlign w:val="superscript"/>
    </w:rPr>
  </w:style>
  <w:style w:type="paragraph" w:styleId="867">
    <w:name w:val="endnote text"/>
    <w:basedOn w:val="884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>
    <w:name w:val="Endnote Text Char"/>
    <w:basedOn w:val="887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endnote reference"/>
    <w:basedOn w:val="887"/>
    <w:uiPriority w:val="99"/>
    <w:semiHidden/>
    <w:unhideWhenUsed/>
    <w:pPr>
      <w:pBdr/>
      <w:spacing/>
      <w:ind/>
    </w:pPr>
    <w:rPr>
      <w:vertAlign w:val="superscript"/>
    </w:rPr>
  </w:style>
  <w:style w:type="character" w:styleId="870">
    <w:name w:val="Hyperlink"/>
    <w:basedOn w:val="88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1">
    <w:name w:val="FollowedHyperlink"/>
    <w:basedOn w:val="88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2">
    <w:name w:val="toc 1"/>
    <w:basedOn w:val="884"/>
    <w:next w:val="884"/>
    <w:uiPriority w:val="39"/>
    <w:unhideWhenUsed/>
    <w:pPr>
      <w:pBdr/>
      <w:spacing w:after="100"/>
      <w:ind/>
    </w:pPr>
  </w:style>
  <w:style w:type="paragraph" w:styleId="873">
    <w:name w:val="toc 2"/>
    <w:basedOn w:val="884"/>
    <w:next w:val="884"/>
    <w:uiPriority w:val="39"/>
    <w:unhideWhenUsed/>
    <w:pPr>
      <w:pBdr/>
      <w:spacing w:after="100"/>
      <w:ind w:left="220"/>
    </w:pPr>
  </w:style>
  <w:style w:type="paragraph" w:styleId="874">
    <w:name w:val="toc 3"/>
    <w:basedOn w:val="884"/>
    <w:next w:val="884"/>
    <w:uiPriority w:val="39"/>
    <w:unhideWhenUsed/>
    <w:pPr>
      <w:pBdr/>
      <w:spacing w:after="100"/>
      <w:ind w:left="440"/>
    </w:pPr>
  </w:style>
  <w:style w:type="paragraph" w:styleId="875">
    <w:name w:val="toc 4"/>
    <w:basedOn w:val="884"/>
    <w:next w:val="884"/>
    <w:uiPriority w:val="39"/>
    <w:unhideWhenUsed/>
    <w:pPr>
      <w:pBdr/>
      <w:spacing w:after="100"/>
      <w:ind w:left="660"/>
    </w:pPr>
  </w:style>
  <w:style w:type="paragraph" w:styleId="876">
    <w:name w:val="toc 5"/>
    <w:basedOn w:val="884"/>
    <w:next w:val="884"/>
    <w:uiPriority w:val="39"/>
    <w:unhideWhenUsed/>
    <w:pPr>
      <w:pBdr/>
      <w:spacing w:after="100"/>
      <w:ind w:left="880"/>
    </w:pPr>
  </w:style>
  <w:style w:type="paragraph" w:styleId="877">
    <w:name w:val="toc 6"/>
    <w:basedOn w:val="884"/>
    <w:next w:val="884"/>
    <w:uiPriority w:val="39"/>
    <w:unhideWhenUsed/>
    <w:pPr>
      <w:pBdr/>
      <w:spacing w:after="100"/>
      <w:ind w:left="1100"/>
    </w:pPr>
  </w:style>
  <w:style w:type="paragraph" w:styleId="878">
    <w:name w:val="toc 7"/>
    <w:basedOn w:val="884"/>
    <w:next w:val="884"/>
    <w:uiPriority w:val="39"/>
    <w:unhideWhenUsed/>
    <w:pPr>
      <w:pBdr/>
      <w:spacing w:after="100"/>
      <w:ind w:left="1320"/>
    </w:pPr>
  </w:style>
  <w:style w:type="paragraph" w:styleId="879">
    <w:name w:val="toc 8"/>
    <w:basedOn w:val="884"/>
    <w:next w:val="884"/>
    <w:uiPriority w:val="39"/>
    <w:unhideWhenUsed/>
    <w:pPr>
      <w:pBdr/>
      <w:spacing w:after="100"/>
      <w:ind w:left="1540"/>
    </w:pPr>
  </w:style>
  <w:style w:type="paragraph" w:styleId="880">
    <w:name w:val="toc 9"/>
    <w:basedOn w:val="884"/>
    <w:next w:val="884"/>
    <w:uiPriority w:val="39"/>
    <w:unhideWhenUsed/>
    <w:pPr>
      <w:pBdr/>
      <w:spacing w:after="100"/>
      <w:ind w:left="1760"/>
    </w:pPr>
  </w:style>
  <w:style w:type="character" w:styleId="881">
    <w:name w:val="Placeholder Text"/>
    <w:basedOn w:val="887"/>
    <w:uiPriority w:val="99"/>
    <w:semiHidden/>
    <w:pPr>
      <w:pBdr/>
      <w:spacing/>
      <w:ind/>
    </w:pPr>
    <w:rPr>
      <w:color w:val="666666"/>
    </w:rPr>
  </w:style>
  <w:style w:type="paragraph" w:styleId="882">
    <w:name w:val="TOC Heading"/>
    <w:uiPriority w:val="39"/>
    <w:unhideWhenUsed/>
    <w:pPr>
      <w:pBdr/>
      <w:spacing/>
      <w:ind/>
    </w:pPr>
  </w:style>
  <w:style w:type="paragraph" w:styleId="883">
    <w:name w:val="table of figures"/>
    <w:basedOn w:val="884"/>
    <w:next w:val="884"/>
    <w:uiPriority w:val="99"/>
    <w:unhideWhenUsed/>
    <w:pPr>
      <w:pBdr/>
      <w:spacing w:after="0" w:afterAutospacing="0"/>
      <w:ind/>
    </w:pPr>
  </w:style>
  <w:style w:type="paragraph" w:styleId="884" w:default="1">
    <w:name w:val="Normal"/>
    <w:qFormat/>
    <w:pPr>
      <w:pBdr/>
      <w:spacing/>
      <w:ind/>
    </w:pPr>
    <w:rPr>
      <w:sz w:val="24"/>
      <w:szCs w:val="24"/>
      <w:lang w:eastAsia="zh-CN"/>
    </w:rPr>
  </w:style>
  <w:style w:type="paragraph" w:styleId="885">
    <w:name w:val="Heading 1"/>
    <w:basedOn w:val="884"/>
    <w:next w:val="884"/>
    <w:link w:val="891"/>
    <w:qFormat/>
    <w:pPr>
      <w:keepNext w:val="true"/>
      <w:pBdr/>
      <w:spacing w:after="60" w:before="240" w:line="360" w:lineRule="auto"/>
      <w:ind w:firstLine="680"/>
      <w:outlineLvl w:val="0"/>
    </w:pPr>
    <w:rPr>
      <w:rFonts w:ascii="Cambria" w:hAnsi="Cambria" w:eastAsia="Times New Roman"/>
      <w:b/>
      <w:bCs/>
      <w:sz w:val="32"/>
      <w:szCs w:val="32"/>
      <w:lang w:eastAsia="ru-RU"/>
    </w:rPr>
  </w:style>
  <w:style w:type="paragraph" w:styleId="886">
    <w:name w:val="Heading 2"/>
    <w:basedOn w:val="884"/>
    <w:next w:val="884"/>
    <w:link w:val="892"/>
    <w:qFormat/>
    <w:pPr>
      <w:keepNext w:val="true"/>
      <w:pBdr/>
      <w:spacing/>
      <w:ind/>
      <w:jc w:val="center"/>
      <w:outlineLvl w:val="1"/>
    </w:pPr>
    <w:rPr>
      <w:rFonts w:eastAsia="Times New Roman"/>
      <w:b/>
      <w:szCs w:val="26"/>
      <w:lang w:eastAsia="ru-RU"/>
    </w:rPr>
  </w:style>
  <w:style w:type="character" w:styleId="887" w:default="1">
    <w:name w:val="Default Paragraph Font"/>
    <w:uiPriority w:val="1"/>
    <w:semiHidden/>
    <w:unhideWhenUsed/>
    <w:pPr>
      <w:pBdr/>
      <w:spacing/>
      <w:ind/>
    </w:pPr>
  </w:style>
  <w:style w:type="table" w:styleId="88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9" w:default="1">
    <w:name w:val="No List"/>
    <w:uiPriority w:val="99"/>
    <w:semiHidden/>
    <w:unhideWhenUsed/>
    <w:pPr>
      <w:pBdr/>
      <w:spacing/>
      <w:ind/>
    </w:pPr>
  </w:style>
  <w:style w:type="paragraph" w:styleId="890">
    <w:name w:val="Normal (Web)"/>
    <w:basedOn w:val="884"/>
    <w:pPr>
      <w:pBdr/>
      <w:spacing w:after="100" w:afterAutospacing="1" w:before="100" w:beforeAutospacing="1"/>
      <w:ind/>
    </w:pPr>
  </w:style>
  <w:style w:type="character" w:styleId="891" w:customStyle="1">
    <w:name w:val="Заголовок 1 Знак"/>
    <w:basedOn w:val="887"/>
    <w:link w:val="885"/>
    <w:pPr>
      <w:pBdr/>
      <w:spacing/>
      <w:ind/>
    </w:pPr>
    <w:rPr>
      <w:rFonts w:ascii="Cambria" w:hAnsi="Cambria" w:eastAsia="Times New Roman"/>
      <w:b/>
      <w:bCs/>
      <w:sz w:val="32"/>
      <w:szCs w:val="32"/>
    </w:rPr>
  </w:style>
  <w:style w:type="character" w:styleId="892" w:customStyle="1">
    <w:name w:val="Заголовок 2 Знак"/>
    <w:basedOn w:val="887"/>
    <w:link w:val="886"/>
    <w:pPr>
      <w:pBdr/>
      <w:spacing/>
      <w:ind/>
    </w:pPr>
    <w:rPr>
      <w:rFonts w:eastAsia="Times New Roman"/>
      <w:b/>
      <w:sz w:val="24"/>
      <w:szCs w:val="26"/>
    </w:rPr>
  </w:style>
  <w:style w:type="paragraph" w:styleId="893">
    <w:name w:val="Body Text"/>
    <w:basedOn w:val="884"/>
    <w:link w:val="894"/>
    <w:pPr>
      <w:pBdr/>
      <w:spacing/>
      <w:ind/>
      <w:jc w:val="center"/>
    </w:pPr>
    <w:rPr>
      <w:rFonts w:eastAsia="Times New Roman"/>
      <w:b/>
      <w:sz w:val="22"/>
      <w:szCs w:val="26"/>
      <w:lang w:eastAsia="ru-RU"/>
    </w:rPr>
  </w:style>
  <w:style w:type="character" w:styleId="894" w:customStyle="1">
    <w:name w:val="Основной текст Знак"/>
    <w:basedOn w:val="887"/>
    <w:link w:val="893"/>
    <w:pPr>
      <w:pBdr/>
      <w:spacing/>
      <w:ind/>
    </w:pPr>
    <w:rPr>
      <w:rFonts w:eastAsia="Times New Roman"/>
      <w:b/>
      <w:sz w:val="22"/>
      <w:szCs w:val="26"/>
    </w:rPr>
  </w:style>
  <w:style w:type="paragraph" w:styleId="895">
    <w:name w:val="Body Text 2"/>
    <w:basedOn w:val="884"/>
    <w:link w:val="896"/>
    <w:pPr>
      <w:pBdr/>
      <w:spacing w:after="240" w:before="240"/>
      <w:ind/>
      <w:jc w:val="both"/>
    </w:pPr>
    <w:rPr>
      <w:rFonts w:eastAsia="Times New Roman"/>
      <w:bCs/>
      <w:lang w:eastAsia="ru-RU"/>
    </w:rPr>
  </w:style>
  <w:style w:type="character" w:styleId="896" w:customStyle="1">
    <w:name w:val="Основной текст 2 Знак"/>
    <w:basedOn w:val="887"/>
    <w:link w:val="895"/>
    <w:pPr>
      <w:pBdr/>
      <w:spacing/>
      <w:ind/>
    </w:pPr>
    <w:rPr>
      <w:rFonts w:eastAsia="Times New Roman"/>
      <w:bCs/>
      <w:sz w:val="24"/>
      <w:szCs w:val="24"/>
    </w:rPr>
  </w:style>
  <w:style w:type="paragraph" w:styleId="897">
    <w:name w:val="List Paragraph"/>
    <w:basedOn w:val="884"/>
    <w:uiPriority w:val="34"/>
    <w:qFormat/>
    <w:pPr>
      <w:pBdr/>
      <w:spacing/>
      <w:ind w:left="720"/>
      <w:contextualSpacing w:val="true"/>
    </w:pPr>
  </w:style>
  <w:style w:type="table" w:styleId="898">
    <w:name w:val="Table Grid"/>
    <w:basedOn w:val="888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9">
    <w:name w:val="Emphasis"/>
    <w:basedOn w:val="887"/>
    <w:qFormat/>
    <w:pPr>
      <w:pBdr/>
      <w:spacing/>
      <w:ind/>
    </w:pPr>
    <w:rPr>
      <w:i/>
      <w:i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Home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Рецензия</dc:title>
  <dc:creator>aplet</dc:creator>
  <cp:revision>5</cp:revision>
  <dcterms:created xsi:type="dcterms:W3CDTF">2020-05-14T15:31:00Z</dcterms:created>
  <dcterms:modified xsi:type="dcterms:W3CDTF">2026-06-14T10:23:29Z</dcterms:modified>
</cp:coreProperties>
</file>