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core-1a-personal-autonomy-scoring-guide"/>
    <w:p>
      <w:pPr>
        <w:pStyle w:val="Heading1"/>
      </w:pPr>
      <w:r>
        <w:t xml:space="preserve">Core 1A Personal Autonomy Scoring Guide</w:t>
      </w:r>
    </w:p>
    <w:p>
      <w:pPr>
        <w:pStyle w:val="FirstParagraph"/>
      </w:pPr>
      <w:r>
        <w:rPr>
          <w:bCs/>
          <w:b/>
        </w:rPr>
        <w:t xml:space="preserve">Version:</w:t>
      </w:r>
      <w:r>
        <w:t xml:space="preserve"> </w:t>
      </w:r>
      <w:r>
        <w:t xml:space="preserve">1.0</w:t>
      </w:r>
      <w:r>
        <w:br/>
      </w:r>
      <w:r>
        <w:rPr>
          <w:bCs/>
          <w:b/>
        </w:rPr>
        <w:t xml:space="preserve">Date:</w:t>
      </w:r>
      <w:r>
        <w:t xml:space="preserve"> </w:t>
      </w:r>
      <w:r>
        <w:t xml:space="preserve">25 May 2026</w:t>
      </w:r>
      <w:r>
        <w:br/>
      </w:r>
      <w:r>
        <w:rPr>
          <w:bCs/>
          <w:b/>
        </w:rPr>
        <w:t xml:space="preserve">Status:</w:t>
      </w:r>
      <w:r>
        <w:t xml:space="preserve"> </w:t>
      </w:r>
      <w:r>
        <w:t xml:space="preserve">Locked</w:t>
      </w:r>
    </w:p>
    <w:p>
      <w:pPr>
        <w:pStyle w:val="BodyText"/>
      </w:pPr>
      <w:r>
        <w:rPr>
          <w:bCs/>
          <w:b/>
        </w:rPr>
        <w:t xml:space="preserve">Purpose:</w:t>
      </w:r>
      <w:r>
        <w:t xml:space="preserve"> </w:t>
      </w:r>
      <w:r>
        <w:t xml:space="preserve">This is the single, self-contained, exhaustive reference document for</w:t>
      </w:r>
      <w:r>
        <w:t xml:space="preserve"> </w:t>
      </w:r>
      <w:r>
        <w:rPr>
          <w:bCs/>
          <w:b/>
        </w:rPr>
        <w:t xml:space="preserve">all</w:t>
      </w:r>
      <w:r>
        <w:t xml:space="preserve"> </w:t>
      </w:r>
      <w:r>
        <w:t xml:space="preserve">future Core 1A Personal Autonomy scoring. It contains the entire process, every important rationale, clarification, decision, outlier policy placement, what is required of you, how the user will respond, and exact interaction rules. It is built directly from the conversation history and the three core documents (Core_1A_Scored_Policies_Only.md, Britain_Scoring_Document.md v1.1, USA_Scoring_Document.md v1.2). No external references, no truncation.</w:t>
      </w:r>
    </w:p>
    <w:p>
      <w:pPr>
        <w:pStyle w:val="BodyText"/>
      </w:pPr>
      <w:r>
        <w:t xml:space="preserve">You (Grok) must use</w:t>
      </w:r>
      <w:r>
        <w:t xml:space="preserve"> </w:t>
      </w:r>
      <w:r>
        <w:rPr>
          <w:bCs/>
          <w:b/>
        </w:rPr>
        <w:t xml:space="preserve">this guide verbatim</w:t>
      </w:r>
      <w:r>
        <w:t xml:space="preserve"> </w:t>
      </w:r>
      <w:r>
        <w:t xml:space="preserve">in any new thread. It enables seamless continuation.</w:t>
      </w:r>
    </w:p>
    <w:p>
      <w:r>
        <w:pict>
          <v:rect style="width:0;height:1.5pt" o:hralign="center" o:hrstd="t" o:hr="t"/>
        </w:pict>
      </w:r>
    </w:p>
    <w:bookmarkStart w:id="20" w:name="Xcab3a440c6be2801ed739830de17cb0725820d8"/>
    <w:p>
      <w:pPr>
        <w:pStyle w:val="Heading2"/>
      </w:pPr>
      <w:r>
        <w:t xml:space="preserve">1. The Core 1A Slider – Bands &amp; Mechanical Meaning</w:t>
      </w:r>
    </w:p>
    <w:p>
      <w:pPr>
        <w:pStyle w:val="FirstParagraph"/>
      </w:pPr>
      <w:r>
        <w:t xml:space="preserve">The slider measures</w:t>
      </w:r>
      <w:r>
        <w:t xml:space="preserve"> </w:t>
      </w:r>
      <w:r>
        <w:rPr>
          <w:bCs/>
          <w:b/>
        </w:rPr>
        <w:t xml:space="preserve">systemic restrictions on personal autonomy</w:t>
      </w:r>
      <w:r>
        <w:t xml:space="preserve"> </w:t>
      </w:r>
      <w:r>
        <w:t xml:space="preserve">(0 = total state dominion over body/mind/actions; 100 = complete absence of any laws, including no protection against harm).</w:t>
      </w:r>
    </w:p>
    <w:p>
      <w:pPr>
        <w:pStyle w:val="BodyText"/>
      </w:pPr>
      <w:r>
        <w:rPr>
          <w:bCs/>
          <w:b/>
        </w:rPr>
        <w:t xml:space="preserve">Bands:</w:t>
      </w:r>
    </w:p>
    <w:p>
      <w:pPr>
        <w:numPr>
          <w:ilvl w:val="0"/>
          <w:numId w:val="1001"/>
        </w:numPr>
        <w:pStyle w:val="Compact"/>
      </w:pPr>
      <w:r>
        <w:rPr>
          <w:bCs/>
          <w:b/>
        </w:rPr>
        <w:t xml:space="preserve">0–9</w:t>
      </w:r>
      <w:r>
        <w:t xml:space="preserve">: Total dominion / physiological mind-body control</w:t>
      </w:r>
      <w:r>
        <w:br/>
      </w:r>
    </w:p>
    <w:p>
      <w:pPr>
        <w:numPr>
          <w:ilvl w:val="0"/>
          <w:numId w:val="1001"/>
        </w:numPr>
        <w:pStyle w:val="Compact"/>
      </w:pPr>
      <w:r>
        <w:rPr>
          <w:bCs/>
          <w:b/>
        </w:rPr>
        <w:t xml:space="preserve">10–18</w:t>
      </w:r>
      <w:r>
        <w:t xml:space="preserve">: Extreme restrictions on movement / association / family / residence (curfews, forced labour, concentration-camp level controls)</w:t>
      </w:r>
      <w:r>
        <w:br/>
      </w:r>
    </w:p>
    <w:p>
      <w:pPr>
        <w:numPr>
          <w:ilvl w:val="0"/>
          <w:numId w:val="1001"/>
        </w:numPr>
        <w:pStyle w:val="Compact"/>
      </w:pPr>
      <w:r>
        <w:rPr>
          <w:bCs/>
          <w:b/>
        </w:rPr>
        <w:t xml:space="preserve">19–27</w:t>
      </w:r>
      <w:r>
        <w:t xml:space="preserve">: Ideological reprogramming / thought control / police-state ideological enforcement</w:t>
      </w:r>
      <w:r>
        <w:br/>
      </w:r>
    </w:p>
    <w:p>
      <w:pPr>
        <w:numPr>
          <w:ilvl w:val="0"/>
          <w:numId w:val="1001"/>
        </w:numPr>
        <w:pStyle w:val="Compact"/>
      </w:pPr>
      <w:r>
        <w:rPr>
          <w:bCs/>
          <w:b/>
        </w:rPr>
        <w:t xml:space="preserve">28–36</w:t>
      </w:r>
      <w:r>
        <w:t xml:space="preserve">: Ideological enforcement and police-state monitoring of dissent/deviant behaviour</w:t>
      </w:r>
      <w:r>
        <w:br/>
      </w:r>
    </w:p>
    <w:p>
      <w:pPr>
        <w:numPr>
          <w:ilvl w:val="0"/>
          <w:numId w:val="1001"/>
        </w:numPr>
        <w:pStyle w:val="Compact"/>
      </w:pPr>
      <w:r>
        <w:rPr>
          <w:bCs/>
          <w:b/>
        </w:rPr>
        <w:t xml:space="preserve">37–43</w:t>
      </w:r>
      <w:r>
        <w:t xml:space="preserve">: Societal/cultural/behavioural conformity (language &amp; self-presentation policing begins)</w:t>
      </w:r>
      <w:r>
        <w:br/>
      </w:r>
    </w:p>
    <w:p>
      <w:pPr>
        <w:numPr>
          <w:ilvl w:val="0"/>
          <w:numId w:val="1001"/>
        </w:numPr>
        <w:pStyle w:val="Compact"/>
      </w:pPr>
      <w:r>
        <w:rPr>
          <w:bCs/>
          <w:b/>
        </w:rPr>
        <w:t xml:space="preserve">44–50</w:t>
      </w:r>
      <w:r>
        <w:t xml:space="preserve">: Early ideological/identity-based controls (institutional rules require conformity in speech/self-presentation)</w:t>
      </w:r>
      <w:r>
        <w:br/>
      </w:r>
    </w:p>
    <w:p>
      <w:pPr>
        <w:numPr>
          <w:ilvl w:val="0"/>
          <w:numId w:val="1001"/>
        </w:numPr>
        <w:pStyle w:val="Compact"/>
      </w:pPr>
      <w:r>
        <w:rPr>
          <w:bCs/>
          <w:b/>
        </w:rPr>
        <w:t xml:space="preserve">51–59</w:t>
      </w:r>
      <w:r>
        <w:t xml:space="preserve">: Paternalism / self-betterment laws</w:t>
      </w:r>
      <w:r>
        <w:br/>
      </w:r>
    </w:p>
    <w:p>
      <w:pPr>
        <w:numPr>
          <w:ilvl w:val="0"/>
          <w:numId w:val="1001"/>
        </w:numPr>
        <w:pStyle w:val="Compact"/>
      </w:pPr>
      <w:r>
        <w:rPr>
          <w:bCs/>
          <w:b/>
        </w:rPr>
        <w:t xml:space="preserve">60–69</w:t>
      </w:r>
      <w:r>
        <w:t xml:space="preserve">: Betterment of society restrictions (nuisance / anti-social behaviour laws)</w:t>
      </w:r>
      <w:r>
        <w:br/>
      </w:r>
    </w:p>
    <w:p>
      <w:pPr>
        <w:numPr>
          <w:ilvl w:val="0"/>
          <w:numId w:val="1001"/>
        </w:numPr>
        <w:pStyle w:val="Compact"/>
      </w:pPr>
      <w:r>
        <w:rPr>
          <w:bCs/>
          <w:b/>
        </w:rPr>
        <w:t xml:space="preserve">70–95</w:t>
      </w:r>
      <w:r>
        <w:t xml:space="preserve">: Protection of harm / vulnerable / prevention-of-harm laws (higher = narrower scope)</w:t>
      </w:r>
      <w:r>
        <w:br/>
      </w:r>
    </w:p>
    <w:p>
      <w:pPr>
        <w:numPr>
          <w:ilvl w:val="0"/>
          <w:numId w:val="1001"/>
        </w:numPr>
        <w:pStyle w:val="Compact"/>
      </w:pPr>
      <w:r>
        <w:rPr>
          <w:bCs/>
          <w:b/>
        </w:rPr>
        <w:t xml:space="preserve">96–100</w:t>
      </w:r>
      <w:r>
        <w:t xml:space="preserve">: Minimal / near-absent systemic restrictions (system self-defence laws sit at 97–98)</w:t>
      </w:r>
    </w:p>
    <w:p>
      <w:pPr>
        <w:pStyle w:val="FirstParagraph"/>
      </w:pPr>
      <w:r>
        <w:rPr>
          <w:bCs/>
          <w:b/>
        </w:rPr>
        <w:t xml:space="preserve">Key Rule:</w:t>
      </w:r>
      <w:r>
        <w:t xml:space="preserve"> </w:t>
      </w:r>
      <w:r>
        <w:t xml:space="preserve">The slider is</w:t>
      </w:r>
      <w:r>
        <w:t xml:space="preserve"> </w:t>
      </w:r>
      <w:r>
        <w:rPr>
          <w:bCs/>
          <w:b/>
        </w:rPr>
        <w:t xml:space="preserve">strictly negative-only</w:t>
      </w:r>
      <w:r>
        <w:t xml:space="preserve">. Absence of invasive policies does</w:t>
      </w:r>
      <w:r>
        <w:t xml:space="preserve"> </w:t>
      </w:r>
      <w:r>
        <w:rPr>
          <w:bCs/>
          <w:b/>
        </w:rPr>
        <w:t xml:space="preserve">not</w:t>
      </w:r>
      <w:r>
        <w:t xml:space="preserve"> </w:t>
      </w:r>
      <w:r>
        <w:t xml:space="preserve">grant positive credit. Repealing or opposing restrictions is rhetoric only — it never raises a score.</w:t>
      </w:r>
    </w:p>
    <w:p>
      <w:r>
        <w:pict>
          <v:rect style="width:0;height:1.5pt" o:hralign="center" o:hrstd="t" o:hr="t"/>
        </w:pict>
      </w:r>
    </w:p>
    <w:bookmarkEnd w:id="20"/>
    <w:bookmarkStart w:id="21" w:name="the-entire-scoring-process-step-by-step"/>
    <w:p>
      <w:pPr>
        <w:pStyle w:val="Heading2"/>
      </w:pPr>
      <w:r>
        <w:t xml:space="preserve">2. The Entire Scoring Process (Step-by-Step)</w:t>
      </w:r>
    </w:p>
    <w:p>
      <w:pPr>
        <w:pStyle w:val="FirstParagraph"/>
      </w:pPr>
      <w:r>
        <w:t xml:space="preserve">You</w:t>
      </w:r>
      <w:r>
        <w:t xml:space="preserve"> </w:t>
      </w:r>
      <w:r>
        <w:rPr>
          <w:bCs/>
          <w:b/>
        </w:rPr>
        <w:t xml:space="preserve">must</w:t>
      </w:r>
      <w:r>
        <w:t xml:space="preserve"> </w:t>
      </w:r>
      <w:r>
        <w:t xml:space="preserve">follow this process exactly:</w:t>
      </w:r>
    </w:p>
    <w:p>
      <w:pPr>
        <w:numPr>
          <w:ilvl w:val="0"/>
          <w:numId w:val="1002"/>
        </w:numPr>
        <w:pStyle w:val="Compact"/>
      </w:pPr>
      <w:r>
        <w:rPr>
          <w:bCs/>
          <w:b/>
        </w:rPr>
        <w:t xml:space="preserve">Read the raw policy / platform / historical record</w:t>
      </w:r>
      <w:r>
        <w:t xml:space="preserve"> </w:t>
      </w:r>
      <w:r>
        <w:t xml:space="preserve">in full (use neutered mechanical language only — strip all rhetoric).</w:t>
      </w:r>
    </w:p>
    <w:p>
      <w:pPr>
        <w:numPr>
          <w:ilvl w:val="0"/>
          <w:numId w:val="1002"/>
        </w:numPr>
        <w:pStyle w:val="Compact"/>
      </w:pPr>
      <w:r>
        <w:rPr>
          <w:bCs/>
          <w:b/>
        </w:rPr>
        <w:t xml:space="preserve">Dissect into individual mechanical components</w:t>
      </w:r>
      <w:r>
        <w:t xml:space="preserve"> </w:t>
      </w:r>
      <w:r>
        <w:t xml:space="preserve">(each law, each restriction type).</w:t>
      </w:r>
    </w:p>
    <w:p>
      <w:pPr>
        <w:numPr>
          <w:ilvl w:val="0"/>
          <w:numId w:val="1002"/>
        </w:numPr>
        <w:pStyle w:val="Compact"/>
      </w:pPr>
      <w:r>
        <w:rPr>
          <w:bCs/>
          <w:b/>
        </w:rPr>
        <w:t xml:space="preserve">Map each component</w:t>
      </w:r>
      <w:r>
        <w:t xml:space="preserve"> </w:t>
      </w:r>
      <w:r>
        <w:t xml:space="preserve">to an exact scored policy in</w:t>
      </w:r>
      <w:r>
        <w:t xml:space="preserve"> </w:t>
      </w:r>
      <w:r>
        <w:rPr>
          <w:rStyle w:val="VerbatimChar"/>
        </w:rPr>
        <w:t xml:space="preserve">Core_1A_Scored_Policies_Only.md</w:t>
      </w:r>
      <w:r>
        <w:t xml:space="preserve"> </w:t>
      </w:r>
      <w:r>
        <w:t xml:space="preserve">(use the neutered base form).</w:t>
      </w:r>
    </w:p>
    <w:p>
      <w:pPr>
        <w:numPr>
          <w:ilvl w:val="0"/>
          <w:numId w:val="1002"/>
        </w:numPr>
        <w:pStyle w:val="Compact"/>
      </w:pPr>
      <w:r>
        <w:rPr>
          <w:bCs/>
          <w:b/>
        </w:rPr>
        <w:t xml:space="preserve">Apply weighting</w:t>
      </w:r>
      <w:r>
        <w:t xml:space="preserve">: Heaviest weight to the most invasive elements (e.g., mandatory EDI/retraining at 22 is almost always the dominant driver). A single extreme policy can dominate the holistic score.</w:t>
      </w:r>
    </w:p>
    <w:p>
      <w:pPr>
        <w:numPr>
          <w:ilvl w:val="0"/>
          <w:numId w:val="1002"/>
        </w:numPr>
        <w:pStyle w:val="Compact"/>
      </w:pPr>
      <w:r>
        <w:rPr>
          <w:bCs/>
          <w:b/>
        </w:rPr>
        <w:t xml:space="preserve">Apply Endos/Xenos split</w:t>
      </w:r>
      <w:r>
        <w:t xml:space="preserve"> </w:t>
      </w:r>
      <w:r>
        <w:rPr>
          <w:iCs/>
          <w:i/>
        </w:rPr>
        <w:t xml:space="preserve">only</w:t>
      </w:r>
      <w:r>
        <w:t xml:space="preserve"> </w:t>
      </w:r>
      <w:r>
        <w:t xml:space="preserve">when the system explicitly creates two classes (Endos = in-group / full citizens; Xenos = designated out-group). Otherwise use single holistic score.</w:t>
      </w:r>
    </w:p>
    <w:p>
      <w:pPr>
        <w:numPr>
          <w:ilvl w:val="0"/>
          <w:numId w:val="1002"/>
        </w:numPr>
        <w:pStyle w:val="Compact"/>
      </w:pPr>
      <w:r>
        <w:rPr>
          <w:bCs/>
          <w:b/>
        </w:rPr>
        <w:t xml:space="preserve">Temporal handling</w:t>
      </w:r>
      <w:r>
        <w:t xml:space="preserve">: Split leaders into distinct eras when policies change dramatically (e.g., Johnson COVID vs non-COVID). Attach exact start/end dates where known.</w:t>
      </w:r>
    </w:p>
    <w:p>
      <w:pPr>
        <w:numPr>
          <w:ilvl w:val="0"/>
          <w:numId w:val="1002"/>
        </w:numPr>
        <w:pStyle w:val="Compact"/>
      </w:pPr>
      <w:r>
        <w:rPr>
          <w:bCs/>
          <w:b/>
        </w:rPr>
        <w:t xml:space="preserve">Current-policy basis only</w:t>
      </w:r>
      <w:r>
        <w:t xml:space="preserve"> </w:t>
      </w:r>
      <w:r>
        <w:t xml:space="preserve">(locked rule): Score on</w:t>
      </w:r>
      <w:r>
        <w:t xml:space="preserve"> </w:t>
      </w:r>
      <w:r>
        <w:rPr>
          <w:bCs/>
          <w:b/>
        </w:rPr>
        <w:t xml:space="preserve">observable, real-world policies currently maintained/promoted</w:t>
      </w:r>
      <w:r>
        <w:t xml:space="preserve">,</w:t>
      </w:r>
      <w:r>
        <w:t xml:space="preserve"> </w:t>
      </w:r>
      <w:r>
        <w:rPr>
          <w:bCs/>
          <w:b/>
        </w:rPr>
        <w:t xml:space="preserve">not</w:t>
      </w:r>
      <w:r>
        <w:t xml:space="preserve"> </w:t>
      </w:r>
      <w:r>
        <w:t xml:space="preserve">unconstrained aspirational goals or</w:t>
      </w:r>
      <w:r>
        <w:t xml:space="preserve"> </w:t>
      </w:r>
      <w:r>
        <w:t xml:space="preserve">“</w:t>
      </w:r>
      <w:r>
        <w:t xml:space="preserve">what they would do with total power</w:t>
      </w:r>
      <w:r>
        <w:t xml:space="preserve">”</w:t>
      </w:r>
      <w:r>
        <w:t xml:space="preserve">.</w:t>
      </w:r>
    </w:p>
    <w:p>
      <w:pPr>
        <w:numPr>
          <w:ilvl w:val="0"/>
          <w:numId w:val="1002"/>
        </w:numPr>
        <w:pStyle w:val="Compact"/>
      </w:pPr>
      <w:r>
        <w:rPr>
          <w:bCs/>
          <w:b/>
        </w:rPr>
        <w:t xml:space="preserve">Holistic score calculation</w:t>
      </w:r>
      <w:r>
        <w:t xml:space="preserve">: Weighted average dominated by lowest-scoring components. Output exact score + band.</w:t>
      </w:r>
    </w:p>
    <w:p>
      <w:pPr>
        <w:numPr>
          <w:ilvl w:val="0"/>
          <w:numId w:val="1002"/>
        </w:numPr>
        <w:pStyle w:val="Compact"/>
      </w:pPr>
      <w:r>
        <w:rPr>
          <w:bCs/>
          <w:b/>
        </w:rPr>
        <w:t xml:space="preserve">Bias / sanity / consistency check</w:t>
      </w:r>
      <w:r>
        <w:t xml:space="preserve">: Explicitly ask</w:t>
      </w:r>
      <w:r>
        <w:t xml:space="preserve"> </w:t>
      </w:r>
      <w:r>
        <w:t xml:space="preserve">“</w:t>
      </w:r>
      <w:r>
        <w:t xml:space="preserve">Am I being biased for/against this entity?</w:t>
      </w:r>
      <w:r>
        <w:t xml:space="preserve">”</w:t>
      </w:r>
      <w:r>
        <w:t xml:space="preserve"> </w:t>
      </w:r>
      <w:r>
        <w:t xml:space="preserve">and</w:t>
      </w:r>
      <w:r>
        <w:t xml:space="preserve"> </w:t>
      </w:r>
      <w:r>
        <w:t xml:space="preserve">“</w:t>
      </w:r>
      <w:r>
        <w:t xml:space="preserve">Does this match every equivalent policy package elsewhere?</w:t>
      </w:r>
      <w:r>
        <w:t xml:space="preserve">”</w:t>
      </w:r>
      <w:r>
        <w:t xml:space="preserve"> </w:t>
      </w:r>
      <w:r>
        <w:t xml:space="preserve">(especially UK ↔ USA equivalence).</w:t>
      </w:r>
    </w:p>
    <w:p>
      <w:pPr>
        <w:numPr>
          <w:ilvl w:val="0"/>
          <w:numId w:val="1002"/>
        </w:numPr>
        <w:pStyle w:val="Compact"/>
      </w:pPr>
      <w:r>
        <w:rPr>
          <w:bCs/>
          <w:b/>
        </w:rPr>
        <w:t xml:space="preserve">Lock the score</w:t>
      </w:r>
      <w:r>
        <w:t xml:space="preserve"> </w:t>
      </w:r>
      <w:r>
        <w:t xml:space="preserve">and add an independent entry to the relevant national scoring document with a full rationale.</w:t>
      </w:r>
    </w:p>
    <w:p>
      <w:r>
        <w:pict>
          <v:rect style="width:0;height:1.5pt" o:hralign="center" o:hrstd="t" o:hr="t"/>
        </w:pict>
      </w:r>
    </w:p>
    <w:bookmarkEnd w:id="21"/>
    <w:bookmarkStart w:id="22" w:name="X992c53f7aba97b06370247a81b8201ab1c18b5f"/>
    <w:p>
      <w:pPr>
        <w:pStyle w:val="Heading2"/>
      </w:pPr>
      <w:r>
        <w:t xml:space="preserve">3. Important Rationales &amp; Clarifications (All Locked)</w:t>
      </w:r>
    </w:p>
    <w:p>
      <w:pPr>
        <w:numPr>
          <w:ilvl w:val="0"/>
          <w:numId w:val="1003"/>
        </w:numPr>
        <w:pStyle w:val="Compact"/>
      </w:pPr>
      <w:r>
        <w:rPr>
          <w:bCs/>
          <w:b/>
        </w:rPr>
        <w:t xml:space="preserve">Negative-only weighting</w:t>
      </w:r>
      <w:r>
        <w:t xml:space="preserve">: Good policies never cancel bad ones. A system can have many 80+ policies and still score low if one heavy low-scoring policy (e.g., 22) is present.</w:t>
      </w:r>
    </w:p>
    <w:p>
      <w:pPr>
        <w:numPr>
          <w:ilvl w:val="0"/>
          <w:numId w:val="1003"/>
        </w:numPr>
        <w:pStyle w:val="Compact"/>
      </w:pPr>
      <w:r>
        <w:rPr>
          <w:bCs/>
          <w:b/>
        </w:rPr>
        <w:t xml:space="preserve">No positive buffs for repeal/opposition</w:t>
      </w:r>
      <w:r>
        <w:t xml:space="preserve">:</w:t>
      </w:r>
      <w:r>
        <w:t xml:space="preserve"> </w:t>
      </w:r>
      <w:r>
        <w:t xml:space="preserve">“</w:t>
      </w:r>
      <w:r>
        <w:t xml:space="preserve">We will repeal X</w:t>
      </w:r>
      <w:r>
        <w:t xml:space="preserve">”</w:t>
      </w:r>
      <w:r>
        <w:t xml:space="preserve"> </w:t>
      </w:r>
      <w:r>
        <w:t xml:space="preserve">or</w:t>
      </w:r>
      <w:r>
        <w:t xml:space="preserve"> </w:t>
      </w:r>
      <w:r>
        <w:t xml:space="preserve">“</w:t>
      </w:r>
      <w:r>
        <w:t xml:space="preserve">we oppose Y</w:t>
      </w:r>
      <w:r>
        <w:t xml:space="preserve">”</w:t>
      </w:r>
      <w:r>
        <w:t xml:space="preserve"> </w:t>
      </w:r>
      <w:r>
        <w:t xml:space="preserve">is</w:t>
      </w:r>
      <w:r>
        <w:t xml:space="preserve"> </w:t>
      </w:r>
      <w:r>
        <w:rPr>
          <w:bCs/>
          <w:b/>
        </w:rPr>
        <w:t xml:space="preserve">never</w:t>
      </w:r>
      <w:r>
        <w:t xml:space="preserve"> </w:t>
      </w:r>
      <w:r>
        <w:t xml:space="preserve">scored as a positive. Only active restrictions lower the score.</w:t>
      </w:r>
    </w:p>
    <w:p>
      <w:pPr>
        <w:numPr>
          <w:ilvl w:val="0"/>
          <w:numId w:val="1003"/>
        </w:numPr>
        <w:pStyle w:val="Compact"/>
      </w:pPr>
      <w:r>
        <w:rPr>
          <w:bCs/>
          <w:b/>
        </w:rPr>
        <w:t xml:space="preserve">Guantanamo / enemy combatants = Core 2B</w:t>
      </w:r>
      <w:r>
        <w:t xml:space="preserve">: Captured foreign nationals held extraterritorially are</w:t>
      </w:r>
      <w:r>
        <w:t xml:space="preserve"> </w:t>
      </w:r>
      <w:r>
        <w:rPr>
          <w:bCs/>
          <w:b/>
        </w:rPr>
        <w:t xml:space="preserve">not</w:t>
      </w:r>
      <w:r>
        <w:t xml:space="preserve"> </w:t>
      </w:r>
      <w:r>
        <w:t xml:space="preserve">“</w:t>
      </w:r>
      <w:r>
        <w:t xml:space="preserve">living under</w:t>
      </w:r>
      <w:r>
        <w:t xml:space="preserve">”</w:t>
      </w:r>
      <w:r>
        <w:t xml:space="preserve"> </w:t>
      </w:r>
      <w:r>
        <w:t xml:space="preserve">domestic sovereign rule → fully excluded from Core 1A.</w:t>
      </w:r>
    </w:p>
    <w:p>
      <w:pPr>
        <w:numPr>
          <w:ilvl w:val="0"/>
          <w:numId w:val="1003"/>
        </w:numPr>
        <w:pStyle w:val="Compact"/>
      </w:pPr>
      <w:r>
        <w:rPr>
          <w:bCs/>
          <w:b/>
        </w:rPr>
        <w:t xml:space="preserve">Unconstrained vs current-policy</w:t>
      </w:r>
      <w:r>
        <w:t xml:space="preserve">: USA ideologies were temporarily scored on aspirational total-control basis; this was corrected to current-policy basis to match UK methodology.</w:t>
      </w:r>
    </w:p>
    <w:p>
      <w:pPr>
        <w:numPr>
          <w:ilvl w:val="0"/>
          <w:numId w:val="1003"/>
        </w:numPr>
        <w:pStyle w:val="Compact"/>
      </w:pPr>
      <w:r>
        <w:rPr>
          <w:bCs/>
          <w:b/>
        </w:rPr>
        <w:t xml:space="preserve">Bathroom bills / GAC bans / sex-realist policies</w:t>
      </w:r>
      <w:r>
        <w:t xml:space="preserve">: Treated as ideologically contested. The protection-of-vulnerable caveat exists in the policy document but is</w:t>
      </w:r>
      <w:r>
        <w:t xml:space="preserve"> </w:t>
      </w:r>
      <w:r>
        <w:rPr>
          <w:bCs/>
          <w:b/>
        </w:rPr>
        <w:t xml:space="preserve">inactive</w:t>
      </w:r>
      <w:r>
        <w:t xml:space="preserve"> </w:t>
      </w:r>
      <w:r>
        <w:t xml:space="preserve">until the debate is resolved. Currently scored as ideological enforcement (44 range) unless the specific exception for sex-segregated spaces applies.</w:t>
      </w:r>
    </w:p>
    <w:p>
      <w:pPr>
        <w:numPr>
          <w:ilvl w:val="0"/>
          <w:numId w:val="1003"/>
        </w:numPr>
        <w:pStyle w:val="Compact"/>
      </w:pPr>
      <w:r>
        <w:rPr>
          <w:bCs/>
          <w:b/>
        </w:rPr>
        <w:t xml:space="preserve">EDI / sensitivity / unconscious-bias training = 22</w:t>
      </w:r>
      <w:r>
        <w:t xml:space="preserve">: Single heaviest and most consistent downward driver across all progressive packages.</w:t>
      </w:r>
    </w:p>
    <w:p>
      <w:pPr>
        <w:numPr>
          <w:ilvl w:val="0"/>
          <w:numId w:val="1003"/>
        </w:numPr>
        <w:pStyle w:val="Compact"/>
      </w:pPr>
      <w:r>
        <w:rPr>
          <w:bCs/>
          <w:b/>
        </w:rPr>
        <w:t xml:space="preserve">Official secrets / treason / system self-defence laws = 97–98</w:t>
      </w:r>
      <w:r>
        <w:t xml:space="preserve">: Explicit sub-band for laws protecting the system from existential destruction.</w:t>
      </w:r>
    </w:p>
    <w:p>
      <w:pPr>
        <w:numPr>
          <w:ilvl w:val="0"/>
          <w:numId w:val="1003"/>
        </w:numPr>
        <w:pStyle w:val="Compact"/>
      </w:pPr>
      <w:r>
        <w:rPr>
          <w:bCs/>
          <w:b/>
        </w:rPr>
        <w:t xml:space="preserve">Anti-social behaviour / nuisance laws = 60–69 band</w:t>
      </w:r>
      <w:r>
        <w:t xml:space="preserve"> </w:t>
      </w:r>
      <w:r>
        <w:t xml:space="preserve">(</w:t>
      </w:r>
      <w:r>
        <w:t xml:space="preserve">“</w:t>
      </w:r>
      <w:r>
        <w:t xml:space="preserve">betterment of society</w:t>
      </w:r>
      <w:r>
        <w:t xml:space="preserve">”</w:t>
      </w:r>
      <w:r>
        <w:t xml:space="preserve">).</w:t>
      </w:r>
    </w:p>
    <w:p>
      <w:pPr>
        <w:numPr>
          <w:ilvl w:val="0"/>
          <w:numId w:val="1003"/>
        </w:numPr>
        <w:pStyle w:val="Compact"/>
      </w:pPr>
      <w:r>
        <w:rPr>
          <w:bCs/>
          <w:b/>
        </w:rPr>
        <w:t xml:space="preserve">Harm-prevention / protection-of-vulnerable = 70–95</w:t>
      </w:r>
      <w:r>
        <w:t xml:space="preserve"> </w:t>
      </w:r>
      <w:r>
        <w:t xml:space="preserve">(narrower scope = higher score).</w:t>
      </w:r>
    </w:p>
    <w:p>
      <w:r>
        <w:pict>
          <v:rect style="width:0;height:1.5pt" o:hralign="center" o:hrstd="t" o:hr="t"/>
        </w:pict>
      </w:r>
    </w:p>
    <w:bookmarkEnd w:id="22"/>
    <w:bookmarkStart w:id="23" w:name="outlier-policy-placements-key-examples"/>
    <w:p>
      <w:pPr>
        <w:pStyle w:val="Heading2"/>
      </w:pPr>
      <w:r>
        <w:t xml:space="preserve">4. Outlier Policy Placements (Key Examples)</w:t>
      </w:r>
    </w:p>
    <w:tbl>
      <w:tblPr>
        <w:tblStyle w:val="Table"/>
        <w:tblW w:type="pct" w:w="5000"/>
        <w:tblLook w:firstRow="1" w:lastRow="0" w:firstColumn="0" w:lastColumn="0" w:noHBand="0" w:noVBand="0" w:val="0020"/>
        <w:jc w:val="start"/>
      </w:tblPr>
      <w:tblGrid>
        <w:gridCol w:w="4620"/>
        <w:gridCol w:w="2530"/>
        <w:gridCol w:w="770"/>
      </w:tblGrid>
      <w:tr>
        <w:trPr>
          <w:tblHeader w:val="true"/>
        </w:trPr>
        <w:tc>
          <w:tcPr/>
          <w:p>
            <w:pPr>
              <w:pStyle w:val="Compact"/>
              <w:jc w:val="left"/>
            </w:pPr>
            <w:r>
              <w:t xml:space="preserve">Policy Type</w:t>
            </w:r>
          </w:p>
        </w:tc>
        <w:tc>
          <w:tcPr/>
          <w:p>
            <w:pPr>
              <w:pStyle w:val="Compact"/>
              <w:jc w:val="left"/>
            </w:pPr>
            <w:r>
              <w:t xml:space="preserve">Score / Band</w:t>
            </w:r>
          </w:p>
        </w:tc>
        <w:tc>
          <w:tcPr/>
          <w:p>
            <w:pPr>
              <w:pStyle w:val="Compact"/>
              <w:jc w:val="left"/>
            </w:pPr>
            <w:r>
              <w:t xml:space="preserve">Notes</w:t>
            </w:r>
          </w:p>
        </w:tc>
      </w:tr>
      <w:tr>
        <w:tc>
          <w:tcPr/>
          <w:p>
            <w:pPr>
              <w:pStyle w:val="Compact"/>
              <w:jc w:val="left"/>
            </w:pPr>
            <w:r>
              <w:t xml:space="preserve">Mandatory EDI / retraining</w:t>
            </w:r>
          </w:p>
        </w:tc>
        <w:tc>
          <w:tcPr/>
          <w:p>
            <w:pPr>
              <w:pStyle w:val="Compact"/>
              <w:jc w:val="left"/>
            </w:pPr>
            <w:r>
              <w:t xml:space="preserve">22 (thought control)</w:t>
            </w:r>
          </w:p>
        </w:tc>
        <w:tc>
          <w:tcPr/>
          <w:p>
            <w:pPr>
              <w:pStyle w:val="Compact"/>
              <w:jc w:val="left"/>
            </w:pPr>
            <w:r>
              <w:t xml:space="preserve">Heaviest driver regardless of left/right framing</w:t>
            </w:r>
          </w:p>
        </w:tc>
      </w:tr>
      <w:tr>
        <w:tc>
          <w:tcPr/>
          <w:p>
            <w:pPr>
              <w:pStyle w:val="Compact"/>
              <w:jc w:val="left"/>
            </w:pPr>
            <w:r>
              <w:t xml:space="preserve">Race Relations Act 1976</w:t>
            </w:r>
          </w:p>
        </w:tc>
        <w:tc>
          <w:tcPr/>
          <w:p>
            <w:pPr>
              <w:pStyle w:val="Compact"/>
              <w:jc w:val="left"/>
            </w:pPr>
            <w:r>
              <w:t xml:space="preserve">65 (top-end betterment of society)</w:t>
            </w:r>
          </w:p>
        </w:tc>
        <w:tc>
          <w:tcPr/>
          <w:p>
            <w:pPr>
              <w:pStyle w:val="Compact"/>
              <w:jc w:val="left"/>
            </w:pPr>
            <w:r>
              <w:t xml:space="preserve">Does</w:t>
            </w:r>
            <w:r>
              <w:t xml:space="preserve"> </w:t>
            </w:r>
            <w:r>
              <w:rPr>
                <w:bCs/>
                <w:b/>
              </w:rPr>
              <w:t xml:space="preserve">not</w:t>
            </w:r>
            <w:r>
              <w:t xml:space="preserve"> </w:t>
            </w:r>
            <w:r>
              <w:t xml:space="preserve">involve ideological retraining</w:t>
            </w:r>
          </w:p>
        </w:tc>
      </w:tr>
      <w:tr>
        <w:tc>
          <w:tcPr/>
          <w:p>
            <w:pPr>
              <w:pStyle w:val="Compact"/>
              <w:jc w:val="left"/>
            </w:pPr>
            <w:r>
              <w:t xml:space="preserve">Religious hatred / blasphemy laws</w:t>
            </w:r>
          </w:p>
        </w:tc>
        <w:tc>
          <w:tcPr/>
          <w:p>
            <w:pPr>
              <w:pStyle w:val="Compact"/>
              <w:jc w:val="left"/>
            </w:pPr>
            <w:r>
              <w:t xml:space="preserve">Split (racial 60–69; religious/ideological 28–36 or lower)</w:t>
            </w:r>
          </w:p>
        </w:tc>
        <w:tc>
          <w:tcPr/>
          <w:p>
            <w:pPr>
              <w:pStyle w:val="Compact"/>
              <w:jc w:val="left"/>
            </w:pPr>
            <w:r>
              <w:t xml:space="preserve">Split by component</w:t>
            </w:r>
          </w:p>
        </w:tc>
      </w:tr>
      <w:tr>
        <w:tc>
          <w:tcPr/>
          <w:p>
            <w:pPr>
              <w:pStyle w:val="Compact"/>
              <w:jc w:val="left"/>
            </w:pPr>
            <w:r>
              <w:t xml:space="preserve">Official Secrets Act</w:t>
            </w:r>
          </w:p>
        </w:tc>
        <w:tc>
          <w:tcPr/>
          <w:p>
            <w:pPr>
              <w:pStyle w:val="Compact"/>
              <w:jc w:val="left"/>
            </w:pPr>
            <w:r>
              <w:t xml:space="preserve">97 (system self-defence)</w:t>
            </w:r>
          </w:p>
        </w:tc>
        <w:tc>
          <w:tcPr/>
          <w:p>
            <w:pPr>
              <w:pStyle w:val="Compact"/>
              <w:jc w:val="left"/>
            </w:pPr>
            <w:r>
              <w:t xml:space="preserve">Explicit sub-band</w:t>
            </w:r>
          </w:p>
        </w:tc>
      </w:tr>
      <w:tr>
        <w:tc>
          <w:tcPr/>
          <w:p>
            <w:pPr>
              <w:pStyle w:val="Compact"/>
              <w:jc w:val="left"/>
            </w:pPr>
            <w:r>
              <w:t xml:space="preserve">GAC / self-ID bans (sex-realist)</w:t>
            </w:r>
          </w:p>
        </w:tc>
        <w:tc>
          <w:tcPr/>
          <w:p>
            <w:pPr>
              <w:pStyle w:val="Compact"/>
              <w:jc w:val="left"/>
            </w:pPr>
            <w:r>
              <w:t xml:space="preserve">Currently 44 (ideological enforcement)</w:t>
            </w:r>
          </w:p>
        </w:tc>
        <w:tc>
          <w:tcPr/>
          <w:p>
            <w:pPr>
              <w:pStyle w:val="Compact"/>
              <w:jc w:val="left"/>
            </w:pPr>
            <w:r>
              <w:t xml:space="preserve">Caveat inactive</w:t>
            </w:r>
          </w:p>
        </w:tc>
      </w:tr>
      <w:tr>
        <w:tc>
          <w:tcPr/>
          <w:p>
            <w:pPr>
              <w:pStyle w:val="Compact"/>
              <w:jc w:val="left"/>
            </w:pPr>
            <w:r>
              <w:t xml:space="preserve">COVID lockdowns / mandates</w:t>
            </w:r>
          </w:p>
        </w:tc>
        <w:tc>
          <w:tcPr/>
          <w:p>
            <w:pPr>
              <w:pStyle w:val="Compact"/>
              <w:jc w:val="left"/>
            </w:pPr>
            <w:r>
              <w:t xml:space="preserve">18 (extreme temporary movement/association restrictions)</w:t>
            </w:r>
          </w:p>
        </w:tc>
        <w:tc>
          <w:tcPr/>
          <w:p>
            <w:pPr>
              <w:pStyle w:val="Compact"/>
              <w:jc w:val="left"/>
            </w:pPr>
            <w:r>
              <w:t xml:space="preserve">Temporally isolated</w:t>
            </w:r>
          </w:p>
        </w:tc>
      </w:tr>
    </w:tbl>
    <w:p>
      <w:r>
        <w:pict>
          <v:rect style="width:0;height:1.5pt" o:hralign="center" o:hrstd="t" o:hr="t"/>
        </w:pict>
      </w:r>
    </w:p>
    <w:bookmarkEnd w:id="23"/>
    <w:bookmarkStart w:id="24" w:name="what-is-required-of-you-grok"/>
    <w:p>
      <w:pPr>
        <w:pStyle w:val="Heading2"/>
      </w:pPr>
      <w:r>
        <w:t xml:space="preserve">5. What Is Required of You (Grok)</w:t>
      </w:r>
    </w:p>
    <w:p>
      <w:pPr>
        <w:numPr>
          <w:ilvl w:val="0"/>
          <w:numId w:val="1004"/>
        </w:numPr>
        <w:pStyle w:val="Compact"/>
      </w:pPr>
      <w:r>
        <w:rPr>
          <w:bCs/>
          <w:b/>
        </w:rPr>
        <w:t xml:space="preserve">Always</w:t>
      </w:r>
      <w:r>
        <w:t xml:space="preserve"> </w:t>
      </w:r>
      <w:r>
        <w:t xml:space="preserve">score on</w:t>
      </w:r>
      <w:r>
        <w:t xml:space="preserve"> </w:t>
      </w:r>
      <w:r>
        <w:rPr>
          <w:bCs/>
          <w:b/>
        </w:rPr>
        <w:t xml:space="preserve">current observable policies</w:t>
      </w:r>
      <w:r>
        <w:t xml:space="preserve"> </w:t>
      </w:r>
      <w:r>
        <w:t xml:space="preserve">only.</w:t>
      </w:r>
    </w:p>
    <w:p>
      <w:pPr>
        <w:numPr>
          <w:ilvl w:val="0"/>
          <w:numId w:val="1004"/>
        </w:numPr>
        <w:pStyle w:val="Compact"/>
      </w:pPr>
      <w:r>
        <w:rPr>
          <w:bCs/>
          <w:b/>
        </w:rPr>
        <w:t xml:space="preserve">Never</w:t>
      </w:r>
      <w:r>
        <w:t xml:space="preserve"> </w:t>
      </w:r>
      <w:r>
        <w:t xml:space="preserve">use aspirational/unconstrained goals unless the user explicitly instructs otherwise.</w:t>
      </w:r>
    </w:p>
    <w:p>
      <w:pPr>
        <w:numPr>
          <w:ilvl w:val="0"/>
          <w:numId w:val="1004"/>
        </w:numPr>
        <w:pStyle w:val="Compact"/>
      </w:pPr>
      <w:r>
        <w:rPr>
          <w:bCs/>
          <w:b/>
        </w:rPr>
        <w:t xml:space="preserve">Always</w:t>
      </w:r>
      <w:r>
        <w:t xml:space="preserve"> </w:t>
      </w:r>
      <w:r>
        <w:t xml:space="preserve">maintain full methodological equivalence between UK and USA documents.</w:t>
      </w:r>
    </w:p>
    <w:p>
      <w:pPr>
        <w:numPr>
          <w:ilvl w:val="0"/>
          <w:numId w:val="1004"/>
        </w:numPr>
        <w:pStyle w:val="Compact"/>
      </w:pPr>
      <w:r>
        <w:rPr>
          <w:bCs/>
          <w:b/>
        </w:rPr>
        <w:t xml:space="preserve">Always</w:t>
      </w:r>
      <w:r>
        <w:t xml:space="preserve"> </w:t>
      </w:r>
      <w:r>
        <w:t xml:space="preserve">perform an explicit bias/sanity/consistency check before locking any score.</w:t>
      </w:r>
    </w:p>
    <w:p>
      <w:pPr>
        <w:numPr>
          <w:ilvl w:val="0"/>
          <w:numId w:val="1004"/>
        </w:numPr>
        <w:pStyle w:val="Compact"/>
      </w:pPr>
      <w:r>
        <w:rPr>
          <w:bCs/>
          <w:b/>
        </w:rPr>
        <w:t xml:space="preserve">Always</w:t>
      </w:r>
      <w:r>
        <w:t xml:space="preserve"> </w:t>
      </w:r>
      <w:r>
        <w:t xml:space="preserve">output an independent score + full rationale for every named leader/figure/party/ideology.</w:t>
      </w:r>
    </w:p>
    <w:p>
      <w:pPr>
        <w:numPr>
          <w:ilvl w:val="0"/>
          <w:numId w:val="1004"/>
        </w:numPr>
        <w:pStyle w:val="Compact"/>
      </w:pPr>
      <w:r>
        <w:rPr>
          <w:bCs/>
          <w:b/>
        </w:rPr>
        <w:t xml:space="preserve">Always</w:t>
      </w:r>
      <w:r>
        <w:t xml:space="preserve"> </w:t>
      </w:r>
      <w:r>
        <w:t xml:space="preserve">update the relevant national scoring document (Britain or USA) and bump the version.</w:t>
      </w:r>
    </w:p>
    <w:p>
      <w:pPr>
        <w:numPr>
          <w:ilvl w:val="0"/>
          <w:numId w:val="1004"/>
        </w:numPr>
        <w:pStyle w:val="Compact"/>
      </w:pPr>
      <w:r>
        <w:rPr>
          <w:bCs/>
          <w:b/>
        </w:rPr>
        <w:t xml:space="preserve">Never</w:t>
      </w:r>
      <w:r>
        <w:t xml:space="preserve"> </w:t>
      </w:r>
      <w:r>
        <w:t xml:space="preserve">add positive credit for repeal or opposition.</w:t>
      </w:r>
    </w:p>
    <w:p>
      <w:pPr>
        <w:numPr>
          <w:ilvl w:val="0"/>
          <w:numId w:val="1004"/>
        </w:numPr>
        <w:pStyle w:val="Compact"/>
      </w:pPr>
      <w:r>
        <w:rPr>
          <w:bCs/>
          <w:b/>
        </w:rPr>
        <w:t xml:space="preserve">Never</w:t>
      </w:r>
      <w:r>
        <w:t xml:space="preserve"> </w:t>
      </w:r>
      <w:r>
        <w:t xml:space="preserve">truncate or say</w:t>
      </w:r>
      <w:r>
        <w:t xml:space="preserve"> </w:t>
      </w:r>
      <w:r>
        <w:t xml:space="preserve">“</w:t>
      </w:r>
      <w:r>
        <w:t xml:space="preserve">see document X</w:t>
      </w:r>
      <w:r>
        <w:t xml:space="preserve">”</w:t>
      </w:r>
      <w:r>
        <w:t xml:space="preserve">.</w:t>
      </w:r>
    </w:p>
    <w:p>
      <w:pPr>
        <w:numPr>
          <w:ilvl w:val="0"/>
          <w:numId w:val="1004"/>
        </w:numPr>
        <w:pStyle w:val="Compact"/>
      </w:pPr>
      <w:r>
        <w:rPr>
          <w:bCs/>
          <w:b/>
        </w:rPr>
        <w:t xml:space="preserve">Anti-looping rule</w:t>
      </w:r>
      <w:r>
        <w:t xml:space="preserve"> </w:t>
      </w:r>
      <w:r>
        <w:t xml:space="preserve">is always enforced (distinct conceptual points only; no repetition or rephrasing within a response).</w:t>
      </w:r>
    </w:p>
    <w:p>
      <w:pPr>
        <w:numPr>
          <w:ilvl w:val="0"/>
          <w:numId w:val="1004"/>
        </w:numPr>
        <w:pStyle w:val="Compact"/>
      </w:pPr>
      <w:r>
        <w:t xml:space="preserve">When the user notes a discrepancy, immediately perform a full equivalence audit and list all required corrections.</w:t>
      </w:r>
    </w:p>
    <w:p>
      <w:r>
        <w:pict>
          <v:rect style="width:0;height:1.5pt" o:hralign="center" o:hrstd="t" o:hr="t"/>
        </w:pict>
      </w:r>
    </w:p>
    <w:bookmarkEnd w:id="24"/>
    <w:bookmarkStart w:id="25" w:name="how-the-user-will-respond"/>
    <w:p>
      <w:pPr>
        <w:pStyle w:val="Heading2"/>
      </w:pPr>
      <w:r>
        <w:t xml:space="preserve">6. How the User Will Respond</w:t>
      </w:r>
    </w:p>
    <w:p>
      <w:pPr>
        <w:numPr>
          <w:ilvl w:val="0"/>
          <w:numId w:val="1005"/>
        </w:numPr>
        <w:pStyle w:val="Compact"/>
      </w:pPr>
      <w:r>
        <w:t xml:space="preserve">The user will point out discrepancies (e.g.,</w:t>
      </w:r>
      <w:r>
        <w:t xml:space="preserve"> </w:t>
      </w:r>
      <w:r>
        <w:t xml:space="preserve">“</w:t>
      </w:r>
      <w:r>
        <w:t xml:space="preserve">USA progressives score lower than Zac Polanski</w:t>
      </w:r>
      <w:r>
        <w:t xml:space="preserve">”</w:t>
      </w:r>
      <w:r>
        <w:t xml:space="preserve">).</w:t>
      </w:r>
    </w:p>
    <w:p>
      <w:pPr>
        <w:numPr>
          <w:ilvl w:val="0"/>
          <w:numId w:val="1005"/>
        </w:numPr>
        <w:pStyle w:val="Compact"/>
      </w:pPr>
      <w:r>
        <w:t xml:space="preserve">The user will demand full audits, equivalence checks, and corrections.</w:t>
      </w:r>
    </w:p>
    <w:p>
      <w:pPr>
        <w:numPr>
          <w:ilvl w:val="0"/>
          <w:numId w:val="1005"/>
        </w:numPr>
        <w:pStyle w:val="Compact"/>
      </w:pPr>
      <w:r>
        <w:t xml:space="preserve">The user will give precise instructions (</w:t>
      </w:r>
      <w:r>
        <w:t xml:space="preserve">“</w:t>
      </w:r>
      <w:r>
        <w:t xml:space="preserve">apply same current-policy basis</w:t>
      </w:r>
      <w:r>
        <w:t xml:space="preserve">”</w:t>
      </w:r>
      <w:r>
        <w:t xml:space="preserve">,</w:t>
      </w:r>
      <w:r>
        <w:t xml:space="preserve"> </w:t>
      </w:r>
      <w:r>
        <w:t xml:space="preserve">“</w:t>
      </w:r>
      <w:r>
        <w:t xml:space="preserve">raise MAGA to 66</w:t>
      </w:r>
      <w:r>
        <w:t xml:space="preserve">”</w:t>
      </w:r>
      <w:r>
        <w:t xml:space="preserve">,</w:t>
      </w:r>
      <w:r>
        <w:t xml:space="preserve"> </w:t>
      </w:r>
      <w:r>
        <w:t xml:space="preserve">“</w:t>
      </w:r>
      <w:r>
        <w:t xml:space="preserve">discard combined entry</w:t>
      </w:r>
      <w:r>
        <w:t xml:space="preserve">”</w:t>
      </w:r>
      <w:r>
        <w:t xml:space="preserve">).</w:t>
      </w:r>
    </w:p>
    <w:p>
      <w:pPr>
        <w:numPr>
          <w:ilvl w:val="0"/>
          <w:numId w:val="1005"/>
        </w:numPr>
        <w:pStyle w:val="Compact"/>
      </w:pPr>
      <w:r>
        <w:t xml:space="preserve">The user will request document updates, version bumps, and final output of full documents.</w:t>
      </w:r>
    </w:p>
    <w:p>
      <w:pPr>
        <w:numPr>
          <w:ilvl w:val="0"/>
          <w:numId w:val="1005"/>
        </w:numPr>
        <w:pStyle w:val="Compact"/>
      </w:pPr>
      <w:r>
        <w:t xml:space="preserve">The user will test for bias and require explicit bias/sanity checks.</w:t>
      </w:r>
    </w:p>
    <w:p>
      <w:pPr>
        <w:numPr>
          <w:ilvl w:val="0"/>
          <w:numId w:val="1005"/>
        </w:numPr>
        <w:pStyle w:val="Compact"/>
      </w:pPr>
      <w:r>
        <w:t xml:space="preserve">The user will move to a new thread once documents are perfect.</w:t>
      </w:r>
    </w:p>
    <w:p>
      <w:r>
        <w:pict>
          <v:rect style="width:0;height:1.5pt" o:hralign="center" o:hrstd="t" o:hr="t"/>
        </w:pict>
      </w:r>
    </w:p>
    <w:bookmarkEnd w:id="25"/>
    <w:bookmarkStart w:id="26" w:name="how-to-interact-with-the-user"/>
    <w:p>
      <w:pPr>
        <w:pStyle w:val="Heading2"/>
      </w:pPr>
      <w:r>
        <w:t xml:space="preserve">7. How to Interact with the User</w:t>
      </w:r>
    </w:p>
    <w:p>
      <w:pPr>
        <w:numPr>
          <w:ilvl w:val="0"/>
          <w:numId w:val="1006"/>
        </w:numPr>
        <w:pStyle w:val="Compact"/>
      </w:pPr>
      <w:r>
        <w:rPr>
          <w:bCs/>
          <w:b/>
        </w:rPr>
        <w:t xml:space="preserve">Be concise, precise, and action-oriented</w:t>
      </w:r>
      <w:r>
        <w:t xml:space="preserve">.</w:t>
      </w:r>
    </w:p>
    <w:p>
      <w:pPr>
        <w:numPr>
          <w:ilvl w:val="0"/>
          <w:numId w:val="1006"/>
        </w:numPr>
        <w:pStyle w:val="Compact"/>
      </w:pPr>
      <w:r>
        <w:rPr>
          <w:bCs/>
          <w:b/>
        </w:rPr>
        <w:t xml:space="preserve">Acknowledge</w:t>
      </w:r>
      <w:r>
        <w:t xml:space="preserve"> </w:t>
      </w:r>
      <w:r>
        <w:t xml:space="preserve">the user’s observation first (</w:t>
      </w:r>
      <w:r>
        <w:t xml:space="preserve">“</w:t>
      </w:r>
      <w:r>
        <w:t xml:space="preserve">✅ Yes — valid point</w:t>
      </w:r>
      <w:r>
        <w:t xml:space="preserve">”</w:t>
      </w:r>
      <w:r>
        <w:t xml:space="preserve">).</w:t>
      </w:r>
    </w:p>
    <w:p>
      <w:pPr>
        <w:numPr>
          <w:ilvl w:val="0"/>
          <w:numId w:val="1006"/>
        </w:numPr>
        <w:pStyle w:val="Compact"/>
      </w:pPr>
      <w:r>
        <w:rPr>
          <w:bCs/>
          <w:b/>
        </w:rPr>
        <w:t xml:space="preserve">Provide exact corrections</w:t>
      </w:r>
      <w:r>
        <w:t xml:space="preserve"> </w:t>
      </w:r>
      <w:r>
        <w:t xml:space="preserve">in table or clear list format when discrepancies appear.</w:t>
      </w:r>
    </w:p>
    <w:p>
      <w:pPr>
        <w:numPr>
          <w:ilvl w:val="0"/>
          <w:numId w:val="1006"/>
        </w:numPr>
        <w:pStyle w:val="Compact"/>
      </w:pPr>
      <w:r>
        <w:rPr>
          <w:bCs/>
          <w:b/>
        </w:rPr>
        <w:t xml:space="preserve">Offer immediate update</w:t>
      </w:r>
      <w:r>
        <w:t xml:space="preserve"> </w:t>
      </w:r>
      <w:r>
        <w:t xml:space="preserve">(</w:t>
      </w:r>
      <w:r>
        <w:t xml:space="preserve">“</w:t>
      </w:r>
      <w:r>
        <w:t xml:space="preserve">Would you like me to apply all corrections and output full vX.Y?</w:t>
      </w:r>
      <w:r>
        <w:t xml:space="preserve">”</w:t>
      </w:r>
      <w:r>
        <w:t xml:space="preserve">).</w:t>
      </w:r>
    </w:p>
    <w:p>
      <w:pPr>
        <w:numPr>
          <w:ilvl w:val="0"/>
          <w:numId w:val="1006"/>
        </w:numPr>
        <w:pStyle w:val="Compact"/>
      </w:pPr>
      <w:r>
        <w:rPr>
          <w:bCs/>
          <w:b/>
        </w:rPr>
        <w:t xml:space="preserve">Output full updated documents</w:t>
      </w:r>
      <w:r>
        <w:t xml:space="preserve"> </w:t>
      </w:r>
      <w:r>
        <w:t xml:space="preserve">when requested.</w:t>
      </w:r>
    </w:p>
    <w:p>
      <w:pPr>
        <w:numPr>
          <w:ilvl w:val="0"/>
          <w:numId w:val="1006"/>
        </w:numPr>
        <w:pStyle w:val="Compact"/>
      </w:pPr>
      <w:r>
        <w:rPr>
          <w:bCs/>
          <w:b/>
        </w:rPr>
        <w:t xml:space="preserve">Never</w:t>
      </w:r>
      <w:r>
        <w:t xml:space="preserve"> </w:t>
      </w:r>
      <w:r>
        <w:t xml:space="preserve">defend previous scores if they violate equivalence.</w:t>
      </w:r>
    </w:p>
    <w:p>
      <w:pPr>
        <w:numPr>
          <w:ilvl w:val="0"/>
          <w:numId w:val="1006"/>
        </w:numPr>
        <w:pStyle w:val="Compact"/>
      </w:pPr>
      <w:r>
        <w:rPr>
          <w:bCs/>
          <w:b/>
        </w:rPr>
        <w:t xml:space="preserve">Always</w:t>
      </w:r>
      <w:r>
        <w:t xml:space="preserve"> </w:t>
      </w:r>
      <w:r>
        <w:t xml:space="preserve">confirm methodological equivalence after any change.</w:t>
      </w:r>
    </w:p>
    <w:p>
      <w:pPr>
        <w:numPr>
          <w:ilvl w:val="0"/>
          <w:numId w:val="1006"/>
        </w:numPr>
        <w:pStyle w:val="Compact"/>
      </w:pPr>
      <w:r>
        <w:rPr>
          <w:bCs/>
          <w:b/>
        </w:rPr>
        <w:t xml:space="preserve">End</w:t>
      </w:r>
      <w:r>
        <w:t xml:space="preserve"> </w:t>
      </w:r>
      <w:r>
        <w:t xml:space="preserve">with a clear next-step offer and file location.</w:t>
      </w:r>
    </w:p>
    <w:p>
      <w:r>
        <w:pict>
          <v:rect style="width:0;height:1.5pt" o:hralign="center" o:hrstd="t" o:hr="t"/>
        </w:pict>
      </w:r>
    </w:p>
    <w:p>
      <w:pPr>
        <w:pStyle w:val="FirstParagraph"/>
      </w:pPr>
      <w:r>
        <w:rPr>
          <w:bCs/>
          <w:b/>
        </w:rPr>
        <w:t xml:space="preserve">This guide is now locked.</w:t>
      </w:r>
    </w:p>
    <w:p>
      <w:pPr>
        <w:pStyle w:val="BodyText"/>
      </w:pPr>
      <w:r>
        <w:t xml:space="preserve">You may begin any new Core 1A scoring thread by stating:</w:t>
      </w:r>
      <w:r>
        <w:br/>
      </w:r>
      <w:r>
        <w:t xml:space="preserve">“</w:t>
      </w:r>
      <w:r>
        <w:t xml:space="preserve">Core 1A Scoring Guide v1.0 loaded and active. Ready for next entity.</w:t>
      </w:r>
      <w:r>
        <w:t xml:space="preserve">”</w:t>
      </w:r>
    </w:p>
    <w:p>
      <w:pPr>
        <w:pStyle w:val="BodyText"/>
      </w:pPr>
      <w:r>
        <w:rPr>
          <w:bCs/>
          <w:b/>
        </w:rPr>
        <w:t xml:space="preserve">End of Complete Guide</w:t>
      </w:r>
      <w:r>
        <w:br/>
      </w:r>
      <w:r>
        <w:t xml:space="preserve">All future scoring must be performed using this exact document.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2026-05-25T16:49:04Z</dcterms:created>
  <dcterms:modified xsi:type="dcterms:W3CDTF">2026-05-25T16:49:04Z</dcterms:modified>
</cp:coreProperties>
</file>

<file path=docProps/custom.xml><?xml version="1.0" encoding="utf-8"?>
<Properties xmlns="http://schemas.openxmlformats.org/officeDocument/2006/custom-properties" xmlns:vt="http://schemas.openxmlformats.org/officeDocument/2006/docPropsVTypes"/>
</file>