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F94" w:rsidRDefault="00791F94" w:rsidP="00791F94">
      <w:pPr>
        <w:pStyle w:val="2"/>
        <w:rPr>
          <w:shd w:val="clear" w:color="auto" w:fill="FFFFFF"/>
          <w:lang w:eastAsia="zh-CN"/>
        </w:rPr>
      </w:pPr>
      <w:bookmarkStart w:id="0" w:name="_Toc413745149"/>
      <w:r w:rsidRPr="00E80F09">
        <w:rPr>
          <w:rFonts w:hint="eastAsia"/>
          <w:shd w:val="clear" w:color="auto" w:fill="FFFFFF"/>
          <w:lang w:eastAsia="zh-CN"/>
        </w:rPr>
        <w:t>教育部关于当前中外合作办学若干问题的意见</w:t>
      </w:r>
      <w:bookmarkEnd w:id="0"/>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各省、自治区、直辖市教育厅（教委）：</w:t>
      </w:r>
    </w:p>
    <w:p w:rsidR="00791F94" w:rsidRDefault="00791F94" w:rsidP="00791F94">
      <w:pPr>
        <w:shd w:val="clear" w:color="auto" w:fill="FFFFFF"/>
        <w:spacing w:before="100" w:beforeAutospacing="1" w:after="375"/>
        <w:ind w:firstLine="420"/>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自《中外合作办学条例》及其实施办法公布施行以来，在国家扩大开放、规范办学、依法管理、促进发展方针的指引下，中外合作办学正在逐步走上规范发展的轨道。为了更好地促进中外合作办学的稳步健康发展，针对当前中外合作办学中存在的突出问题，特提出如下意见：</w:t>
      </w:r>
    </w:p>
    <w:p w:rsidR="00791F94" w:rsidRPr="00E80F09" w:rsidRDefault="00791F94" w:rsidP="00791F94">
      <w:pPr>
        <w:shd w:val="clear" w:color="auto" w:fill="FFFFFF"/>
        <w:spacing w:before="100" w:beforeAutospacing="1" w:after="375"/>
        <w:ind w:firstLine="420"/>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一、坚持中外合作办学的公益性原则。教育是以培养人才为根本目标的崇高的社会公益性事业。教育服务不是货物贸易，也不同于一般的服务贸易。要正确把握中外合作办学的宗旨和性质。坚决制止以中外合作办学的名义实行乱收费、高收费的行为，防止教育产业化的倾向。</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二、坚持依法办学，规范管理。要增强政治敏感性，牢固树立教育主权的意识，维护好国家安全、社会稳定和正常的教育秩序。依法保护中外合作办学者、中外合作办学机构和教师、学生的合法利益。在开展中外合作办学的过程中，注意依法加强中国教育机构的主导地位，坚决贯彻国家的教育方针。</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三、坚持引进优质教育资源，加强能力建设的政策导向。开展中外合作办学，要密切结合国家、地方和区域经济发展对各类人才的需求以及学校学科建设的需要，鼓励在国内急需、薄弱和空白的学科领域与外国高水平大学以及具有优势学科的大学开展合作办学，引导中外合作办学逐步向中西部地区发展。中国教育机构应当根据自身的定位和目标开展中外合作办学，防止盲目攀比、一哄而起和低水平重复的现象。国家重点建设的高等学校更要注意选好合作对象，选好合作模式，选好合作内容，为全面提高学校的整体水平和综合实力服务。</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四、加强中外合作办学的质量管理。当前要重点做好高等教育领域中外合作办学的质量监控，维护中外合作办学的声誉，注意抓好以下几个环节：</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1.要加强招生录取的管理。中外合作办学机构和项目实施高等学历教育的，应当纳入国家下达的高等学校招生计划，在学校年度招生规模内按照专业招生目录分列执行，并须满足同地区同批次录取的要求。在同批次完不成招生计划的，不得转入下批次执行。属于研究生层次的，应当符合国家研究生学历教育招生录取规定和程序；中外合作办学机构和项目实施外国教育机构学历、学位教育的，其录取标准应当不低于外国教育机构在其所属国的录取标准。</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lastRenderedPageBreak/>
        <w:t xml:space="preserve">　　2.要加强培养过程的管理。中外合作办学机构和项目实施本科以上高等学历教育的，其教育教学计划、培养方案、学制年限的制定和执行应当符合国家的有关规定，其本科专业设置专门的专业代码；中外合作办学机构和项目实施外国教育机构学士学位以上学历学位教育的，其共同制订的教育教学计划和培养方案、课程设置、教学内容应当不低于外国教育机构在其所属国的标准和学术要求。中外合作办学机构和项目同时实施中国高等学历教育和外国学历学位教育，并颁发中国学历、学位证书和外国教育机构学历、学位证书的，其培养目标、培养要求、课程设置、教学内容等应当满足双方的学术要求。特别是中外合作办学机构和项目实施外国教育机构课程硕士教育的，在培养过程的各个环节均要严格管理，保障质量。</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3.要加强学科专业的规划和政策引导。研究制订中外合作办学的学科专业指导目录，明确国家鼓励、允许、限制和禁止的学科和专业。</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4.要加强颁发证书的管理。中外合作办学机构和项目实施高等学历教育、颁发中国学历学位证书的，应当严格按照国家有关规定要求执行；中外合作办学机构和项目实施外国教育机构学士学位以上学历学位教育、颁发外国教育机构学历学位证书的，中国教育机构应当具有实施相应层次和类别的学历教育和学位授予的资格，外国教育机构颁发的学历学位证书应当遵循真实有效的原则，与该教育机构在其所属国颁发的学历学位证书相同，并在该国获得承认。</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五、要加强采用“双校园”办学模式的中外合作办学项目的管理。中外合作办学项目应当在中国教育机构内实施完整的或主要的教育教学过程。确需采用“双校园”办学模式举办中外合作办学项目的，应当依法取得行政许可。中国教育机构应当在实施此类项目中切实加大外国教育资源的引进力度，并对引进的外国教育机构的课程，特别是用以替代中国学历教育课程的课程认真进行评估。引进的外方课程和专业核心课程应当占中外合作办学项目全部课程和核心课程的三分之一以上，外国教育机构教师担负的专业核心课程的门数和教学时数应当占中外合作办学项目全部课程和全部教学时数的三分之一以上。以该外国教育机构名义在国际上招聘的教师，其水平应当获得外国教育机构和中国教育机构的认可。</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六、要加强对中外合作办学收费的管理。中外合作办学者设立或举办中外合作办学机构或项目应当有相应的办学投入。中外合作办学者应当认真合理地测算中外合作办学机构或项目的生均培养成本，根据成本补偿的原则，报请有关部门依照政府定价的原则确定收费的项目和标准。收费标准还应当充分考虑当地经济社会发展的实际水平和受教育者的承受能力，注意与公办教育、民办教育保持适当的平衡。仅以学分互认形式进行学生交流的活动，学生在国内校园学习期间，应当按照中国高等学校的正常收费项目和标准收费。在国家出台统一政策规定之前，各地要按照现行管理办法切实将中外合作办学收费的管理工作做实做好。</w:t>
      </w:r>
    </w:p>
    <w:p w:rsidR="00791F94" w:rsidRPr="00E80F09" w:rsidRDefault="00791F94" w:rsidP="00791F94">
      <w:pPr>
        <w:shd w:val="clear" w:color="auto" w:fill="FFFFFF"/>
        <w:spacing w:before="100" w:beforeAutospacing="1" w:after="375"/>
        <w:rPr>
          <w:rFonts w:asciiTheme="minorEastAsia" w:hAnsiTheme="minorEastAsia" w:cs="宋体"/>
          <w:color w:val="000000"/>
          <w:sz w:val="21"/>
          <w:szCs w:val="21"/>
          <w:lang w:eastAsia="zh-CN" w:bidi="ar-SA"/>
        </w:rPr>
      </w:pPr>
      <w:r w:rsidRPr="00E80F09">
        <w:rPr>
          <w:rFonts w:asciiTheme="minorEastAsia" w:hAnsiTheme="minorEastAsia" w:cs="宋体" w:hint="eastAsia"/>
          <w:color w:val="000000"/>
          <w:sz w:val="21"/>
          <w:szCs w:val="21"/>
          <w:lang w:eastAsia="zh-CN" w:bidi="ar-SA"/>
        </w:rPr>
        <w:t xml:space="preserve">　　中外合作办学是我国教育事业的组成部分。各地教育行政部门要认真研究中外合作办学发展过程中的新情况和新问题，不断丰富和完善法律和政策环境，加强本行政区域内中外合</w:t>
      </w:r>
      <w:r w:rsidRPr="00E80F09">
        <w:rPr>
          <w:rFonts w:asciiTheme="minorEastAsia" w:hAnsiTheme="minorEastAsia" w:cs="宋体" w:hint="eastAsia"/>
          <w:color w:val="000000"/>
          <w:sz w:val="21"/>
          <w:szCs w:val="21"/>
          <w:lang w:eastAsia="zh-CN" w:bidi="ar-SA"/>
        </w:rPr>
        <w:lastRenderedPageBreak/>
        <w:t>作办学工作的统筹规划、综合协调和宏观管理，保障中外合作办学为促进我国教育发展与改革，增强我国教育的国际竞争力服务。</w:t>
      </w:r>
    </w:p>
    <w:p w:rsidR="00791F94" w:rsidRPr="00E80F09" w:rsidRDefault="00791F94" w:rsidP="00791F94">
      <w:pPr>
        <w:shd w:val="clear" w:color="auto" w:fill="FFFFFF"/>
        <w:spacing w:before="100" w:beforeAutospacing="1" w:after="375"/>
        <w:jc w:val="right"/>
        <w:rPr>
          <w:rFonts w:ascii="宋体" w:eastAsia="宋体" w:hAnsi="宋体" w:cs="宋体"/>
          <w:color w:val="000000"/>
          <w:sz w:val="24"/>
          <w:szCs w:val="24"/>
          <w:lang w:eastAsia="zh-CN" w:bidi="ar-SA"/>
        </w:rPr>
      </w:pPr>
      <w:r w:rsidRPr="00E80F09">
        <w:rPr>
          <w:rFonts w:asciiTheme="minorEastAsia" w:hAnsiTheme="minorEastAsia" w:cs="宋体" w:hint="eastAsia"/>
          <w:color w:val="000000"/>
          <w:sz w:val="21"/>
          <w:szCs w:val="21"/>
          <w:lang w:eastAsia="zh-CN" w:bidi="ar-SA"/>
        </w:rPr>
        <w:t>二○○六年二月七日</w:t>
      </w:r>
    </w:p>
    <w:p w:rsidR="004C67BC" w:rsidRDefault="004C67BC"/>
    <w:sectPr w:rsidR="004C67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7BC" w:rsidRDefault="004C67BC" w:rsidP="00791F94">
      <w:pPr>
        <w:spacing w:after="0" w:line="240" w:lineRule="auto"/>
      </w:pPr>
      <w:r>
        <w:separator/>
      </w:r>
    </w:p>
  </w:endnote>
  <w:endnote w:type="continuationSeparator" w:id="1">
    <w:p w:rsidR="004C67BC" w:rsidRDefault="004C67BC" w:rsidP="00791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7BC" w:rsidRDefault="004C67BC" w:rsidP="00791F94">
      <w:pPr>
        <w:spacing w:after="0" w:line="240" w:lineRule="auto"/>
      </w:pPr>
      <w:r>
        <w:separator/>
      </w:r>
    </w:p>
  </w:footnote>
  <w:footnote w:type="continuationSeparator" w:id="1">
    <w:p w:rsidR="004C67BC" w:rsidRDefault="004C67BC" w:rsidP="00791F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1F94"/>
    <w:rsid w:val="004C67BC"/>
    <w:rsid w:val="00791F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F94"/>
    <w:pPr>
      <w:spacing w:after="200" w:line="276" w:lineRule="auto"/>
    </w:pPr>
    <w:rPr>
      <w:kern w:val="0"/>
      <w:sz w:val="22"/>
      <w:lang w:eastAsia="en-US" w:bidi="en-US"/>
    </w:rPr>
  </w:style>
  <w:style w:type="paragraph" w:styleId="2">
    <w:name w:val="heading 2"/>
    <w:basedOn w:val="a"/>
    <w:next w:val="a"/>
    <w:link w:val="2Char"/>
    <w:uiPriority w:val="9"/>
    <w:unhideWhenUsed/>
    <w:qFormat/>
    <w:rsid w:val="00791F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1F94"/>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bidi="ar-SA"/>
    </w:rPr>
  </w:style>
  <w:style w:type="character" w:customStyle="1" w:styleId="Char">
    <w:name w:val="页眉 Char"/>
    <w:basedOn w:val="a0"/>
    <w:link w:val="a3"/>
    <w:uiPriority w:val="99"/>
    <w:semiHidden/>
    <w:rsid w:val="00791F94"/>
    <w:rPr>
      <w:sz w:val="18"/>
      <w:szCs w:val="18"/>
    </w:rPr>
  </w:style>
  <w:style w:type="paragraph" w:styleId="a4">
    <w:name w:val="footer"/>
    <w:basedOn w:val="a"/>
    <w:link w:val="Char0"/>
    <w:uiPriority w:val="99"/>
    <w:semiHidden/>
    <w:unhideWhenUsed/>
    <w:rsid w:val="00791F94"/>
    <w:pPr>
      <w:widowControl w:val="0"/>
      <w:tabs>
        <w:tab w:val="center" w:pos="4153"/>
        <w:tab w:val="right" w:pos="8306"/>
      </w:tabs>
      <w:snapToGrid w:val="0"/>
      <w:spacing w:after="0" w:line="240" w:lineRule="auto"/>
    </w:pPr>
    <w:rPr>
      <w:kern w:val="2"/>
      <w:sz w:val="18"/>
      <w:szCs w:val="18"/>
      <w:lang w:eastAsia="zh-CN" w:bidi="ar-SA"/>
    </w:rPr>
  </w:style>
  <w:style w:type="character" w:customStyle="1" w:styleId="Char0">
    <w:name w:val="页脚 Char"/>
    <w:basedOn w:val="a0"/>
    <w:link w:val="a4"/>
    <w:uiPriority w:val="99"/>
    <w:semiHidden/>
    <w:rsid w:val="00791F94"/>
    <w:rPr>
      <w:sz w:val="18"/>
      <w:szCs w:val="18"/>
    </w:rPr>
  </w:style>
  <w:style w:type="character" w:customStyle="1" w:styleId="2Char">
    <w:name w:val="标题 2 Char"/>
    <w:basedOn w:val="a0"/>
    <w:link w:val="2"/>
    <w:uiPriority w:val="9"/>
    <w:rsid w:val="00791F94"/>
    <w:rPr>
      <w:rFonts w:asciiTheme="majorHAnsi" w:eastAsiaTheme="majorEastAsia" w:hAnsiTheme="majorHAnsi" w:cstheme="majorBidi"/>
      <w:b/>
      <w:bCs/>
      <w:color w:val="4F81BD" w:themeColor="accent1"/>
      <w:kern w:val="0"/>
      <w:sz w:val="26"/>
      <w:szCs w:val="26"/>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1929</Characters>
  <Application>Microsoft Office Word</Application>
  <DocSecurity>0</DocSecurity>
  <Lines>16</Lines>
  <Paragraphs>4</Paragraphs>
  <ScaleCrop>false</ScaleCrop>
  <Company>Sky123.Org</Company>
  <LinksUpToDate>false</LinksUpToDate>
  <CharactersWithSpaces>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2015-06-12T02:19:00Z</dcterms:created>
  <dcterms:modified xsi:type="dcterms:W3CDTF">2015-06-12T02:19:00Z</dcterms:modified>
</cp:coreProperties>
</file>