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74B8A">
      <w:pPr>
        <w:spacing w:after="0" w:line="240" w:lineRule="auto"/>
        <w:jc w:val="center"/>
        <w:rPr>
          <w:rFonts w:ascii="黑体" w:hAnsi="黑体" w:eastAsia="黑体"/>
          <w:b/>
          <w:sz w:val="32"/>
        </w:rPr>
      </w:pPr>
      <w:r>
        <w:rPr>
          <w:rFonts w:hint="eastAsia" w:ascii="黑体" w:hAnsi="黑体" w:eastAsia="黑体"/>
          <w:b/>
          <w:sz w:val="32"/>
        </w:rPr>
        <w:t>20</w:t>
      </w:r>
      <w:r>
        <w:rPr>
          <w:rFonts w:ascii="黑体" w:hAnsi="黑体" w:eastAsia="黑体"/>
          <w:b/>
          <w:sz w:val="32"/>
        </w:rPr>
        <w:t>26</w:t>
      </w:r>
      <w:r>
        <w:rPr>
          <w:rFonts w:hint="eastAsia" w:ascii="黑体" w:hAnsi="黑体" w:eastAsia="黑体"/>
          <w:b/>
          <w:sz w:val="32"/>
        </w:rPr>
        <w:t>年第十三届</w:t>
      </w:r>
      <w:r>
        <w:rPr>
          <w:rFonts w:ascii="黑体" w:hAnsi="黑体" w:eastAsia="黑体"/>
          <w:b/>
          <w:sz w:val="32"/>
        </w:rPr>
        <w:t>中国可视化与可视分析大会</w:t>
      </w:r>
    </w:p>
    <w:p w14:paraId="4DC9B2F7">
      <w:pPr>
        <w:spacing w:after="0" w:line="240" w:lineRule="auto"/>
        <w:jc w:val="center"/>
        <w:rPr>
          <w:rFonts w:ascii="黑体" w:hAnsi="黑体" w:eastAsia="黑体"/>
          <w:b/>
          <w:sz w:val="32"/>
        </w:rPr>
      </w:pPr>
      <w:r>
        <w:rPr>
          <w:rFonts w:ascii="黑体" w:hAnsi="黑体" w:eastAsia="黑体"/>
          <w:b/>
          <w:sz w:val="32"/>
        </w:rPr>
        <w:t>数据可视</w:t>
      </w:r>
      <w:r>
        <w:rPr>
          <w:rFonts w:hint="eastAsia" w:ascii="黑体" w:hAnsi="黑体" w:eastAsia="黑体"/>
          <w:b/>
          <w:sz w:val="32"/>
        </w:rPr>
        <w:t>化竞赛 赛道1</w:t>
      </w:r>
      <w:r>
        <w:rPr>
          <w:rFonts w:ascii="黑体" w:hAnsi="黑体" w:eastAsia="黑体"/>
          <w:b/>
          <w:sz w:val="32"/>
        </w:rPr>
        <w:t>-</w:t>
      </w:r>
      <w:r>
        <w:rPr>
          <w:rFonts w:hint="eastAsia" w:ascii="黑体" w:hAnsi="黑体" w:eastAsia="黑体"/>
          <w:b/>
          <w:sz w:val="32"/>
        </w:rPr>
        <w:t>II</w:t>
      </w:r>
    </w:p>
    <w:p w14:paraId="4DE392A9">
      <w:pPr>
        <w:spacing w:after="0" w:line="240" w:lineRule="auto"/>
        <w:jc w:val="center"/>
        <w:rPr>
          <w:rFonts w:ascii="黑体" w:hAnsi="黑体" w:eastAsia="黑体"/>
          <w:b/>
          <w:sz w:val="28"/>
        </w:rPr>
      </w:pPr>
      <w:r>
        <w:rPr>
          <w:rFonts w:ascii="黑体" w:hAnsi="黑体" w:eastAsia="黑体"/>
          <w:b/>
          <w:sz w:val="28"/>
        </w:rPr>
        <w:t>（ChinaVis Data Challenge 2026 -</w:t>
      </w:r>
      <w:r>
        <w:rPr>
          <w:rFonts w:hint="eastAsia" w:ascii="黑体" w:hAnsi="黑体" w:eastAsia="黑体"/>
          <w:b/>
          <w:sz w:val="32"/>
        </w:rPr>
        <w:t xml:space="preserve"> mini</w:t>
      </w:r>
      <w:r>
        <w:rPr>
          <w:rFonts w:ascii="黑体" w:hAnsi="黑体" w:eastAsia="黑体"/>
          <w:b/>
          <w:sz w:val="32"/>
        </w:rPr>
        <w:t xml:space="preserve"> challenge </w:t>
      </w:r>
      <w:r>
        <w:rPr>
          <w:rFonts w:hint="eastAsia" w:ascii="黑体" w:hAnsi="黑体" w:eastAsia="黑体"/>
          <w:b/>
          <w:sz w:val="32"/>
        </w:rPr>
        <w:t>1</w:t>
      </w:r>
      <w:r>
        <w:rPr>
          <w:rFonts w:ascii="黑体" w:hAnsi="黑体" w:eastAsia="黑体"/>
          <w:b/>
          <w:sz w:val="32"/>
        </w:rPr>
        <w:t>-II</w:t>
      </w:r>
      <w:r>
        <w:rPr>
          <w:rFonts w:ascii="黑体" w:hAnsi="黑体" w:eastAsia="黑体"/>
          <w:b/>
          <w:sz w:val="28"/>
        </w:rPr>
        <w:t>）</w:t>
      </w:r>
    </w:p>
    <w:p w14:paraId="2E7E2A92">
      <w:pPr>
        <w:spacing w:after="0" w:line="240" w:lineRule="auto"/>
        <w:jc w:val="center"/>
        <w:rPr>
          <w:rFonts w:ascii="黑体" w:hAnsi="黑体" w:eastAsia="黑体"/>
          <w:b/>
          <w:sz w:val="32"/>
        </w:rPr>
      </w:pPr>
      <w:r>
        <w:rPr>
          <w:rFonts w:ascii="黑体" w:hAnsi="黑体" w:eastAsia="黑体"/>
          <w:b/>
          <w:sz w:val="32"/>
        </w:rPr>
        <w:t>答</w:t>
      </w:r>
      <w:r>
        <w:rPr>
          <w:rFonts w:hint="eastAsia" w:ascii="黑体" w:hAnsi="黑体" w:eastAsia="黑体"/>
          <w:b/>
          <w:sz w:val="32"/>
        </w:rPr>
        <w:t xml:space="preserve"> </w:t>
      </w:r>
      <w:r>
        <w:rPr>
          <w:rFonts w:ascii="黑体" w:hAnsi="黑体" w:eastAsia="黑体"/>
          <w:b/>
          <w:sz w:val="32"/>
        </w:rPr>
        <w:t xml:space="preserve"> 卷</w:t>
      </w:r>
    </w:p>
    <w:p w14:paraId="39340053">
      <w:pPr>
        <w:spacing w:after="0" w:line="240" w:lineRule="auto"/>
        <w:rPr>
          <w:rFonts w:ascii="黑体" w:hAnsi="黑体" w:eastAsia="黑体"/>
          <w:b/>
          <w:sz w:val="32"/>
        </w:rPr>
      </w:pPr>
    </w:p>
    <w:p w14:paraId="1AFD4F77">
      <w:r>
        <w:t>参赛队名称：</w:t>
      </w:r>
      <w:r>
        <w:rPr>
          <w:rFonts w:hint="eastAsia"/>
          <w:lang w:val="en-US" w:eastAsia="zh-CN"/>
        </w:rPr>
        <w:t>江南大学-你说的都队-赛道2</w:t>
      </w:r>
    </w:p>
    <w:p w14:paraId="02DE3D82">
      <w:pPr>
        <w:rPr>
          <w:color w:val="BFBFBF"/>
        </w:rPr>
      </w:pPr>
      <w:r>
        <w:rPr>
          <w:rFonts w:hint="eastAsia"/>
        </w:rPr>
        <w:t>团队</w:t>
      </w:r>
      <w:r>
        <w:t>成员：</w:t>
      </w:r>
      <w:r>
        <w:tab/>
      </w:r>
      <w:r>
        <w:rPr>
          <w:rFonts w:hint="eastAsia"/>
          <w:lang w:val="en-US" w:eastAsia="zh-CN"/>
        </w:rPr>
        <w:t>潘睿哲，江南大学，11932301xx@jiangnan.edu.cn，队长</w:t>
      </w:r>
      <w:bookmarkStart w:id="0" w:name="_GoBack"/>
      <w:bookmarkEnd w:id="0"/>
    </w:p>
    <w:p w14:paraId="22EA5D53">
      <w:pPr>
        <w:rPr>
          <w:color w:val="BFBFBF"/>
        </w:rPr>
      </w:pPr>
      <w:r>
        <w:rPr>
          <w:color w:val="BFBFBF"/>
        </w:rPr>
        <w:tab/>
      </w:r>
      <w:r>
        <w:rPr>
          <w:color w:val="BFBFBF"/>
        </w:rPr>
        <w:tab/>
      </w:r>
      <w:r>
        <w:rPr>
          <w:color w:val="BFBFBF"/>
        </w:rPr>
        <w:tab/>
      </w:r>
      <w:r>
        <w:rPr>
          <w:rFonts w:hint="eastAsia"/>
          <w:b w:val="0"/>
          <w:bCs w:val="0"/>
          <w:color w:val="auto"/>
          <w:highlight w:val="none"/>
          <w:lang w:val="en-US" w:eastAsia="zh-CN"/>
        </w:rPr>
        <w:t>马承芳，江南大学，1193230403@jiangnan.edu.cn，队员</w:t>
      </w:r>
    </w:p>
    <w:p w14:paraId="00A48E75">
      <w:pPr>
        <w:rPr>
          <w:rFonts w:hint="eastAsia"/>
          <w:color w:val="auto"/>
          <w:lang w:val="en-US" w:eastAsia="zh-CN"/>
        </w:rPr>
      </w:pPr>
      <w:r>
        <w:rPr>
          <w:color w:val="BFBFBF"/>
        </w:rPr>
        <w:tab/>
      </w:r>
      <w:r>
        <w:rPr>
          <w:color w:val="BFBFBF"/>
        </w:rPr>
        <w:tab/>
      </w:r>
      <w:r>
        <w:rPr>
          <w:color w:val="BFBFBF"/>
        </w:rPr>
        <w:tab/>
      </w:r>
      <w:r>
        <w:rPr>
          <w:rFonts w:hint="eastAsia"/>
          <w:color w:val="auto"/>
          <w:lang w:val="en-US" w:eastAsia="zh-CN"/>
        </w:rPr>
        <w:t>张蕊，江南大学，119323030x@jiangnan.edu.cn，队员</w:t>
      </w:r>
    </w:p>
    <w:p w14:paraId="140AFC5E">
      <w:pPr>
        <w:ind w:left="840" w:leftChars="0" w:firstLine="420" w:firstLineChars="0"/>
        <w:rPr>
          <w:color w:val="BFBFBF"/>
        </w:rPr>
      </w:pPr>
      <w:r>
        <w:rPr>
          <w:rFonts w:hint="eastAsia"/>
          <w:color w:val="auto"/>
          <w:lang w:val="en-US" w:eastAsia="zh-CN"/>
        </w:rPr>
        <w:t>张军，江南大学，指导老师</w:t>
      </w:r>
    </w:p>
    <w:p w14:paraId="04806A02">
      <w:pPr>
        <w:rPr>
          <w:color w:val="BFBFBF"/>
        </w:rPr>
      </w:pPr>
      <w:r>
        <w:t>团队成员是否与报名表一致</w:t>
      </w:r>
      <w:r>
        <w:rPr>
          <w:rFonts w:hint="eastAsia"/>
        </w:rPr>
        <w:t>（是或否）</w:t>
      </w:r>
      <w:r>
        <w:rPr>
          <w:rFonts w:hint="eastAsia"/>
          <w:lang w:eastAsia="zh-CN"/>
        </w:rPr>
        <w:t>：</w:t>
      </w:r>
      <w:r>
        <w:rPr>
          <w:rFonts w:hint="eastAsia"/>
          <w:lang w:val="en-US" w:eastAsia="zh-CN"/>
        </w:rPr>
        <w:t>是</w:t>
      </w:r>
    </w:p>
    <w:p w14:paraId="4D6F899F">
      <w:r>
        <w:rPr>
          <w:rFonts w:hint="eastAsia"/>
        </w:rPr>
        <w:t>是否</w:t>
      </w:r>
      <w:r>
        <w:t>学生</w:t>
      </w:r>
      <w:r>
        <w:rPr>
          <w:rFonts w:hint="eastAsia"/>
        </w:rPr>
        <w:t>队（是或否）：</w:t>
      </w:r>
      <w:r>
        <w:tab/>
      </w:r>
      <w:r>
        <w:rPr>
          <w:rFonts w:hint="eastAsia"/>
          <w:lang w:val="en-US" w:eastAsia="zh-CN"/>
        </w:rPr>
        <w:t>是</w:t>
      </w:r>
    </w:p>
    <w:p w14:paraId="5975F492">
      <w:pPr>
        <w:rPr>
          <w:rFonts w:hint="eastAsia"/>
        </w:rPr>
      </w:pPr>
      <w:r>
        <w:rPr>
          <w:rFonts w:hint="eastAsia"/>
        </w:rPr>
        <w:t>使用</w:t>
      </w:r>
      <w:r>
        <w:t>的分析工具</w:t>
      </w:r>
      <w:r>
        <w:rPr>
          <w:rFonts w:hint="eastAsia"/>
        </w:rPr>
        <w:t>或开发工具（</w:t>
      </w:r>
      <w:r>
        <w:t>如果使用了自己研发的软件或工具请具体说明</w:t>
      </w:r>
      <w:r>
        <w:rPr>
          <w:rFonts w:hint="eastAsia"/>
        </w:rPr>
        <w:t>）</w:t>
      </w:r>
      <w:r>
        <w:t>：</w:t>
      </w:r>
      <w:r>
        <w:rPr>
          <w:rFonts w:hint="eastAsia"/>
        </w:rPr>
        <w:t>Python、NumPy、SciPy、Matplotlib、scikit-image、Three.js、WebGL2、D3.js、Vite；自研 Nyx Cosmic Explorer 宇宙学体数据可视分析系统，用于密度体渲染、时间序列统计、宇宙网形态分析与相空间刷选联动。</w:t>
      </w:r>
    </w:p>
    <w:p w14:paraId="43891EE1">
      <w:pPr>
        <w:rPr>
          <w:rFonts w:hint="default"/>
          <w:lang w:val="en-US"/>
        </w:rPr>
      </w:pPr>
      <w:r>
        <w:t>共计耗费时间（人天）：</w:t>
      </w:r>
      <w:r>
        <w:rPr>
          <w:rFonts w:hint="eastAsia"/>
        </w:rPr>
        <w:t xml:space="preserve"> </w:t>
      </w:r>
      <w:r>
        <w:rPr>
          <w:rFonts w:hint="eastAsia"/>
          <w:lang w:val="en-US" w:eastAsia="zh-CN"/>
        </w:rPr>
        <w:t>60人天</w:t>
      </w:r>
    </w:p>
    <w:p w14:paraId="7E726AB0">
      <w:pPr>
        <w:rPr>
          <w:color w:val="BFBFBF"/>
        </w:rPr>
      </w:pPr>
      <w:r>
        <w:rPr>
          <w:rFonts w:hint="eastAsia"/>
        </w:rPr>
        <w:t>本次</w:t>
      </w:r>
      <w:r>
        <w:t>比赛结束后，我们</w:t>
      </w:r>
      <w:r>
        <w:rPr>
          <w:rFonts w:hint="eastAsia"/>
        </w:rPr>
        <w:t>是否</w:t>
      </w:r>
      <w:r>
        <w:t>可以在网络上公布该答卷与视频（是或否）：</w:t>
      </w:r>
      <w:r>
        <w:rPr>
          <w:rFonts w:hint="eastAsia"/>
          <w:lang w:val="en-US" w:eastAsia="zh-CN"/>
        </w:rPr>
        <w:t>是</w:t>
      </w:r>
    </w:p>
    <w:p w14:paraId="24198F09">
      <w:pPr>
        <w:rPr>
          <w:sz w:val="20"/>
          <w:szCs w:val="20"/>
        </w:rPr>
      </w:pPr>
    </w:p>
    <w:p w14:paraId="03910E5C">
      <w:pPr>
        <w:ind w:firstLine="708"/>
        <w:rPr>
          <w:sz w:val="20"/>
          <w:szCs w:val="20"/>
        </w:rPr>
      </w:pPr>
    </w:p>
    <w:p w14:paraId="6EE09AD6">
      <w:pPr>
        <w:ind w:firstLine="708"/>
        <w:rPr>
          <w:sz w:val="20"/>
          <w:szCs w:val="20"/>
        </w:rPr>
      </w:pPr>
    </w:p>
    <w:p w14:paraId="078E7517">
      <w:pPr>
        <w:rPr>
          <w:sz w:val="20"/>
          <w:szCs w:val="20"/>
        </w:rPr>
      </w:pPr>
      <w:r>
        <w:rPr>
          <w:sz w:val="20"/>
          <w:szCs w:val="20"/>
        </w:rPr>
        <w:br w:type="page"/>
      </w:r>
    </w:p>
    <w:p w14:paraId="39A10585">
      <w:pPr>
        <w:rPr>
          <w:rFonts w:ascii="黑体" w:hAnsi="黑体" w:eastAsia="黑体"/>
          <w:b/>
          <w:sz w:val="24"/>
        </w:rPr>
      </w:pPr>
      <w:r>
        <w:rPr>
          <w:rFonts w:hint="eastAsia" w:ascii="黑体" w:hAnsi="黑体" w:eastAsia="黑体"/>
          <w:b/>
          <w:sz w:val="24"/>
        </w:rPr>
        <w:t>1、采用体数据渲染技术，并设计合适的传递函数和光照效果，展示宇宙演化中密度信息的变化。</w:t>
      </w:r>
      <w:r>
        <w:rPr>
          <w:rFonts w:hint="eastAsia" w:ascii="黑体" w:hAnsi="黑体" w:eastAsia="黑体"/>
          <w:color w:val="C45911"/>
          <w:sz w:val="24"/>
        </w:rPr>
        <w:t>（建议参赛者回答此题文字不多于800字，图片不多于5张）</w:t>
      </w:r>
    </w:p>
    <w:p w14:paraId="7F138BE9">
      <w:pPr>
        <w:spacing w:after="120" w:line="300" w:lineRule="auto"/>
        <w:rPr>
          <w:rFonts w:hint="eastAsia" w:ascii="Times New Roman" w:hAnsi="Times New Roman" w:eastAsia="宋体"/>
          <w:b w:val="0"/>
          <w:sz w:val="21"/>
        </w:rPr>
      </w:pPr>
    </w:p>
    <w:p w14:paraId="2EDD8204">
      <w:pPr>
        <w:spacing w:after="120" w:line="300" w:lineRule="auto"/>
        <w:ind w:firstLine="420"/>
        <w:rPr>
          <w:rFonts w:hint="eastAsia" w:ascii="Times New Roman" w:hAnsi="Times New Roman" w:eastAsia="宋体"/>
          <w:b w:val="0"/>
          <w:sz w:val="21"/>
        </w:rPr>
      </w:pPr>
      <w:r>
        <w:rPr>
          <w:rFonts w:hint="eastAsia" w:ascii="Times New Roman" w:hAnsi="Times New Roman" w:eastAsia="宋体"/>
          <w:b w:val="0"/>
          <w:sz w:val="21"/>
        </w:rPr>
        <w:t>本作品针对 Nyx 模拟得到的 100 个时间步、128^3 体数据，将气体密度先转为对数密度场：</w:t>
      </w:r>
    </w:p>
    <w:p w14:paraId="6C2AFC8C">
      <w:pPr>
        <w:spacing w:after="120" w:line="300" w:lineRule="auto"/>
        <w:ind w:firstLine="420"/>
        <w:rPr>
          <w:rFonts w:hint="eastAsia" w:ascii="Times New Roman" w:hAnsi="Times New Roman" w:eastAsia="宋体"/>
          <w:b w:val="0"/>
          <w:sz w:val="21"/>
        </w:rPr>
      </w:pPr>
      <m:oMathPara>
        <m:oMath>
          <m:r>
            <m:rPr>
              <m:nor/>
            </m:rPr>
            <w:rPr>
              <w:rFonts w:hint="default" w:ascii="Times New Roman" w:hAnsi="Times New Roman" w:eastAsia="宋体" w:cs="Times New Roman"/>
              <w:i/>
              <w:sz w:val="21"/>
            </w:rPr>
            <m:t>V</m:t>
          </m:r>
          <m:r>
            <m:rPr>
              <m:nor/>
              <m:sty m:val="p"/>
            </m:rPr>
            <w:rPr>
              <w:rFonts w:hint="default" w:ascii="Times New Roman" w:hAnsi="Times New Roman" w:eastAsia="宋体" w:cs="Times New Roman"/>
              <w:i w:val="0"/>
              <w:sz w:val="21"/>
            </w:rPr>
            <m:t>(</m:t>
          </m:r>
          <m:r>
            <m:rPr>
              <m:nor/>
              <m:sty m:val="b"/>
            </m:rPr>
            <w:rPr>
              <w:rFonts w:hint="default" w:ascii="Times New Roman" w:hAnsi="Times New Roman" w:eastAsia="宋体" w:cs="Times New Roman"/>
              <w:b/>
              <w:sz w:val="21"/>
            </w:rPr>
            <m:t>x</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func>
            <m:funcPr>
              <m:ctrlPr>
                <w:rPr>
                  <w:rFonts w:hint="default" w:ascii="Cambria Math" w:hAnsi="Cambria Math" w:eastAsia="宋体" w:cs="Times New Roman"/>
                  <w:sz w:val="21"/>
                </w:rPr>
              </m:ctrlPr>
            </m:funcPr>
            <m:fName>
              <m:sSub>
                <m:sSubPr>
                  <m:ctrlPr>
                    <w:rPr>
                      <w:rFonts w:hint="default" w:ascii="Cambria Math" w:hAnsi="Cambria Math" w:eastAsia="宋体" w:cs="Times New Roman"/>
                      <w:sz w:val="21"/>
                    </w:rPr>
                  </m:ctrlPr>
                </m:sSubPr>
                <m:e>
                  <m:r>
                    <m:rPr>
                      <m:nor/>
                      <m:sty m:val="p"/>
                    </m:rPr>
                    <w:rPr>
                      <w:rFonts w:hint="default" w:ascii="Times New Roman" w:hAnsi="Times New Roman" w:eastAsia="宋体" w:cs="Times New Roman"/>
                      <w:sz w:val="21"/>
                    </w:rPr>
                    <m:t>log</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10</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fName>
            <m:e>
              <m:r>
                <m:rPr>
                  <m:nor/>
                </m:rPr>
                <w:rPr>
                  <w:rFonts w:hint="default" w:ascii="Times New Roman" w:hAnsi="Times New Roman" w:eastAsia="宋体" w:cs="Times New Roman"/>
                  <w:i/>
                  <w:sz w:val="21"/>
                </w:rPr>
                <m:t>ρ</m:t>
              </m:r>
              <m:ctrlPr>
                <w:rPr>
                  <w:rFonts w:hint="default" w:ascii="Cambria Math" w:hAnsi="Cambria Math" w:eastAsia="宋体" w:cs="Times New Roman"/>
                  <w:sz w:val="21"/>
                </w:rPr>
              </m:ctrlPr>
            </m:e>
          </m:func>
          <m:r>
            <m:rPr>
              <m:nor/>
              <m:sty m:val="p"/>
            </m:rPr>
            <w:rPr>
              <w:rFonts w:hint="default" w:ascii="Times New Roman" w:hAnsi="Times New Roman" w:eastAsia="宋体" w:cs="Times New Roman"/>
              <w:i w:val="0"/>
              <w:sz w:val="21"/>
            </w:rPr>
            <m:t>(</m:t>
          </m:r>
          <m:r>
            <m:rPr>
              <m:nor/>
              <m:sty m:val="b"/>
            </m:rPr>
            <w:rPr>
              <w:rFonts w:hint="default" w:ascii="Times New Roman" w:hAnsi="Times New Roman" w:eastAsia="宋体" w:cs="Times New Roman"/>
              <w:b/>
              <w:sz w:val="21"/>
            </w:rPr>
            <m:t>x</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oMath>
      </m:oMathPara>
    </w:p>
    <w:p w14:paraId="15361057">
      <w:pPr>
        <w:spacing w:after="120" w:line="300" w:lineRule="auto"/>
        <w:ind w:firstLine="420"/>
        <w:rPr>
          <w:rFonts w:hint="eastAsia" w:ascii="Times New Roman" w:hAnsi="Times New Roman" w:eastAsia="宋体"/>
          <w:b w:val="0"/>
          <w:sz w:val="21"/>
        </w:rPr>
      </w:pPr>
      <w:r>
        <w:rPr>
          <w:rFonts w:hint="eastAsia" w:ascii="Times New Roman" w:hAnsi="Times New Roman" w:eastAsia="宋体"/>
          <w:b w:val="0"/>
          <w:sz w:val="21"/>
        </w:rPr>
        <w:t>为保证不同时刻之间具有可比性，我们不对单帧单独拉伸，而采用全局分位数锚定密度尺度：</w:t>
      </w:r>
    </w:p>
    <w:p w14:paraId="5E2362D9">
      <w:pPr>
        <w:spacing w:after="120" w:line="300" w:lineRule="auto"/>
        <w:ind w:firstLine="420"/>
        <w:rPr>
          <w:rFonts w:hint="eastAsia" w:ascii="Times New Roman" w:hAnsi="Times New Roman" w:eastAsia="宋体"/>
          <w:b w:val="0"/>
          <w:sz w:val="21"/>
        </w:rPr>
      </w:pPr>
    </w:p>
    <w:p w14:paraId="42A4279C">
      <w:pPr>
        <w:spacing w:after="120" w:line="300" w:lineRule="auto"/>
        <w:rPr>
          <w:rFonts w:hint="eastAsia" w:hAnsi="Times New Roman" w:eastAsia="宋体"/>
          <w:b w:val="0"/>
          <w:i w:val="0"/>
          <w:sz w:val="21"/>
        </w:rPr>
      </w:pPr>
      <m:oMathPara>
        <m:oMath>
          <m:r>
            <m:rPr>
              <m:nor/>
            </m:rPr>
            <w:rPr>
              <w:rFonts w:hint="default" w:ascii="Times New Roman" w:hAnsi="Times New Roman" w:eastAsia="宋体" w:cs="Times New Roman"/>
              <w:i/>
              <w:sz w:val="21"/>
            </w:rPr>
            <m:t>u</m:t>
          </m:r>
          <m:r>
            <m:rPr>
              <m:nor/>
              <m:sty m:val="p"/>
            </m:rPr>
            <w:rPr>
              <w:rFonts w:hint="default" w:ascii="Times New Roman" w:hAnsi="Times New Roman" w:eastAsia="宋体" w:cs="Times New Roman"/>
              <w:i w:val="0"/>
              <w:sz w:val="21"/>
            </w:rPr>
            <m:t>(</m:t>
          </m:r>
          <m:r>
            <m:rPr>
              <m:nor/>
              <m:sty m:val="b"/>
            </m:rPr>
            <w:rPr>
              <w:rFonts w:hint="default" w:ascii="Times New Roman" w:hAnsi="Times New Roman" w:eastAsia="宋体" w:cs="Times New Roman"/>
              <w:b/>
              <w:sz w:val="21"/>
            </w:rPr>
            <m:t>x</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func>
            <m:funcPr>
              <m:ctrlPr>
                <w:rPr>
                  <w:rFonts w:hint="default" w:ascii="Cambria Math" w:hAnsi="Cambria Math" w:eastAsia="宋体" w:cs="Times New Roman"/>
                  <w:sz w:val="21"/>
                </w:rPr>
              </m:ctrlPr>
            </m:funcPr>
            <m:fName>
              <m:limLow>
                <m:limLowPr>
                  <m:ctrlPr>
                    <w:rPr>
                      <w:rFonts w:hint="default" w:ascii="Cambria Math" w:hAnsi="Cambria Math" w:eastAsia="宋体" w:cs="Times New Roman"/>
                      <w:sz w:val="21"/>
                    </w:rPr>
                  </m:ctrlPr>
                </m:limLowPr>
                <m:e>
                  <m:r>
                    <m:rPr>
                      <m:nor/>
                      <m:sty m:val="p"/>
                    </m:rPr>
                    <w:rPr>
                      <w:rFonts w:hint="default" w:ascii="Times New Roman" w:hAnsi="Times New Roman" w:eastAsia="宋体" w:cs="Times New Roman"/>
                      <w:sz w:val="21"/>
                    </w:rPr>
                    <m:t>min</m:t>
                  </m:r>
                  <m:ctrlPr>
                    <w:rPr>
                      <w:rFonts w:hint="default" w:ascii="Cambria Math" w:hAnsi="Cambria Math" w:eastAsia="宋体" w:cs="Times New Roman"/>
                      <w:sz w:val="21"/>
                    </w:rPr>
                  </m:ctrlPr>
                </m:e>
                <m:lim>
                  <m:ctrlPr>
                    <w:rPr>
                      <w:rFonts w:hint="default" w:ascii="Cambria Math" w:hAnsi="Cambria Math" w:eastAsia="宋体" w:cs="Times New Roman"/>
                      <w:sz w:val="21"/>
                    </w:rPr>
                  </m:ctrlPr>
                </m:lim>
              </m:limLow>
              <m:ctrlPr>
                <w:rPr>
                  <w:rFonts w:hint="default" w:ascii="Cambria Math" w:hAnsi="Cambria Math" w:eastAsia="宋体" w:cs="Times New Roman"/>
                  <w:sz w:val="21"/>
                </w:rPr>
              </m:ctrlPr>
            </m:fName>
            <m:e>
              <m:d>
                <m:dPr>
                  <m:begChr m:val="{"/>
                  <m:endChr m:val="}"/>
                  <m:ctrlPr>
                    <w:rPr>
                      <w:rFonts w:hint="default" w:ascii="Cambria Math" w:hAnsi="Cambria Math" w:eastAsia="宋体" w:cs="Times New Roman"/>
                      <w:sz w:val="21"/>
                    </w:rPr>
                  </m:ctrlPr>
                </m:dPr>
                <m:e>
                  <m:r>
                    <m:rPr>
                      <m:nor/>
                      <m:sty m:val="p"/>
                    </m:rPr>
                    <w:rPr>
                      <w:rFonts w:hint="default" w:ascii="Times New Roman" w:hAnsi="Times New Roman" w:eastAsia="宋体" w:cs="Times New Roman"/>
                      <w:i w:val="0"/>
                      <w:sz w:val="21"/>
                    </w:rPr>
                    <m:t>1,</m:t>
                  </m:r>
                  <m:func>
                    <m:funcPr>
                      <m:ctrlPr>
                        <w:rPr>
                          <w:rFonts w:hint="default" w:ascii="Cambria Math" w:hAnsi="Cambria Math" w:eastAsia="宋体" w:cs="Times New Roman"/>
                          <w:sz w:val="21"/>
                        </w:rPr>
                      </m:ctrlPr>
                    </m:funcPr>
                    <m:fName>
                      <m:limLow>
                        <m:limLowPr>
                          <m:ctrlPr>
                            <w:rPr>
                              <w:rFonts w:hint="default" w:ascii="Cambria Math" w:hAnsi="Cambria Math" w:eastAsia="宋体" w:cs="Times New Roman"/>
                              <w:sz w:val="21"/>
                            </w:rPr>
                          </m:ctrlPr>
                        </m:limLowPr>
                        <m:e>
                          <m:r>
                            <m:rPr>
                              <m:nor/>
                              <m:sty m:val="p"/>
                            </m:rPr>
                            <w:rPr>
                              <w:rFonts w:hint="default" w:ascii="Times New Roman" w:hAnsi="Times New Roman" w:eastAsia="宋体" w:cs="Times New Roman"/>
                              <w:sz w:val="21"/>
                            </w:rPr>
                            <m:t>max</m:t>
                          </m:r>
                          <m:ctrlPr>
                            <w:rPr>
                              <w:rFonts w:hint="default" w:ascii="Cambria Math" w:hAnsi="Cambria Math" w:eastAsia="宋体" w:cs="Times New Roman"/>
                              <w:sz w:val="21"/>
                            </w:rPr>
                          </m:ctrlPr>
                        </m:e>
                        <m:lim>
                          <m:ctrlPr>
                            <w:rPr>
                              <w:rFonts w:hint="default" w:ascii="Cambria Math" w:hAnsi="Cambria Math" w:eastAsia="宋体" w:cs="Times New Roman"/>
                              <w:sz w:val="21"/>
                            </w:rPr>
                          </m:ctrlPr>
                        </m:lim>
                      </m:limLow>
                      <m:ctrlPr>
                        <w:rPr>
                          <w:rFonts w:hint="default" w:ascii="Cambria Math" w:hAnsi="Cambria Math" w:eastAsia="宋体" w:cs="Times New Roman"/>
                          <w:sz w:val="21"/>
                        </w:rPr>
                      </m:ctrlPr>
                    </m:fName>
                    <m:e>
                      <m:d>
                        <m:dPr>
                          <m:begChr m:val="{"/>
                          <m:endChr m:val="}"/>
                          <m:ctrlPr>
                            <w:rPr>
                              <w:rFonts w:hint="default" w:ascii="Cambria Math" w:hAnsi="Cambria Math" w:eastAsia="宋体" w:cs="Times New Roman"/>
                              <w:sz w:val="21"/>
                            </w:rPr>
                          </m:ctrlPr>
                        </m:dPr>
                        <m:e>
                          <m:r>
                            <m:rPr>
                              <m:nor/>
                              <m:sty m:val="p"/>
                            </m:rPr>
                            <w:rPr>
                              <w:rFonts w:hint="default" w:ascii="Times New Roman" w:hAnsi="Times New Roman" w:eastAsia="宋体" w:cs="Times New Roman"/>
                              <w:i w:val="0"/>
                              <w:sz w:val="21"/>
                            </w:rPr>
                            <m:t>0,</m:t>
                          </m:r>
                          <m:f>
                            <m:fPr>
                              <m:ctrlPr>
                                <w:rPr>
                                  <w:rFonts w:hint="default" w:ascii="Cambria Math" w:hAnsi="Cambria Math" w:eastAsia="宋体" w:cs="Times New Roman"/>
                                  <w:sz w:val="21"/>
                                </w:rPr>
                              </m:ctrlPr>
                            </m:fPr>
                            <m:num>
                              <m:r>
                                <m:rPr>
                                  <m:nor/>
                                </m:rPr>
                                <w:rPr>
                                  <w:rFonts w:hint="default" w:ascii="Times New Roman" w:hAnsi="Times New Roman" w:eastAsia="宋体" w:cs="Times New Roman"/>
                                  <w:i/>
                                  <w:sz w:val="21"/>
                                </w:rPr>
                                <m:t>V</m:t>
                              </m:r>
                              <m:r>
                                <m:rPr>
                                  <m:nor/>
                                  <m:sty m:val="p"/>
                                </m:rPr>
                                <w:rPr>
                                  <w:rFonts w:hint="default" w:ascii="Times New Roman" w:hAnsi="Times New Roman" w:eastAsia="宋体" w:cs="Times New Roman"/>
                                  <w:i w:val="0"/>
                                  <w:sz w:val="21"/>
                                </w:rPr>
                                <m:t>(</m:t>
                              </m:r>
                              <m:r>
                                <m:rPr>
                                  <m:nor/>
                                  <m:sty m:val="b"/>
                                </m:rPr>
                                <w:rPr>
                                  <w:rFonts w:hint="default" w:ascii="Times New Roman" w:hAnsi="Times New Roman" w:eastAsia="宋体" w:cs="Times New Roman"/>
                                  <w:b/>
                                  <w:sz w:val="21"/>
                                </w:rPr>
                                <m:t>x</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P</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num>
                            <m:den>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P</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99.8</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P</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i w:val="0"/>
                                      <w:sz w:val="21"/>
                                    </w:rPr>
                                    <m:t>1</m:t>
                                  </m:r>
                                  <m:ctrlPr>
                                    <w:rPr>
                                      <w:rFonts w:hint="default" w:ascii="Cambria Math" w:hAnsi="Cambria Math" w:eastAsia="宋体" w:cs="Times New Roman"/>
                                      <w:sz w:val="21"/>
                                    </w:rPr>
                                  </m:ctrlPr>
                                </m:sub>
                              </m:sSub>
                              <m:ctrlPr>
                                <w:rPr>
                                  <w:rFonts w:hint="default" w:ascii="Cambria Math" w:hAnsi="Cambria Math" w:eastAsia="宋体" w:cs="Times New Roman"/>
                                  <w:sz w:val="21"/>
                                </w:rPr>
                              </m:ctrlPr>
                            </m:den>
                          </m:f>
                          <m:ctrlPr>
                            <w:rPr>
                              <w:rFonts w:hint="default" w:ascii="Cambria Math" w:hAnsi="Cambria Math" w:eastAsia="宋体" w:cs="Times New Roman"/>
                              <w:sz w:val="21"/>
                            </w:rPr>
                          </m:ctrlPr>
                        </m:e>
                      </m:d>
                      <m:ctrlPr>
                        <w:rPr>
                          <w:rFonts w:hint="default" w:ascii="Cambria Math" w:hAnsi="Cambria Math" w:eastAsia="宋体" w:cs="Times New Roman"/>
                          <w:sz w:val="21"/>
                        </w:rPr>
                      </m:ctrlPr>
                    </m:e>
                  </m:func>
                  <m:ctrlPr>
                    <w:rPr>
                      <w:rFonts w:hint="default" w:ascii="Cambria Math" w:hAnsi="Cambria Math" w:eastAsia="宋体" w:cs="Times New Roman"/>
                      <w:sz w:val="21"/>
                    </w:rPr>
                  </m:ctrlPr>
                </m:e>
              </m:d>
              <m:ctrlPr>
                <w:rPr>
                  <w:rFonts w:hint="default" w:ascii="Cambria Math" w:hAnsi="Cambria Math" w:eastAsia="宋体" w:cs="Times New Roman"/>
                  <w:sz w:val="21"/>
                </w:rPr>
              </m:ctrlPr>
            </m:e>
          </m:func>
        </m:oMath>
      </m:oMathPara>
    </w:p>
    <w:p w14:paraId="204DA54B">
      <w:pPr>
        <w:spacing w:after="120" w:line="300" w:lineRule="auto"/>
        <w:ind w:firstLine="420"/>
        <w:rPr>
          <w:rFonts w:hint="eastAsia" w:ascii="Times New Roman" w:hAnsi="Times New Roman" w:eastAsia="宋体"/>
          <w:b w:val="0"/>
          <w:sz w:val="21"/>
        </w:rPr>
      </w:pPr>
      <w:r>
        <w:rPr>
          <w:rFonts w:hint="eastAsia" w:ascii="Times New Roman" w:hAnsi="Times New Roman" w:eastAsia="宋体"/>
          <w:b w:val="0"/>
          <w:sz w:val="21"/>
        </w:rPr>
        <w:t>其中 \(P_1\) 与 \(P_{99.8}\) 来自全部时间步的全局密度分布。颜色与不透明度由传递函数统一给出：</w:t>
      </w:r>
    </w:p>
    <w:p w14:paraId="6E527A77">
      <w:pPr>
        <w:spacing w:after="120" w:line="300" w:lineRule="auto"/>
        <w:rPr>
          <w:rFonts w:hint="eastAsia" w:hAnsi="Times New Roman" w:eastAsia="宋体"/>
          <w:b w:val="0"/>
          <w:i w:val="0"/>
          <w:sz w:val="21"/>
        </w:rPr>
      </w:pPr>
      <m:oMathPara>
        <m:oMath>
          <m:r>
            <m:rPr>
              <m:nor/>
              <m:sty m:val="p"/>
            </m:rPr>
            <w:rPr>
              <w:rFonts w:hint="default" w:ascii="Times New Roman" w:hAnsi="Times New Roman" w:eastAsia="宋体" w:cs="Times New Roman"/>
              <w:i w:val="0"/>
              <w:sz w:val="21"/>
            </w:rPr>
            <m:t>(</m:t>
          </m:r>
          <m:r>
            <m:rPr>
              <m:nor/>
              <m:sty m:val="b"/>
            </m:rPr>
            <w:rPr>
              <w:rFonts w:hint="default" w:ascii="Times New Roman" w:hAnsi="Times New Roman" w:eastAsia="宋体" w:cs="Times New Roman"/>
              <w:b/>
              <w:sz w:val="21"/>
            </w:rPr>
            <m:t>c</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α</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u</m:t>
          </m:r>
          <m:r>
            <m:rPr>
              <m:nor/>
              <m:sty m:val="p"/>
            </m:rPr>
            <w:rPr>
              <w:rFonts w:hint="default" w:ascii="Times New Roman" w:hAnsi="Times New Roman" w:eastAsia="宋体" w:cs="Times New Roman"/>
              <w:i w:val="0"/>
              <w:sz w:val="21"/>
            </w:rPr>
            <m:t>)</m:t>
          </m:r>
        </m:oMath>
      </m:oMathPara>
    </w:p>
    <w:p w14:paraId="5ADD9654">
      <w:pPr>
        <w:spacing w:after="120" w:line="300" w:lineRule="auto"/>
        <w:ind w:firstLine="420"/>
        <w:rPr>
          <w:rFonts w:hint="eastAsia" w:ascii="Times New Roman" w:hAnsi="Times New Roman" w:eastAsia="宋体"/>
          <w:b w:val="0"/>
          <w:sz w:val="21"/>
        </w:rPr>
      </w:pPr>
      <w:r>
        <w:rPr>
          <w:rFonts w:hint="eastAsia" w:ascii="Times New Roman" w:hAnsi="Times New Roman" w:eastAsia="宋体"/>
          <w:b w:val="0"/>
          <w:sz w:val="21"/>
        </w:rPr>
        <w:t>传递函数按宇宙网结构语义设计：低密度区透明度接近 0，用于保留空洞的通透感；中等密度区采用浅蓝色和较低不透明度，突出片层与丝状通道；高密度尾部提高亮度和不透明度，强调节点、团块及丝交汇处。体绘制采用三维纹理与光线投射，对视线方向上的颜色和吸收进行积分：</w:t>
      </w:r>
    </w:p>
    <w:p w14:paraId="5107DCCE">
      <w:pPr>
        <w:spacing w:after="120" w:line="300" w:lineRule="auto"/>
        <w:rPr>
          <w:rFonts w:hint="eastAsia" w:hAnsi="Times New Roman" w:eastAsia="宋体"/>
          <w:b w:val="0"/>
          <w:i w:val="0"/>
          <w:sz w:val="21"/>
        </w:rPr>
      </w:pPr>
      <m:oMathPara>
        <m:oMath>
          <m:r>
            <m:rPr>
              <m:nor/>
              <m:sty m:val="b"/>
            </m:rPr>
            <w:rPr>
              <w:rFonts w:hint="default" w:ascii="Times New Roman" w:hAnsi="Times New Roman" w:eastAsia="宋体" w:cs="Times New Roman"/>
              <w:b/>
              <w:sz w:val="21"/>
            </w:rPr>
            <m:t>I</m:t>
          </m:r>
          <m:r>
            <m:rPr>
              <m:nor/>
              <m:sty m:val="p"/>
            </m:rPr>
            <w:rPr>
              <w:rFonts w:hint="default" w:ascii="Times New Roman" w:hAnsi="Times New Roman" w:eastAsia="宋体" w:cs="Times New Roman"/>
              <w:i w:val="0"/>
              <w:sz w:val="21"/>
            </w:rPr>
            <m:t>=</m:t>
          </m:r>
          <m:nary>
            <m:naryPr>
              <m:limLoc m:val="subSup"/>
              <m:ctrlPr>
                <w:rPr>
                  <w:rFonts w:hint="default" w:ascii="Cambria Math" w:hAnsi="Cambria Math" w:eastAsia="宋体" w:cs="Times New Roman"/>
                  <w:sz w:val="21"/>
                </w:rPr>
              </m:ctrlPr>
            </m:naryPr>
            <m:sub>
              <m:r>
                <m:rPr>
                  <m:nor/>
                  <m:sty m:val="p"/>
                </m:rPr>
                <w:rPr>
                  <w:rFonts w:hint="default" w:ascii="Times New Roman" w:hAnsi="Times New Roman" w:eastAsia="宋体" w:cs="Times New Roman"/>
                  <w:i w:val="0"/>
                  <w:sz w:val="21"/>
                </w:rPr>
                <m:t>0</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D</m:t>
              </m:r>
              <m:ctrlPr>
                <w:rPr>
                  <w:rFonts w:hint="default" w:ascii="Cambria Math" w:hAnsi="Cambria Math" w:eastAsia="宋体" w:cs="Times New Roman"/>
                  <w:sz w:val="21"/>
                </w:rPr>
              </m:ctrlPr>
            </m:sup>
            <m:e>
              <m:r>
                <m:rPr>
                  <m:nor/>
                  <m:sty m:val="b"/>
                </m:rPr>
                <w:rPr>
                  <w:rFonts w:hint="default" w:ascii="Times New Roman" w:hAnsi="Times New Roman" w:eastAsia="宋体" w:cs="Times New Roman"/>
                  <w:b/>
                  <w:sz w:val="21"/>
                </w:rPr>
                <m:t>c</m:t>
              </m:r>
              <m:ctrlPr>
                <w:rPr>
                  <w:rFonts w:hint="default" w:ascii="Cambria Math" w:hAnsi="Cambria Math" w:eastAsia="宋体" w:cs="Times New Roman"/>
                  <w:sz w:val="21"/>
                </w:rPr>
              </m:ctrlPr>
            </m:e>
          </m:nary>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s</m:t>
          </m:r>
          <m:r>
            <m:rPr>
              <m:nor/>
              <m:sty m:val="p"/>
            </m:rPr>
            <w:rPr>
              <w:rFonts w:hint="default" w:ascii="Times New Roman" w:hAnsi="Times New Roman" w:eastAsia="宋体" w:cs="Times New Roman"/>
              <w:i w:val="0"/>
              <w:sz w:val="21"/>
            </w:rPr>
            <m:t>) </m:t>
          </m:r>
          <m:r>
            <m:rPr>
              <m:nor/>
            </m:rPr>
            <w:rPr>
              <w:rFonts w:hint="default" w:ascii="Times New Roman" w:hAnsi="Times New Roman" w:eastAsia="宋体" w:cs="Times New Roman"/>
              <w:i/>
              <w:sz w:val="21"/>
            </w:rPr>
            <m:t>κ</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s</m:t>
          </m:r>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exp</m:t>
          </m:r>
          <m:d>
            <m:dPr>
              <m:ctrlPr>
                <w:rPr>
                  <w:rFonts w:hint="default" w:ascii="Cambria Math" w:hAnsi="Cambria Math" w:eastAsia="宋体" w:cs="Times New Roman"/>
                  <w:sz w:val="21"/>
                </w:rPr>
              </m:ctrlPr>
            </m:dPr>
            <m:e>
              <m:r>
                <m:rPr>
                  <m:nor/>
                  <m:sty m:val="p"/>
                </m:rPr>
                <w:rPr>
                  <w:rFonts w:hint="default" w:ascii="Times New Roman" w:hAnsi="Times New Roman" w:eastAsia="宋体" w:cs="Times New Roman"/>
                  <w:i w:val="0"/>
                  <w:sz w:val="21"/>
                </w:rPr>
                <m:t>−</m:t>
              </m:r>
              <m:nary>
                <m:naryPr>
                  <m:limLoc m:val="subSup"/>
                  <m:ctrlPr>
                    <w:rPr>
                      <w:rFonts w:hint="default" w:ascii="Cambria Math" w:hAnsi="Cambria Math" w:eastAsia="宋体" w:cs="Times New Roman"/>
                      <w:sz w:val="21"/>
                    </w:rPr>
                  </m:ctrlPr>
                </m:naryPr>
                <m:sub>
                  <m:r>
                    <m:rPr>
                      <m:nor/>
                      <m:sty m:val="p"/>
                    </m:rPr>
                    <w:rPr>
                      <w:rFonts w:hint="default" w:ascii="Times New Roman" w:hAnsi="Times New Roman" w:eastAsia="宋体" w:cs="Times New Roman"/>
                      <w:i w:val="0"/>
                      <w:sz w:val="21"/>
                    </w:rPr>
                    <m:t>0</m:t>
                  </m:r>
                  <m:ctrlPr>
                    <w:rPr>
                      <w:rFonts w:hint="default" w:ascii="Cambria Math" w:hAnsi="Cambria Math" w:eastAsia="宋体" w:cs="Times New Roman"/>
                      <w:sz w:val="21"/>
                    </w:rPr>
                  </m:ctrlPr>
                </m:sub>
                <m:sup>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sup>
                <m:e>
                  <m:r>
                    <m:rPr>
                      <m:nor/>
                    </m:rPr>
                    <w:rPr>
                      <w:rFonts w:hint="default" w:ascii="Times New Roman" w:hAnsi="Times New Roman" w:eastAsia="宋体" w:cs="Times New Roman"/>
                      <w:i/>
                      <w:sz w:val="21"/>
                    </w:rPr>
                    <m:t>κ</m:t>
                  </m:r>
                  <m:ctrlPr>
                    <w:rPr>
                      <w:rFonts w:hint="default" w:ascii="Cambria Math" w:hAnsi="Cambria Math" w:eastAsia="宋体" w:cs="Times New Roman"/>
                      <w:sz w:val="21"/>
                    </w:rPr>
                  </m:ctrlPr>
                </m:e>
              </m:nary>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r</m:t>
              </m:r>
              <m:r>
                <m:rPr>
                  <m:nor/>
                  <m:sty m:val="p"/>
                </m:rPr>
                <w:rPr>
                  <w:rFonts w:hint="default" w:ascii="Times New Roman" w:hAnsi="Times New Roman" w:eastAsia="宋体" w:cs="Times New Roman"/>
                  <w:i w:val="0"/>
                  <w:sz w:val="21"/>
                </w:rPr>
                <m:t>) </m:t>
              </m:r>
              <m:r>
                <m:rPr>
                  <m:nor/>
                </m:rPr>
                <w:rPr>
                  <w:rFonts w:hint="default" w:ascii="Times New Roman" w:hAnsi="Times New Roman" w:eastAsia="宋体" w:cs="Times New Roman"/>
                  <w:i/>
                  <w:sz w:val="21"/>
                </w:rPr>
                <m:t>dr</m:t>
              </m:r>
              <m:ctrlPr>
                <w:rPr>
                  <w:rFonts w:hint="default" w:ascii="Cambria Math" w:hAnsi="Cambria Math" w:eastAsia="宋体" w:cs="Times New Roman"/>
                  <w:sz w:val="21"/>
                </w:rPr>
              </m:ctrlPr>
            </m:e>
          </m:d>
          <m:r>
            <m:rPr>
              <m:nor/>
              <m:sty m:val="p"/>
            </m:rPr>
            <w:rPr>
              <w:rFonts w:hint="default" w:ascii="Times New Roman" w:hAnsi="Times New Roman" w:eastAsia="宋体" w:cs="Times New Roman"/>
              <w:i w:val="0"/>
              <w:sz w:val="21"/>
            </w:rPr>
            <m:t> </m:t>
          </m:r>
          <m:r>
            <m:rPr>
              <m:nor/>
            </m:rPr>
            <w:rPr>
              <w:rFonts w:hint="default" w:ascii="Times New Roman" w:hAnsi="Times New Roman" w:eastAsia="宋体" w:cs="Times New Roman"/>
              <w:i/>
              <w:sz w:val="21"/>
            </w:rPr>
            <m:t>ds</m:t>
          </m:r>
        </m:oMath>
      </m:oMathPara>
    </w:p>
    <w:p w14:paraId="3B1248CC">
      <w:pPr>
        <w:spacing w:after="120" w:line="300" w:lineRule="auto"/>
        <w:rPr>
          <w:rFonts w:hint="eastAsia" w:hAnsi="Times New Roman" w:eastAsia="宋体"/>
          <w:b w:val="0"/>
          <w:i w:val="0"/>
          <w:sz w:val="21"/>
        </w:rPr>
      </w:pPr>
    </w:p>
    <w:p w14:paraId="127F22E4">
      <w:pPr>
        <w:spacing w:after="120" w:line="300" w:lineRule="auto"/>
        <w:ind w:firstLine="420"/>
        <w:rPr>
          <w:rFonts w:hint="eastAsia" w:ascii="Times New Roman" w:hAnsi="Times New Roman" w:eastAsia="宋体"/>
          <w:b w:val="0"/>
          <w:sz w:val="21"/>
        </w:rPr>
      </w:pPr>
      <w:r>
        <w:rPr>
          <w:rFonts w:hint="eastAsia" w:ascii="Times New Roman" w:hAnsi="Times New Roman" w:eastAsia="宋体"/>
          <w:b w:val="0"/>
          <w:sz w:val="21"/>
        </w:rPr>
        <w:t xml:space="preserve">其中 </w:t>
      </w:r>
      <m:oMath>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κ</m:t>
        </m:r>
        <m:r>
          <m:rPr>
            <m:nor/>
            <m:sty m:val="p"/>
          </m:rPr>
          <w:rPr>
            <w:rFonts w:hint="default" w:ascii="Times New Roman" w:hAnsi="Times New Roman" w:eastAsia="宋体" w:cs="Times New Roman"/>
            <w:i w:val="0"/>
            <w:sz w:val="21"/>
          </w:rPr>
          <m:t>)</m:t>
        </m:r>
      </m:oMath>
      <w:r>
        <w:rPr>
          <w:rFonts w:hint="eastAsia" w:ascii="Times New Roman" w:hAnsi="Times New Roman" w:eastAsia="宋体"/>
          <w:b w:val="0"/>
          <w:sz w:val="21"/>
        </w:rPr>
        <w:t>表示由不透明度导出的吸收强度。为增强高密度边界的空间层次，系统由密度梯度估计局部法向：</w:t>
      </w:r>
    </w:p>
    <w:p w14:paraId="1218D28C">
      <w:pPr>
        <w:spacing w:after="120" w:line="300" w:lineRule="auto"/>
        <w:ind w:firstLine="420"/>
        <w:rPr>
          <w:rFonts w:hint="eastAsia" w:ascii="Times New Roman" w:hAnsi="Times New Roman" w:eastAsia="宋体"/>
          <w:b w:val="0"/>
          <w:sz w:val="21"/>
        </w:rPr>
      </w:pPr>
      <m:oMathPara>
        <m:oMath>
          <m:r>
            <m:rPr>
              <m:nor/>
              <m:sty m:val="b"/>
            </m:rPr>
            <w:rPr>
              <w:rFonts w:hint="default" w:ascii="Times New Roman" w:hAnsi="Times New Roman" w:eastAsia="宋体" w:cs="Times New Roman"/>
              <w:b/>
              <w:sz w:val="21"/>
            </w:rPr>
            <m:t>n</m:t>
          </m:r>
          <m:r>
            <m:rPr>
              <m:nor/>
              <m:sty m:val="p"/>
            </m:rPr>
            <w:rPr>
              <w:rFonts w:hint="default" w:ascii="Times New Roman" w:hAnsi="Times New Roman" w:eastAsia="宋体" w:cs="Times New Roman"/>
              <w:i w:val="0"/>
              <w:sz w:val="21"/>
            </w:rPr>
            <m:t>=</m:t>
          </m:r>
          <m:f>
            <m:fPr>
              <m:ctrlPr>
                <w:rPr>
                  <w:rFonts w:hint="default" w:ascii="Cambria Math" w:hAnsi="Cambria Math" w:eastAsia="宋体" w:cs="Times New Roman"/>
                  <w:sz w:val="21"/>
                </w:rPr>
              </m:ctrlPr>
            </m:fPr>
            <m:num>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V</m:t>
              </m:r>
              <m:ctrlPr>
                <w:rPr>
                  <w:rFonts w:hint="default" w:ascii="Cambria Math" w:hAnsi="Cambria Math" w:eastAsia="宋体" w:cs="Times New Roman"/>
                  <w:sz w:val="21"/>
                </w:rPr>
              </m:ctrlPr>
            </m:num>
            <m:den>
              <m:r>
                <m:rPr>
                  <m:nor/>
                  <m:sty m:val="p"/>
                </m:rPr>
                <w:rPr>
                  <w:rFonts w:hint="default" w:ascii="Times New Roman" w:hAnsi="Times New Roman" w:eastAsia="宋体" w:cs="Times New Roman"/>
                  <w:i w:val="0"/>
                  <w:sz w:val="21"/>
                </w:rPr>
                <m:t>‖∇</m:t>
              </m:r>
              <m:r>
                <m:rPr>
                  <m:nor/>
                </m:rPr>
                <w:rPr>
                  <w:rFonts w:hint="default" w:ascii="Times New Roman" w:hAnsi="Times New Roman" w:eastAsia="宋体" w:cs="Times New Roman"/>
                  <w:i/>
                  <w:sz w:val="21"/>
                </w:rPr>
                <m:t>V</m:t>
              </m:r>
              <m:r>
                <m:rPr>
                  <m:nor/>
                  <m:sty m:val="p"/>
                </m:rPr>
                <w:rPr>
                  <w:rFonts w:hint="default" w:ascii="Times New Roman" w:hAnsi="Times New Roman" w:eastAsia="宋体" w:cs="Times New Roman"/>
                  <w:i w:val="0"/>
                  <w:sz w:val="21"/>
                </w:rPr>
                <m:t>‖</m:t>
              </m:r>
              <m:ctrlPr>
                <w:rPr>
                  <w:rFonts w:hint="default" w:ascii="Cambria Math" w:hAnsi="Cambria Math" w:eastAsia="宋体" w:cs="Times New Roman"/>
                  <w:sz w:val="21"/>
                </w:rPr>
              </m:ctrlPr>
            </m:den>
          </m:f>
        </m:oMath>
      </m:oMathPara>
    </w:p>
    <w:p w14:paraId="1B3AC607">
      <w:pPr>
        <w:spacing w:after="120" w:line="300" w:lineRule="auto"/>
        <w:ind w:firstLine="420"/>
        <w:rPr>
          <w:rFonts w:hint="eastAsia" w:ascii="Times New Roman" w:hAnsi="Times New Roman" w:eastAsia="宋体"/>
          <w:b w:val="0"/>
          <w:sz w:val="21"/>
        </w:rPr>
      </w:pPr>
      <w:r>
        <w:rPr>
          <w:rFonts w:hint="eastAsia" w:ascii="Times New Roman" w:hAnsi="Times New Roman" w:eastAsia="宋体"/>
          <w:b w:val="0"/>
          <w:sz w:val="21"/>
        </w:rPr>
        <w:t>并结合环境光、漫反射和高光项塑造体数据内部的明暗变化，使节点边界、丝状结构和空洞轮廓更易辨认。</w:t>
      </w:r>
    </w:p>
    <w:p w14:paraId="21E687C8">
      <w:pPr>
        <w:spacing w:after="120" w:line="300" w:lineRule="auto"/>
        <w:ind w:firstLine="420"/>
        <w:rPr>
          <w:rFonts w:hint="eastAsia" w:ascii="Times New Roman" w:hAnsi="Times New Roman" w:eastAsia="宋体"/>
          <w:b w:val="0"/>
          <w:sz w:val="21"/>
        </w:rPr>
      </w:pPr>
      <w:r>
        <w:rPr>
          <w:rFonts w:hint="eastAsia" w:ascii="Times New Roman" w:hAnsi="Times New Roman" w:eastAsia="宋体"/>
          <w:b w:val="0"/>
          <w:sz w:val="21"/>
        </w:rPr>
        <w:t>交互上，系统提供体渲染、最大强度投影、等值面、Top1%、Void 与 Marching Cubes 网格等互补视图。时间轴、传递函数控制和相空间刷选保持同步，使用户能够在统一密度尺度下比较早期扰动、中期丝状结构和晚期致密节点的演化差异。</w:t>
      </w:r>
    </w:p>
    <w:p w14:paraId="46F9842C">
      <w:pPr>
        <w:jc w:val="center"/>
      </w:pPr>
      <w:r>
        <w:drawing>
          <wp:inline distT="0" distB="0" distL="114300" distR="114300">
            <wp:extent cx="5327650" cy="2996565"/>
            <wp:effectExtent l="0" t="0" r="635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
                    <a:stretch>
                      <a:fillRect/>
                    </a:stretch>
                  </pic:blipFill>
                  <pic:spPr>
                    <a:xfrm>
                      <a:off x="0" y="0"/>
                      <a:ext cx="5328000" cy="2997000"/>
                    </a:xfrm>
                    <a:prstGeom prst="rect">
                      <a:avLst/>
                    </a:prstGeom>
                  </pic:spPr>
                </pic:pic>
              </a:graphicData>
            </a:graphic>
          </wp:inline>
        </w:drawing>
      </w:r>
    </w:p>
    <w:p w14:paraId="3CDF8F06">
      <w:pPr>
        <w:spacing w:after="120"/>
        <w:jc w:val="center"/>
      </w:pPr>
      <w:r>
        <w:rPr>
          <w:rFonts w:ascii="Times New Roman" w:hAnsi="Times New Roman" w:eastAsia="宋体"/>
          <w:b w:val="0"/>
          <w:sz w:val="18"/>
        </w:rPr>
        <w:t>图1-1 最新探索页体渲染视图</w:t>
      </w:r>
    </w:p>
    <w:p w14:paraId="395687C1">
      <w:pPr>
        <w:jc w:val="center"/>
      </w:pPr>
      <w:r>
        <w:drawing>
          <wp:inline distT="0" distB="0" distL="114300" distR="114300">
            <wp:extent cx="5327650" cy="2996565"/>
            <wp:effectExtent l="0" t="0" r="635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7"/>
                    <a:stretch>
                      <a:fillRect/>
                    </a:stretch>
                  </pic:blipFill>
                  <pic:spPr>
                    <a:xfrm>
                      <a:off x="0" y="0"/>
                      <a:ext cx="5328000" cy="2997000"/>
                    </a:xfrm>
                    <a:prstGeom prst="rect">
                      <a:avLst/>
                    </a:prstGeom>
                  </pic:spPr>
                </pic:pic>
              </a:graphicData>
            </a:graphic>
          </wp:inline>
        </w:drawing>
      </w:r>
    </w:p>
    <w:p w14:paraId="354BBD3D">
      <w:pPr>
        <w:spacing w:after="120"/>
        <w:jc w:val="center"/>
      </w:pPr>
      <w:r>
        <w:rPr>
          <w:rFonts w:ascii="Times New Roman" w:hAnsi="Times New Roman" w:eastAsia="宋体"/>
          <w:b w:val="0"/>
          <w:sz w:val="18"/>
        </w:rPr>
        <w:t>图1-2 MIP 模式突出宇宙网骨架</w:t>
      </w:r>
    </w:p>
    <w:p w14:paraId="73436244">
      <w:pPr>
        <w:jc w:val="center"/>
      </w:pPr>
      <w:r>
        <w:drawing>
          <wp:inline distT="0" distB="0" distL="114300" distR="114300">
            <wp:extent cx="5615940" cy="3542665"/>
            <wp:effectExtent l="0" t="0" r="762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
                    <a:stretch>
                      <a:fillRect/>
                    </a:stretch>
                  </pic:blipFill>
                  <pic:spPr>
                    <a:xfrm>
                      <a:off x="0" y="0"/>
                      <a:ext cx="5616000" cy="3542980"/>
                    </a:xfrm>
                    <a:prstGeom prst="rect">
                      <a:avLst/>
                    </a:prstGeom>
                  </pic:spPr>
                </pic:pic>
              </a:graphicData>
            </a:graphic>
          </wp:inline>
        </w:drawing>
      </w:r>
    </w:p>
    <w:p w14:paraId="58337435">
      <w:pPr>
        <w:spacing w:after="120"/>
        <w:jc w:val="center"/>
      </w:pPr>
      <w:r>
        <w:rPr>
          <w:rFonts w:ascii="Times New Roman" w:hAnsi="Times New Roman" w:eastAsia="宋体"/>
          <w:b w:val="0"/>
          <w:sz w:val="18"/>
        </w:rPr>
        <w:t>图1-3 早、中、晚时间步切片与投影对比</w:t>
      </w:r>
    </w:p>
    <w:p w14:paraId="3D69FDCA">
      <w:pPr>
        <w:jc w:val="center"/>
      </w:pPr>
      <w:r>
        <w:drawing>
          <wp:inline distT="0" distB="0" distL="114300" distR="114300">
            <wp:extent cx="5615940" cy="1879600"/>
            <wp:effectExtent l="0" t="0" r="7620"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a:stretch>
                      <a:fillRect/>
                    </a:stretch>
                  </pic:blipFill>
                  <pic:spPr>
                    <a:xfrm>
                      <a:off x="0" y="0"/>
                      <a:ext cx="5616000" cy="1879952"/>
                    </a:xfrm>
                    <a:prstGeom prst="rect">
                      <a:avLst/>
                    </a:prstGeom>
                  </pic:spPr>
                </pic:pic>
              </a:graphicData>
            </a:graphic>
          </wp:inline>
        </w:drawing>
      </w:r>
    </w:p>
    <w:p w14:paraId="2C7F49A9">
      <w:pPr>
        <w:spacing w:after="120"/>
        <w:jc w:val="center"/>
      </w:pPr>
      <w:r>
        <w:rPr>
          <w:rFonts w:ascii="Times New Roman" w:hAnsi="Times New Roman" w:eastAsia="宋体"/>
          <w:b w:val="0"/>
          <w:sz w:val="18"/>
        </w:rPr>
        <w:t>图1-4 双时间步差分显示密度增强</w:t>
      </w:r>
    </w:p>
    <w:p w14:paraId="791DDFBD">
      <w:pPr>
        <w:jc w:val="center"/>
      </w:pPr>
      <w:r>
        <w:drawing>
          <wp:inline distT="0" distB="0" distL="114300" distR="114300">
            <wp:extent cx="5615940" cy="5629275"/>
            <wp:effectExtent l="0" t="0" r="762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0"/>
                    <a:stretch>
                      <a:fillRect/>
                    </a:stretch>
                  </pic:blipFill>
                  <pic:spPr>
                    <a:xfrm>
                      <a:off x="0" y="0"/>
                      <a:ext cx="5616000" cy="5629371"/>
                    </a:xfrm>
                    <a:prstGeom prst="rect">
                      <a:avLst/>
                    </a:prstGeom>
                  </pic:spPr>
                </pic:pic>
              </a:graphicData>
            </a:graphic>
          </wp:inline>
        </w:drawing>
      </w:r>
    </w:p>
    <w:p w14:paraId="1516E342">
      <w:pPr>
        <w:spacing w:after="120"/>
        <w:jc w:val="center"/>
      </w:pPr>
      <w:r>
        <w:rPr>
          <w:rFonts w:ascii="Times New Roman" w:hAnsi="Times New Roman" w:eastAsia="宋体"/>
          <w:b w:val="0"/>
          <w:sz w:val="18"/>
        </w:rPr>
        <w:t>图1-5 白底三维高密度连通域</w:t>
      </w:r>
    </w:p>
    <w:p w14:paraId="52A16D83">
      <w:pPr>
        <w:spacing w:after="120"/>
      </w:pPr>
    </w:p>
    <w:p w14:paraId="2C7EFF96">
      <w:pPr>
        <w:spacing w:before="120" w:after="120" w:line="240" w:lineRule="auto"/>
        <w:rPr>
          <w:rFonts w:ascii="楷体" w:hAnsi="楷体" w:eastAsia="楷体"/>
          <w:b/>
          <w:sz w:val="21"/>
          <w:szCs w:val="21"/>
        </w:rPr>
      </w:pPr>
    </w:p>
    <w:p w14:paraId="1F1FF3BD">
      <w:pPr>
        <w:spacing w:before="120" w:after="120" w:line="240" w:lineRule="auto"/>
        <w:rPr>
          <w:rFonts w:ascii="楷体" w:hAnsi="楷体" w:eastAsia="楷体"/>
          <w:b/>
          <w:sz w:val="21"/>
          <w:szCs w:val="21"/>
        </w:rPr>
      </w:pPr>
    </w:p>
    <w:p w14:paraId="27D64FC3">
      <w:pPr>
        <w:spacing w:before="312" w:beforeLines="100" w:after="50" w:line="360" w:lineRule="auto"/>
        <w:rPr>
          <w:rFonts w:ascii="黑体" w:hAnsi="黑体" w:eastAsia="黑体"/>
          <w:b/>
          <w:sz w:val="24"/>
        </w:rPr>
      </w:pPr>
    </w:p>
    <w:p w14:paraId="63BEA4DC">
      <w:pPr>
        <w:spacing w:before="312" w:beforeLines="100" w:after="50" w:line="360" w:lineRule="auto"/>
        <w:rPr>
          <w:rFonts w:ascii="黑体" w:hAnsi="黑体" w:eastAsia="黑体"/>
          <w:color w:val="C45911"/>
          <w:sz w:val="24"/>
        </w:rPr>
      </w:pPr>
      <w:r>
        <w:rPr>
          <w:rFonts w:hint="eastAsia" w:ascii="黑体" w:hAnsi="黑体" w:eastAsia="黑体"/>
          <w:b/>
          <w:sz w:val="24"/>
        </w:rPr>
        <w:t>2、基于可视化图像结果，归纳宇宙密度的演化特征，总结宇宙结构形成、星系际介质演化的核心规律，阐释可视化技术在宇宙学数据分析中的应用价值。</w:t>
      </w:r>
      <w:r>
        <w:rPr>
          <w:rFonts w:hint="eastAsia" w:ascii="黑体" w:hAnsi="黑体" w:eastAsia="黑体"/>
          <w:color w:val="C45911"/>
          <w:sz w:val="24"/>
        </w:rPr>
        <w:t>（建议参赛者回答此题文字不多于800字，图片不多于5张）</w:t>
      </w:r>
    </w:p>
    <w:p w14:paraId="23C76E88">
      <w:pPr>
        <w:rPr>
          <w:color w:val="BFBFBF"/>
        </w:rPr>
      </w:pPr>
      <w:r>
        <w:rPr>
          <w:color w:val="BFBFBF"/>
        </w:rPr>
        <w:t>（下面是答题区域）</w:t>
      </w:r>
    </w:p>
    <w:p w14:paraId="520EBCC0">
      <w:pPr>
        <w:spacing w:after="120" w:line="300" w:lineRule="auto"/>
        <w:ind w:firstLine="420"/>
      </w:pPr>
      <w:r>
        <w:rPr>
          <w:rFonts w:ascii="Times New Roman" w:hAnsi="Times New Roman" w:eastAsia="宋体"/>
          <w:b w:val="0"/>
          <w:sz w:val="21"/>
        </w:rPr>
        <w:t>可视化结果显示，早期密度场接近均匀，仅存在弱扰动；随后物质在引力作用下先压缩成片层，再沿片层交线汇聚成丝状结构，最终在交汇处形成高密度节点，周围低密度空洞持续扩张。形态学分类和切片对比表明，空洞占据主要体积，片层与丝状结构承担物质输运通道，节点对应最强的非线性坍缩区域。Atlas、Top1%/Void 预设和 Lyman-alpha proxy 探针把三维结构与观测式剖面联系起来：穿过节点的视线吸收最强，穿过空洞的视线最弱。因此，可视化不仅呈现宇宙网由模糊到清晰的过程，也解释了密度分布、几何形态和潜在观测信号之间的关系。</w:t>
      </w:r>
    </w:p>
    <w:p w14:paraId="11243351">
      <w:pPr>
        <w:jc w:val="center"/>
      </w:pPr>
      <w:r>
        <w:drawing>
          <wp:inline distT="0" distB="0" distL="114300" distR="114300">
            <wp:extent cx="5615940" cy="1076960"/>
            <wp:effectExtent l="0" t="0" r="762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616000" cy="1077571"/>
                    </a:xfrm>
                    <a:prstGeom prst="rect">
                      <a:avLst/>
                    </a:prstGeom>
                  </pic:spPr>
                </pic:pic>
              </a:graphicData>
            </a:graphic>
          </wp:inline>
        </w:drawing>
      </w:r>
    </w:p>
    <w:p w14:paraId="158D497F">
      <w:pPr>
        <w:spacing w:after="120"/>
        <w:jc w:val="center"/>
      </w:pPr>
      <w:r>
        <w:rPr>
          <w:rFonts w:ascii="Times New Roman" w:hAnsi="Times New Roman" w:eastAsia="宋体"/>
          <w:b w:val="0"/>
          <w:sz w:val="18"/>
        </w:rPr>
        <w:t>图2-1 六个时间步的 MIP 演化画廊</w:t>
      </w:r>
    </w:p>
    <w:p w14:paraId="2F5F11D9">
      <w:pPr>
        <w:jc w:val="center"/>
      </w:pPr>
      <w:r>
        <w:drawing>
          <wp:inline distT="0" distB="0" distL="114300" distR="114300">
            <wp:extent cx="5615940" cy="194310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616000" cy="1943536"/>
                    </a:xfrm>
                    <a:prstGeom prst="rect">
                      <a:avLst/>
                    </a:prstGeom>
                  </pic:spPr>
                </pic:pic>
              </a:graphicData>
            </a:graphic>
          </wp:inline>
        </w:drawing>
      </w:r>
    </w:p>
    <w:p w14:paraId="47395540">
      <w:pPr>
        <w:spacing w:after="120"/>
        <w:jc w:val="center"/>
      </w:pPr>
      <w:r>
        <w:rPr>
          <w:rFonts w:ascii="Times New Roman" w:hAnsi="Times New Roman" w:eastAsia="宋体"/>
          <w:b w:val="0"/>
          <w:sz w:val="18"/>
        </w:rPr>
        <w:t>图2-2 形态学切片对比</w:t>
      </w:r>
    </w:p>
    <w:p w14:paraId="46FAB010">
      <w:pPr>
        <w:jc w:val="center"/>
      </w:pPr>
      <w:r>
        <w:drawing>
          <wp:inline distT="0" distB="0" distL="114300" distR="114300">
            <wp:extent cx="5615940" cy="2828925"/>
            <wp:effectExtent l="0" t="0" r="762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616000" cy="2828991"/>
                    </a:xfrm>
                    <a:prstGeom prst="rect">
                      <a:avLst/>
                    </a:prstGeom>
                  </pic:spPr>
                </pic:pic>
              </a:graphicData>
            </a:graphic>
          </wp:inline>
        </w:drawing>
      </w:r>
    </w:p>
    <w:p w14:paraId="7DBB762D">
      <w:pPr>
        <w:spacing w:after="120"/>
        <w:jc w:val="center"/>
      </w:pPr>
      <w:r>
        <w:rPr>
          <w:rFonts w:ascii="Times New Roman" w:hAnsi="Times New Roman" w:eastAsia="宋体"/>
          <w:b w:val="0"/>
          <w:sz w:val="18"/>
        </w:rPr>
        <w:t>图2-3 Bottom5% 空洞与 Top1% 高密度节点</w:t>
      </w:r>
    </w:p>
    <w:p w14:paraId="76A2154D">
      <w:pPr>
        <w:jc w:val="center"/>
      </w:pPr>
      <w:r>
        <w:drawing>
          <wp:inline distT="0" distB="0" distL="114300" distR="114300">
            <wp:extent cx="5615940" cy="4624070"/>
            <wp:effectExtent l="0" t="0" r="762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616000" cy="4624533"/>
                    </a:xfrm>
                    <a:prstGeom prst="rect">
                      <a:avLst/>
                    </a:prstGeom>
                  </pic:spPr>
                </pic:pic>
              </a:graphicData>
            </a:graphic>
          </wp:inline>
        </w:drawing>
      </w:r>
    </w:p>
    <w:p w14:paraId="34FB8E31">
      <w:pPr>
        <w:spacing w:after="120"/>
        <w:jc w:val="center"/>
      </w:pPr>
      <w:r>
        <w:rPr>
          <w:rFonts w:ascii="Times New Roman" w:hAnsi="Times New Roman" w:eastAsia="宋体"/>
          <w:b w:val="0"/>
          <w:sz w:val="18"/>
        </w:rPr>
        <w:t>图2-4 不同视线的 Lyman-alpha proxy 光谱</w:t>
      </w:r>
    </w:p>
    <w:p w14:paraId="5107D759">
      <w:pPr>
        <w:jc w:val="center"/>
      </w:pPr>
      <w:r>
        <w:drawing>
          <wp:inline distT="0" distB="0" distL="114300" distR="114300">
            <wp:extent cx="5327650" cy="2996565"/>
            <wp:effectExtent l="0" t="0" r="635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328000" cy="2997000"/>
                    </a:xfrm>
                    <a:prstGeom prst="rect">
                      <a:avLst/>
                    </a:prstGeom>
                  </pic:spPr>
                </pic:pic>
              </a:graphicData>
            </a:graphic>
          </wp:inline>
        </w:drawing>
      </w:r>
    </w:p>
    <w:p w14:paraId="7551EB74">
      <w:pPr>
        <w:spacing w:after="120"/>
        <w:jc w:val="center"/>
      </w:pPr>
      <w:r>
        <w:rPr>
          <w:rFonts w:ascii="Times New Roman" w:hAnsi="Times New Roman" w:eastAsia="宋体"/>
          <w:b w:val="0"/>
          <w:sz w:val="18"/>
        </w:rPr>
        <w:t>图2-5 Atlas/参数页交互截图</w:t>
      </w:r>
    </w:p>
    <w:p w14:paraId="6EAF294C">
      <w:pPr>
        <w:spacing w:after="120"/>
      </w:pPr>
    </w:p>
    <w:p w14:paraId="34E80C62">
      <w:pPr>
        <w:spacing w:before="120" w:after="120" w:line="240" w:lineRule="auto"/>
        <w:rPr>
          <w:rFonts w:ascii="楷体" w:hAnsi="楷体" w:eastAsia="楷体"/>
          <w:b/>
          <w:sz w:val="21"/>
          <w:szCs w:val="21"/>
        </w:rPr>
      </w:pPr>
    </w:p>
    <w:p w14:paraId="452FCF30">
      <w:pPr>
        <w:spacing w:before="120" w:after="120" w:line="240" w:lineRule="auto"/>
        <w:rPr>
          <w:rFonts w:ascii="楷体" w:hAnsi="楷体" w:eastAsia="楷体"/>
          <w:b/>
          <w:sz w:val="21"/>
          <w:szCs w:val="21"/>
        </w:rPr>
      </w:pPr>
    </w:p>
    <w:p w14:paraId="562C3822">
      <w:pPr>
        <w:spacing w:before="120" w:after="120"/>
        <w:rPr>
          <w:rFonts w:ascii="黑体" w:hAnsi="黑体" w:eastAsia="黑体"/>
          <w:b/>
          <w:sz w:val="24"/>
        </w:rPr>
      </w:pPr>
    </w:p>
    <w:p w14:paraId="79724611">
      <w:pPr>
        <w:spacing w:before="312" w:beforeLines="100" w:after="50" w:line="360" w:lineRule="auto"/>
        <w:rPr>
          <w:rFonts w:ascii="黑体" w:hAnsi="黑体" w:eastAsia="黑体"/>
          <w:color w:val="C45911"/>
          <w:sz w:val="24"/>
        </w:rPr>
      </w:pPr>
      <w:r>
        <w:rPr>
          <w:rFonts w:hint="eastAsia" w:ascii="黑体" w:hAnsi="黑体" w:eastAsia="黑体"/>
          <w:b/>
          <w:sz w:val="24"/>
        </w:rPr>
        <w:t>3、宇宙密度时序统计特征分析：早期宇宙物质分布相对均匀，密度数值高度集中于均值区间。在100个演化时间步长的暗物质引力持续作用下，宇宙物质不断聚集坍缩，整体呈现显著的“团块化”特征，密度数值波动幅度持续增大，逐步形成极端低密度宇宙空洞与极端高密度结构峰值的两极分化分布。自主统计每个时间步长的气体密度数据，构建密度对数直方图，量化追踪全域密度分布随时间的演化偏移规律。</w:t>
      </w:r>
      <w:r>
        <w:rPr>
          <w:rFonts w:hint="eastAsia" w:ascii="黑体" w:hAnsi="黑体" w:eastAsia="黑体"/>
          <w:color w:val="C45911"/>
          <w:sz w:val="24"/>
        </w:rPr>
        <w:t>（建议参赛者回答此题文字不多于800字，图片不多于5张）</w:t>
      </w:r>
    </w:p>
    <w:p w14:paraId="2FF6F296">
      <w:pPr>
        <w:rPr>
          <w:color w:val="BFBFBF"/>
        </w:rPr>
      </w:pPr>
      <w:r>
        <w:rPr>
          <w:color w:val="BFBFBF"/>
        </w:rPr>
        <w:t>（下面是答题区域）</w:t>
      </w:r>
    </w:p>
    <w:p w14:paraId="076FF11F">
      <w:pPr>
        <w:spacing w:after="120" w:line="300" w:lineRule="auto"/>
        <w:ind w:firstLine="420"/>
      </w:pPr>
      <w:r>
        <w:rPr>
          <w:rFonts w:ascii="Times New Roman" w:hAnsi="Times New Roman" w:eastAsia="宋体"/>
          <w:b w:val="0"/>
          <w:sz w:val="21"/>
        </w:rPr>
        <w:t>我们对每个时间步统计最小值、最大值、均值、方差、偏度、峰度、Gini、熵、百分位和功率谱。全局 log 密度范围约为 7.753-14.523，数据无 0、负值、NaN 或 Inf；由 10^V 还原的平均密度基本稳定，说明预处理未破坏质量守恒。随时间推进，最大 log 密度由约 13.84 增至 14.45，Gini 从 0.654 升至 0.761，方差由 0.187 升至 0.249，表明密度对比度持续增强。直方图和演化指纹图显示主峰缓慢移动、高密度尾部变厚；功率谱整体抬升，说明中小尺度扰动增长。连通域统计进一步表明，高密度斑块数量减少而最大连通域扩大，碎片化峰逐渐合并为稳定的宇宙网骨架。</w:t>
      </w:r>
    </w:p>
    <w:p w14:paraId="12FFFBAD">
      <w:pPr>
        <w:jc w:val="center"/>
      </w:pPr>
      <w:r>
        <w:drawing>
          <wp:inline distT="0" distB="0" distL="114300" distR="114300">
            <wp:extent cx="5615940" cy="3104515"/>
            <wp:effectExtent l="0" t="0" r="762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616000" cy="3105054"/>
                    </a:xfrm>
                    <a:prstGeom prst="rect">
                      <a:avLst/>
                    </a:prstGeom>
                  </pic:spPr>
                </pic:pic>
              </a:graphicData>
            </a:graphic>
          </wp:inline>
        </w:drawing>
      </w:r>
    </w:p>
    <w:p w14:paraId="1E527B80">
      <w:pPr>
        <w:spacing w:after="120"/>
        <w:jc w:val="center"/>
      </w:pPr>
      <w:r>
        <w:rPr>
          <w:rFonts w:ascii="Times New Roman" w:hAnsi="Times New Roman" w:eastAsia="宋体"/>
          <w:b w:val="0"/>
          <w:sz w:val="18"/>
        </w:rPr>
        <w:t>图3-1 密度演化指纹图</w:t>
      </w:r>
    </w:p>
    <w:p w14:paraId="2E0677FA">
      <w:pPr>
        <w:jc w:val="center"/>
      </w:pPr>
      <w:r>
        <w:drawing>
          <wp:inline distT="0" distB="0" distL="114300" distR="114300">
            <wp:extent cx="5615940" cy="308610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616000" cy="3086571"/>
                    </a:xfrm>
                    <a:prstGeom prst="rect">
                      <a:avLst/>
                    </a:prstGeom>
                  </pic:spPr>
                </pic:pic>
              </a:graphicData>
            </a:graphic>
          </wp:inline>
        </w:drawing>
      </w:r>
    </w:p>
    <w:p w14:paraId="52197289">
      <w:pPr>
        <w:spacing w:after="120"/>
        <w:jc w:val="center"/>
      </w:pPr>
      <w:r>
        <w:rPr>
          <w:rFonts w:ascii="Times New Roman" w:hAnsi="Times New Roman" w:eastAsia="宋体"/>
          <w:b w:val="0"/>
          <w:sz w:val="18"/>
        </w:rPr>
        <w:t>图3-2 log 密度直方图随时间变化</w:t>
      </w:r>
    </w:p>
    <w:p w14:paraId="3AD0E461">
      <w:pPr>
        <w:jc w:val="center"/>
      </w:pPr>
      <w:r>
        <w:drawing>
          <wp:inline distT="0" distB="0" distL="114300" distR="114300">
            <wp:extent cx="5615940" cy="2775585"/>
            <wp:effectExtent l="0" t="0" r="762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616000" cy="2776076"/>
                    </a:xfrm>
                    <a:prstGeom prst="rect">
                      <a:avLst/>
                    </a:prstGeom>
                  </pic:spPr>
                </pic:pic>
              </a:graphicData>
            </a:graphic>
          </wp:inline>
        </w:drawing>
      </w:r>
    </w:p>
    <w:p w14:paraId="61CB81DE">
      <w:pPr>
        <w:spacing w:after="120"/>
        <w:jc w:val="center"/>
      </w:pPr>
      <w:r>
        <w:rPr>
          <w:rFonts w:ascii="Times New Roman" w:hAnsi="Times New Roman" w:eastAsia="宋体"/>
          <w:b w:val="0"/>
          <w:sz w:val="18"/>
        </w:rPr>
        <w:t>图3-3 全局统计量曲线</w:t>
      </w:r>
    </w:p>
    <w:p w14:paraId="35F84540">
      <w:pPr>
        <w:jc w:val="center"/>
      </w:pPr>
      <w:r>
        <w:drawing>
          <wp:inline distT="0" distB="0" distL="114300" distR="114300">
            <wp:extent cx="5615940" cy="3502025"/>
            <wp:effectExtent l="0" t="0" r="762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616000" cy="3502200"/>
                    </a:xfrm>
                    <a:prstGeom prst="rect">
                      <a:avLst/>
                    </a:prstGeom>
                  </pic:spPr>
                </pic:pic>
              </a:graphicData>
            </a:graphic>
          </wp:inline>
        </w:drawing>
      </w:r>
    </w:p>
    <w:p w14:paraId="5CB76C75">
      <w:pPr>
        <w:spacing w:after="120"/>
        <w:jc w:val="center"/>
      </w:pPr>
      <w:r>
        <w:rPr>
          <w:rFonts w:ascii="Times New Roman" w:hAnsi="Times New Roman" w:eastAsia="宋体"/>
          <w:b w:val="0"/>
          <w:sz w:val="18"/>
        </w:rPr>
        <w:t>图3-4 功率谱演化</w:t>
      </w:r>
    </w:p>
    <w:p w14:paraId="2F75C544">
      <w:pPr>
        <w:jc w:val="center"/>
      </w:pPr>
      <w:r>
        <w:drawing>
          <wp:inline distT="0" distB="0" distL="114300" distR="114300">
            <wp:extent cx="5615940" cy="3088005"/>
            <wp:effectExtent l="0" t="0" r="762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616000" cy="3088615"/>
                    </a:xfrm>
                    <a:prstGeom prst="rect">
                      <a:avLst/>
                    </a:prstGeom>
                  </pic:spPr>
                </pic:pic>
              </a:graphicData>
            </a:graphic>
          </wp:inline>
        </w:drawing>
      </w:r>
    </w:p>
    <w:p w14:paraId="5C0D22B2">
      <w:pPr>
        <w:spacing w:after="120"/>
        <w:jc w:val="center"/>
      </w:pPr>
      <w:r>
        <w:rPr>
          <w:rFonts w:ascii="Times New Roman" w:hAnsi="Times New Roman" w:eastAsia="宋体"/>
          <w:b w:val="0"/>
          <w:sz w:val="18"/>
        </w:rPr>
        <w:t>图3-5 高密度连通域演化</w:t>
      </w:r>
    </w:p>
    <w:p w14:paraId="1C97CBD1">
      <w:pPr>
        <w:spacing w:after="120"/>
      </w:pPr>
    </w:p>
    <w:p w14:paraId="2FC53A70">
      <w:pPr>
        <w:spacing w:before="120" w:after="120" w:line="240" w:lineRule="auto"/>
        <w:rPr>
          <w:rFonts w:ascii="楷体" w:hAnsi="楷体" w:eastAsia="楷体"/>
          <w:b/>
          <w:sz w:val="21"/>
          <w:szCs w:val="21"/>
        </w:rPr>
      </w:pPr>
    </w:p>
    <w:p w14:paraId="3C5F9B47">
      <w:pPr>
        <w:spacing w:before="120" w:after="120" w:line="240" w:lineRule="auto"/>
        <w:rPr>
          <w:rFonts w:ascii="楷体" w:hAnsi="楷体" w:eastAsia="楷体"/>
          <w:b/>
          <w:sz w:val="21"/>
          <w:szCs w:val="21"/>
        </w:rPr>
      </w:pPr>
    </w:p>
    <w:p w14:paraId="3AD4BC4C">
      <w:pPr>
        <w:spacing w:before="120" w:after="120" w:line="240" w:lineRule="auto"/>
        <w:rPr>
          <w:rFonts w:ascii="楷体" w:hAnsi="楷体" w:eastAsia="楷体"/>
          <w:b/>
          <w:sz w:val="21"/>
          <w:szCs w:val="21"/>
        </w:rPr>
      </w:pPr>
    </w:p>
    <w:p w14:paraId="33EBC2F9">
      <w:pPr>
        <w:spacing w:before="312" w:beforeLines="100" w:after="50" w:line="360" w:lineRule="auto"/>
        <w:rPr>
          <w:rFonts w:ascii="黑体" w:hAnsi="黑体" w:eastAsia="黑体"/>
          <w:color w:val="C45911"/>
          <w:sz w:val="24"/>
        </w:rPr>
      </w:pPr>
      <w:r>
        <w:rPr>
          <w:rFonts w:hint="eastAsia" w:ascii="黑体" w:hAnsi="黑体" w:eastAsia="黑体"/>
          <w:b/>
          <w:sz w:val="24"/>
        </w:rPr>
        <w:t>4、相空间交互式刷选可视分析：搭建联动式交互可视分析仪表盘，实现基于相空间的筛选分析功能。支持用户在统计直方图中自定义框选特定密度区间，例如筛选占比1%的极高密度区间。系统可实时联动三维空间视图，快速渲染匹配该密度阈值的物理单元格数据，直观验证直方图高密度尾部数据与宇宙网节点致密结构的对应关系，实现统计特征与空间物理结构的双向关联分析。</w:t>
      </w:r>
      <w:r>
        <w:rPr>
          <w:rFonts w:hint="eastAsia" w:ascii="黑体" w:hAnsi="黑体" w:eastAsia="黑体"/>
          <w:color w:val="C45911"/>
          <w:sz w:val="24"/>
        </w:rPr>
        <w:t>（建议参赛者回答此题文字不多于800字，图片不多于5张）</w:t>
      </w:r>
    </w:p>
    <w:p w14:paraId="76A38ABE">
      <w:pPr>
        <w:rPr>
          <w:color w:val="BFBFBF"/>
        </w:rPr>
      </w:pPr>
      <w:r>
        <w:rPr>
          <w:color w:val="BFBFBF"/>
        </w:rPr>
        <w:t>（下面是答题区域）</w:t>
      </w:r>
    </w:p>
    <w:p w14:paraId="5781BB81">
      <w:pPr>
        <w:spacing w:after="120" w:line="300" w:lineRule="auto"/>
        <w:ind w:firstLine="420"/>
      </w:pPr>
      <w:r>
        <w:rPr>
          <w:rFonts w:ascii="Times New Roman" w:hAnsi="Times New Roman" w:eastAsia="宋体"/>
          <w:b w:val="0"/>
          <w:sz w:val="21"/>
        </w:rPr>
        <w:t>系统把 log 密度直方图作为相空间入口，用户在 D3 brushX 中选择任意密度区间后，WebGL 着色器立即过滤体素，右侧面板同步给出体素数、占比、均值和最大密度。预设按钮将常用语义区间固定为 Void、Sheet、Filament、Node、Top1% 和 Top0.1%，降低了从统计图到三维结构的切换成本。高密度尾部刷选会定位节点和团块，Filament 区间会保留连续丝状通道，低密度区间则显示空洞边界；反向地，三维视图中的 Top1%、Void、Probe 等模式又能把空间发现带回直方图、统计曲线和探针剖面。这种联动使“统计异常对应什么空间结构”成为可直接验证的问题。</w:t>
      </w:r>
    </w:p>
    <w:p w14:paraId="4A0DA316">
      <w:pPr>
        <w:jc w:val="center"/>
      </w:pPr>
      <w:r>
        <w:drawing>
          <wp:inline distT="0" distB="0" distL="114300" distR="114300">
            <wp:extent cx="5327650" cy="299656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328000" cy="2997000"/>
                    </a:xfrm>
                    <a:prstGeom prst="rect">
                      <a:avLst/>
                    </a:prstGeom>
                  </pic:spPr>
                </pic:pic>
              </a:graphicData>
            </a:graphic>
          </wp:inline>
        </w:drawing>
      </w:r>
    </w:p>
    <w:p w14:paraId="5F58A6E9">
      <w:pPr>
        <w:spacing w:after="120"/>
        <w:jc w:val="center"/>
      </w:pPr>
      <w:r>
        <w:rPr>
          <w:rFonts w:ascii="Times New Roman" w:hAnsi="Times New Roman" w:eastAsia="宋体"/>
          <w:b w:val="0"/>
          <w:sz w:val="18"/>
        </w:rPr>
        <w:t>图4-1 图表页直方图刷选入口</w:t>
      </w:r>
    </w:p>
    <w:p w14:paraId="240BC60E">
      <w:pPr>
        <w:jc w:val="center"/>
      </w:pPr>
      <w:r>
        <w:drawing>
          <wp:inline distT="0" distB="0" distL="114300" distR="114300">
            <wp:extent cx="5327650" cy="2996565"/>
            <wp:effectExtent l="0" t="0" r="635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328000" cy="2997000"/>
                    </a:xfrm>
                    <a:prstGeom prst="rect">
                      <a:avLst/>
                    </a:prstGeom>
                  </pic:spPr>
                </pic:pic>
              </a:graphicData>
            </a:graphic>
          </wp:inline>
        </w:drawing>
      </w:r>
    </w:p>
    <w:p w14:paraId="7A83BC47">
      <w:pPr>
        <w:spacing w:after="120"/>
        <w:jc w:val="center"/>
      </w:pPr>
      <w:r>
        <w:rPr>
          <w:rFonts w:ascii="Times New Roman" w:hAnsi="Times New Roman" w:eastAsia="宋体"/>
          <w:b w:val="0"/>
          <w:sz w:val="18"/>
        </w:rPr>
        <w:t>图4-2 Node 刷选联动</w:t>
      </w:r>
    </w:p>
    <w:p w14:paraId="37BE6BE7">
      <w:pPr>
        <w:jc w:val="center"/>
      </w:pPr>
      <w:r>
        <w:drawing>
          <wp:inline distT="0" distB="0" distL="114300" distR="114300">
            <wp:extent cx="5327650" cy="299656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328000" cy="2997000"/>
                    </a:xfrm>
                    <a:prstGeom prst="rect">
                      <a:avLst/>
                    </a:prstGeom>
                  </pic:spPr>
                </pic:pic>
              </a:graphicData>
            </a:graphic>
          </wp:inline>
        </w:drawing>
      </w:r>
    </w:p>
    <w:p w14:paraId="2F7D864D">
      <w:pPr>
        <w:spacing w:after="120"/>
        <w:jc w:val="center"/>
      </w:pPr>
      <w:r>
        <w:rPr>
          <w:rFonts w:ascii="Times New Roman" w:hAnsi="Times New Roman" w:eastAsia="宋体"/>
          <w:b w:val="0"/>
          <w:sz w:val="18"/>
        </w:rPr>
        <w:t>图4-3 Filament 刷选联动</w:t>
      </w:r>
    </w:p>
    <w:p w14:paraId="2338FF88">
      <w:pPr>
        <w:jc w:val="center"/>
      </w:pPr>
      <w:r>
        <w:drawing>
          <wp:inline distT="0" distB="0" distL="114300" distR="114300">
            <wp:extent cx="5615940" cy="5738495"/>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stretch>
                      <a:fillRect/>
                    </a:stretch>
                  </pic:blipFill>
                  <pic:spPr>
                    <a:xfrm>
                      <a:off x="0" y="0"/>
                      <a:ext cx="5616000" cy="5738680"/>
                    </a:xfrm>
                    <a:prstGeom prst="rect">
                      <a:avLst/>
                    </a:prstGeom>
                  </pic:spPr>
                </pic:pic>
              </a:graphicData>
            </a:graphic>
          </wp:inline>
        </w:drawing>
      </w:r>
    </w:p>
    <w:p w14:paraId="3F708472">
      <w:pPr>
        <w:spacing w:after="120"/>
        <w:jc w:val="center"/>
      </w:pPr>
      <w:r>
        <w:rPr>
          <w:rFonts w:ascii="Times New Roman" w:hAnsi="Times New Roman" w:eastAsia="宋体"/>
          <w:b w:val="0"/>
          <w:sz w:val="18"/>
        </w:rPr>
        <w:t>图4-4 高密度区间提取的三维骨架</w:t>
      </w:r>
    </w:p>
    <w:p w14:paraId="7AB74054">
      <w:pPr>
        <w:jc w:val="center"/>
      </w:pPr>
      <w:r>
        <w:drawing>
          <wp:inline distT="0" distB="0" distL="114300" distR="114300">
            <wp:extent cx="5327650" cy="2996565"/>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5"/>
                    <a:stretch>
                      <a:fillRect/>
                    </a:stretch>
                  </pic:blipFill>
                  <pic:spPr>
                    <a:xfrm>
                      <a:off x="0" y="0"/>
                      <a:ext cx="5328000" cy="2997000"/>
                    </a:xfrm>
                    <a:prstGeom prst="rect">
                      <a:avLst/>
                    </a:prstGeom>
                  </pic:spPr>
                </pic:pic>
              </a:graphicData>
            </a:graphic>
          </wp:inline>
        </w:drawing>
      </w:r>
    </w:p>
    <w:p w14:paraId="13205F0F">
      <w:pPr>
        <w:spacing w:after="120"/>
        <w:jc w:val="center"/>
      </w:pPr>
      <w:r>
        <w:rPr>
          <w:rFonts w:ascii="Times New Roman" w:hAnsi="Times New Roman" w:eastAsia="宋体"/>
          <w:b w:val="0"/>
          <w:sz w:val="18"/>
        </w:rPr>
        <w:t>图4-5 Probe 面板用于空间视线分析</w:t>
      </w:r>
    </w:p>
    <w:p w14:paraId="7F28F7DD">
      <w:pPr>
        <w:spacing w:after="120"/>
      </w:pPr>
    </w:p>
    <w:p w14:paraId="0E4890B8">
      <w:pPr>
        <w:spacing w:before="120" w:after="120" w:line="240" w:lineRule="auto"/>
        <w:rPr>
          <w:rFonts w:ascii="楷体" w:hAnsi="楷体" w:eastAsia="楷体"/>
          <w:b/>
          <w:sz w:val="21"/>
          <w:szCs w:val="21"/>
        </w:rPr>
      </w:pPr>
    </w:p>
    <w:p w14:paraId="79859BE7">
      <w:pPr>
        <w:spacing w:before="120" w:after="120" w:line="240" w:lineRule="auto"/>
        <w:rPr>
          <w:rFonts w:ascii="楷体" w:hAnsi="楷体" w:eastAsia="楷体"/>
          <w:b/>
          <w:sz w:val="21"/>
          <w:szCs w:val="21"/>
        </w:rPr>
      </w:pPr>
    </w:p>
    <w:p w14:paraId="3C926DC1">
      <w:pPr>
        <w:spacing w:before="120" w:after="120" w:line="240" w:lineRule="auto"/>
        <w:rPr>
          <w:rFonts w:ascii="楷体" w:hAnsi="楷体" w:eastAsia="楷体"/>
          <w:b/>
          <w:sz w:val="21"/>
          <w:szCs w:val="21"/>
        </w:rPr>
      </w:pPr>
    </w:p>
    <w:sectPr>
      <w:pgSz w:w="11906" w:h="16838"/>
      <w:pgMar w:top="1440" w:right="1080" w:bottom="1440" w:left="10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4ZmYzYTY0ZWRlMmRhZDNjY2QyYWRmNTUyMGE0OGEifQ=="/>
  </w:docVars>
  <w:rsids>
    <w:rsidRoot w:val="00993785"/>
    <w:rsid w:val="000249C3"/>
    <w:rsid w:val="00034337"/>
    <w:rsid w:val="00074377"/>
    <w:rsid w:val="000969AD"/>
    <w:rsid w:val="000A51D6"/>
    <w:rsid w:val="00111C40"/>
    <w:rsid w:val="00142471"/>
    <w:rsid w:val="00144A5C"/>
    <w:rsid w:val="001B3BDA"/>
    <w:rsid w:val="00273A3E"/>
    <w:rsid w:val="002F1EC8"/>
    <w:rsid w:val="0036156D"/>
    <w:rsid w:val="00511AFA"/>
    <w:rsid w:val="005A69D7"/>
    <w:rsid w:val="005F3163"/>
    <w:rsid w:val="00650923"/>
    <w:rsid w:val="0067075C"/>
    <w:rsid w:val="006F2AE0"/>
    <w:rsid w:val="007421D0"/>
    <w:rsid w:val="00743AA7"/>
    <w:rsid w:val="00754207"/>
    <w:rsid w:val="007A5E0E"/>
    <w:rsid w:val="008F621A"/>
    <w:rsid w:val="009167E5"/>
    <w:rsid w:val="00940392"/>
    <w:rsid w:val="00956A53"/>
    <w:rsid w:val="00965202"/>
    <w:rsid w:val="00993785"/>
    <w:rsid w:val="009D3907"/>
    <w:rsid w:val="00A12869"/>
    <w:rsid w:val="00A155B2"/>
    <w:rsid w:val="00A97522"/>
    <w:rsid w:val="00B77D19"/>
    <w:rsid w:val="00BB7A09"/>
    <w:rsid w:val="00C60428"/>
    <w:rsid w:val="00C628A5"/>
    <w:rsid w:val="00CB7667"/>
    <w:rsid w:val="00D44925"/>
    <w:rsid w:val="00D553A3"/>
    <w:rsid w:val="00D734CE"/>
    <w:rsid w:val="00DA0D0A"/>
    <w:rsid w:val="00E015A7"/>
    <w:rsid w:val="00E36F32"/>
    <w:rsid w:val="00E40CB4"/>
    <w:rsid w:val="00E91F43"/>
    <w:rsid w:val="00EC669A"/>
    <w:rsid w:val="00FB16FA"/>
    <w:rsid w:val="00FF4BA2"/>
    <w:rsid w:val="00FF7536"/>
    <w:rsid w:val="0598572A"/>
    <w:rsid w:val="146B549A"/>
    <w:rsid w:val="149C06FF"/>
    <w:rsid w:val="23B670EB"/>
    <w:rsid w:val="3CB14874"/>
    <w:rsid w:val="3E6E5C27"/>
    <w:rsid w:val="448D3C95"/>
    <w:rsid w:val="480D4F0C"/>
    <w:rsid w:val="4F6F1D18"/>
    <w:rsid w:val="6B66680F"/>
    <w:rsid w:val="6DA47243"/>
    <w:rsid w:val="765362CF"/>
    <w:rsid w:val="7ACC520B"/>
    <w:rsid w:val="7AED2E7F"/>
    <w:rsid w:val="7F270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Microsoft YaHei UI" w:cs="Times New Roman"/>
      <w:sz w:val="22"/>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autoRedefine/>
    <w:unhideWhenUsed/>
    <w:qFormat/>
    <w:uiPriority w:val="99"/>
    <w:pPr>
      <w:tabs>
        <w:tab w:val="center" w:pos="4153"/>
        <w:tab w:val="right" w:pos="8306"/>
      </w:tabs>
      <w:snapToGrid w:val="0"/>
      <w:spacing w:line="240" w:lineRule="auto"/>
    </w:pPr>
    <w:rPr>
      <w:sz w:val="18"/>
      <w:szCs w:val="18"/>
    </w:rPr>
  </w:style>
  <w:style w:type="paragraph" w:styleId="3">
    <w:name w:val="header"/>
    <w:basedOn w:val="1"/>
    <w:link w:val="6"/>
    <w:autoRedefine/>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6">
    <w:name w:val="页眉 字符"/>
    <w:link w:val="3"/>
    <w:qFormat/>
    <w:uiPriority w:val="99"/>
    <w:rPr>
      <w:rFonts w:eastAsia="Microsoft YaHei UI"/>
      <w:sz w:val="18"/>
      <w:szCs w:val="18"/>
    </w:rPr>
  </w:style>
  <w:style w:type="character" w:customStyle="1" w:styleId="7">
    <w:name w:val="页脚 字符"/>
    <w:link w:val="2"/>
    <w:autoRedefine/>
    <w:qFormat/>
    <w:uiPriority w:val="99"/>
    <w:rPr>
      <w:rFonts w:eastAsia="Microsoft YaHei UI"/>
      <w:sz w:val="18"/>
      <w:szCs w:val="18"/>
    </w:rPr>
  </w:style>
  <w:style w:type="paragraph" w:customStyle="1" w:styleId="8">
    <w:name w:val="列出段落1"/>
    <w:basedOn w:val="1"/>
    <w:qFormat/>
    <w:uiPriority w:val="34"/>
    <w:pPr>
      <w:widowControl w:val="0"/>
      <w:spacing w:after="0" w:line="240" w:lineRule="auto"/>
      <w:ind w:firstLine="420" w:firstLineChars="200"/>
      <w:jc w:val="both"/>
    </w:pPr>
    <w:rPr>
      <w:rFonts w:eastAsia="宋体"/>
      <w:kern w:val="2"/>
      <w:sz w:val="21"/>
    </w:rPr>
  </w:style>
  <w:style w:type="paragraph" w:customStyle="1" w:styleId="9">
    <w:name w:val="Title A"/>
    <w:qFormat/>
    <w:uiPriority w:val="0"/>
    <w:pPr>
      <w:widowControl w:val="0"/>
      <w:jc w:val="both"/>
    </w:pPr>
    <w:rPr>
      <w:rFonts w:ascii="Calibri" w:hAnsi="Calibri" w:eastAsia="Calibri" w:cs="Calibri"/>
      <w:color w:val="000000"/>
      <w:kern w:val="2"/>
      <w:sz w:val="18"/>
      <w:szCs w:val="18"/>
      <w:u w:color="00000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601</Words>
  <Characters>754</Characters>
  <Lines>8</Lines>
  <Paragraphs>2</Paragraphs>
  <TotalTime>39</TotalTime>
  <ScaleCrop>false</ScaleCrop>
  <LinksUpToDate>false</LinksUpToDate>
  <CharactersWithSpaces>792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2022-03-27T05:01:00Z</dcterms:created>
  <dc:creator>ZY</dc:creator>
  <cp:lastModifiedBy>luca</cp:lastModifiedBy>
  <dcterms:modified xsi:type="dcterms:W3CDTF">2026-06-28T07:12:25Z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03B78DF9DBCC43E190FBA832EA9B2F64_13</vt:lpwstr>
  </property>
  <property fmtid="{D5CDD505-2E9C-101B-9397-08002B2CF9AE}" pid="4" name="KSOTemplateDocerSaveRecord">
    <vt:lpwstr>eyJoZGlkIjoiZTJhOGM3MTlkNjYzZDBlY2U2MDk5NTFlN2M4YTdjZjAiLCJ1c2VySWQiOiI0NzM0MzQ4MzAifQ==</vt:lpwstr>
  </property>
</Properties>
</file>