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日本語で動作条件を変える</w:t>
        <w:br/>
        <w:t>SO-101の把持・運搬</w:t>
      </w:r>
    </w:p>
    <w:p>
      <w:pPr>
        <w:pStyle w:val="Caption"/>
        <w:snapToGrid w:val="0"/>
      </w:pPr>
      <w:r>
        <w:t>Physical AI応用講座 最終課題 / MuJoCoシミュレーション</w:t>
      </w:r>
    </w:p>
    <w:p>
      <w:pPr>
        <w:pStyle w:val="Heading1"/>
        <w:snapToGrid w:val="0"/>
      </w:pPr>
      <w:r>
        <w:t>1. 目的と独自の工夫</w:t>
      </w:r>
    </w:p>
    <w:p>
      <w:pPr>
        <w:snapToGrid w:val="0"/>
      </w:pPr>
      <w:r>
        <w:t>机のA地点の立方体へ近づき、指でつかんで持ち上げ、B地点へ運んで離す。同じ物体・配置・PPO重みに対し、日本語指示で動作条件を変更する。実在するSO-101のモデルを用い、実際の接触と摩擦による把持を検証した。</w:t>
      </w:r>
    </w:p>
    <w:p>
      <w:pPr>
        <w:keepNext/>
        <w:snapToGrid w:val="0"/>
        <w:spacing w:after="80" w:line="240" w:lineRule="auto"/>
      </w:pPr>
      <w:r>
        <w:drawing>
          <wp:inline xmlns:a="http://schemas.openxmlformats.org/drawingml/2006/main" xmlns:pic="http://schemas.openxmlformats.org/drawingml/2006/picture">
            <wp:extent cx="6604000" cy="4402666"/>
            <wp:docPr id="1" name="Picture 1" descr="lifted-p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ed-pre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440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図: 実際のMuJoCo状態から描画した把持・運搬中の様子。物体は自由剛体であり、座標の直接変更や溶接拘束を使って保持していない。実機写真ではない。</w:t>
      </w:r>
    </w:p>
    <w:p>
      <w:pPr>
        <w:pStyle w:val="Heading1"/>
        <w:snapToGrid w:val="0"/>
      </w:pPr>
      <w:r>
        <w:t>2. AIと設計した制御の役割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240"/>
        <w:gridCol w:w="8160"/>
      </w:tblGrid>
      <w:tr>
        <w:trPr>
          <w:cantSplit/>
          <w:tblHeader/>
        </w:trPr>
        <w:tc>
          <w:tcPr>
            <w:tcW w:type="dxa" w:w="2240"/>
            <w:vAlign w:val="center"/>
            <w:shd w:fill="14283F"/>
          </w:tcPr>
          <w:p>
            <w:pPr>
              <w:snapToGrid w:val="0"/>
              <w:spacing w:after="0" w:line="220" w:lineRule="exact"/>
            </w:pPr>
            <w:r>
              <w:rPr>
                <w:color w:val="FFFFFF"/>
                <w:sz w:val="15"/>
              </w:rPr>
              <w:t>要素</w:t>
            </w:r>
          </w:p>
        </w:tc>
        <w:tc>
          <w:tcPr>
            <w:tcW w:type="dxa" w:w="8160"/>
            <w:vAlign w:val="center"/>
            <w:shd w:fill="14283F"/>
          </w:tcPr>
          <w:p>
            <w:pPr>
              <w:snapToGrid w:val="0"/>
              <w:spacing w:after="0" w:line="220" w:lineRule="exact"/>
            </w:pPr>
            <w:r>
              <w:rPr>
                <w:color w:val="FFFFFF"/>
                <w:sz w:val="15"/>
              </w:rPr>
              <w:t>役割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EFF5F8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IK + 状態機械</w:t>
            </w:r>
          </w:p>
        </w:tc>
        <w:tc>
          <w:tcPr>
            <w:tcW w:type="dxa" w:w="8160"/>
            <w:vAlign w:val="center"/>
            <w:shd w:fill="EFF5F8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8段階の経由姿勢と指の開閉を決める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FFFFFF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PPO（学習部分）</w:t>
            </w:r>
          </w:p>
        </w:tc>
        <w:tc>
          <w:tcPr>
            <w:tcW w:type="dxa" w:w="8160"/>
            <w:vAlign w:val="center"/>
            <w:shd w:fill="FFFFFF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5関節の基準追従速度を最大±35%補正する残差制御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EFF5F8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Qwen2.5:1.5B</w:t>
            </w:r>
          </w:p>
        </w:tc>
        <w:tc>
          <w:tcPr>
            <w:tcW w:type="dxa" w:w="8160"/>
            <w:vAlign w:val="center"/>
            <w:shd w:fill="EFF5F8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日本語をcareful / fastへ分類。指示ごとに1回、ループ外で実行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FFFFFF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モード制限</w:t>
            </w:r>
          </w:p>
        </w:tc>
        <w:tc>
          <w:tcPr>
            <w:tcW w:type="dxa" w:w="8160"/>
            <w:vAlign w:val="center"/>
            <w:shd w:fill="FFFFFF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careful: 0.4rad/s・0.8rad/s² / fast: 1.2・3.0（指令の上限）</w:t>
            </w:r>
          </w:p>
        </w:tc>
      </w:tr>
    </w:tbl>
    <w:p>
      <w:pPr>
        <w:pStyle w:val="Caption"/>
        <w:snapToGrid w:val="0"/>
      </w:pPr>
      <w:r>
        <w:t>把持全体をゼロから学習した方式ではない。standardとfastは同じ定数であり、2種類の速度方策を学習したわけではない。</w:t>
      </w:r>
    </w:p>
    <w:p>
      <w:pPr>
        <w:pStyle w:val="Heading1"/>
        <w:pageBreakBefore/>
        <w:snapToGrid w:val="0"/>
      </w:pPr>
      <w:r>
        <w:t>3. 学習と比較実験</w:t>
      </w:r>
    </w:p>
    <w:p>
      <w:pPr>
        <w:snapToGrid w:val="0"/>
      </w:pPr>
      <w:r>
        <w:t>学習128配置・検証30配置・最終評価100配置を別seedで生成。学習seed 42 / 123 / 456を独立初期化し、合計393,216ステップをCPUで学習した。検証成功率が最大、同率なら平均時間が短い重みを選択し、最終評価前にhashを固定した。</w:t>
      </w:r>
    </w:p>
    <w:p>
      <w:pPr>
        <w:snapToGrid w:val="0"/>
      </w:pPr>
      <w:r>
        <w:t>PPOはMLP64×64、学習率3e-4、n_steps512、batch128、4逐次ベクトル環境。観測43次元、行動5次元。報酬は関節誤差改善・時間コスト・段階進行・最終成功を使用。</w:t>
      </w:r>
    </w:p>
    <w:p>
      <w:pPr>
        <w:keepNext/>
        <w:snapToGrid w:val="0"/>
        <w:spacing w:after="80" w:line="240" w:lineRule="auto"/>
      </w:pPr>
      <w:r>
        <w:drawing>
          <wp:inline xmlns:a="http://schemas.openxmlformats.org/drawingml/2006/main" xmlns:pic="http://schemas.openxmlformats.org/drawingml/2006/picture">
            <wp:extent cx="6604000" cy="2036233"/>
            <wp:docPr id="2" name="Picture 2" descr="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20362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3200"/>
        <w:gridCol w:w="2600"/>
        <w:gridCol w:w="2000"/>
        <w:gridCol w:w="2600"/>
      </w:tblGrid>
      <w:tr>
        <w:trPr>
          <w:cantSplit/>
          <w:tblHeader/>
        </w:trPr>
        <w:tc>
          <w:tcPr>
            <w:tcW w:type="dxa" w:w="3200"/>
            <w:vAlign w:val="center"/>
            <w:shd w:fill="14283F"/>
          </w:tcPr>
          <w:p>
            <w:pPr>
              <w:snapToGrid w:val="0"/>
              <w:spacing w:after="0" w:line="220" w:lineRule="exact"/>
            </w:pPr>
            <w:r>
              <w:rPr>
                <w:color w:val="FFFFFF"/>
                <w:sz w:val="15"/>
              </w:rPr>
              <w:t>方式</w:t>
            </w:r>
          </w:p>
        </w:tc>
        <w:tc>
          <w:tcPr>
            <w:tcW w:type="dxa" w:w="2600"/>
            <w:vAlign w:val="center"/>
            <w:shd w:fill="14283F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color w:val="FFFFFF"/>
                <w:sz w:val="15"/>
              </w:rPr>
              <w:t>成功率</w:t>
            </w:r>
          </w:p>
        </w:tc>
        <w:tc>
          <w:tcPr>
            <w:tcW w:type="dxa" w:w="2000"/>
            <w:vAlign w:val="center"/>
            <w:shd w:fill="14283F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color w:val="FFFFFF"/>
                <w:sz w:val="15"/>
              </w:rPr>
              <w:t>平均時間</w:t>
            </w:r>
          </w:p>
        </w:tc>
        <w:tc>
          <w:tcPr>
            <w:tcW w:type="dxa" w:w="2600"/>
            <w:vAlign w:val="center"/>
            <w:shd w:fill="14283F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color w:val="FFFFFF"/>
                <w:sz w:val="15"/>
              </w:rPr>
              <w:t>平均手先速度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EFF5F8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IK基準</w:t>
            </w:r>
          </w:p>
        </w:tc>
        <w:tc>
          <w:tcPr>
            <w:tcW w:type="dxa" w:w="2600"/>
            <w:vAlign w:val="center"/>
            <w:shd w:fill="EFF5F8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sz w:val="15"/>
              </w:rPr>
              <w:t>100.0%</w:t>
            </w:r>
          </w:p>
        </w:tc>
        <w:tc>
          <w:tcPr>
            <w:tcW w:type="dxa" w:w="2000"/>
            <w:vAlign w:val="center"/>
            <w:shd w:fill="EFF5F8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sz w:val="15"/>
              </w:rPr>
              <w:t>8.603s</w:t>
            </w:r>
          </w:p>
        </w:tc>
        <w:tc>
          <w:tcPr>
            <w:tcW w:type="dxa" w:w="2600"/>
            <w:vAlign w:val="center"/>
            <w:shd w:fill="EFF5F8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sz w:val="15"/>
              </w:rPr>
              <w:t>0.0652m/s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FFFFF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未学習PPO補正</w:t>
            </w:r>
          </w:p>
        </w:tc>
        <w:tc>
          <w:tcPr>
            <w:tcW w:type="dxa" w:w="2600"/>
            <w:vAlign w:val="center"/>
            <w:shd w:fill="FFFFFF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sz w:val="15"/>
              </w:rPr>
              <w:t>100.0%</w:t>
            </w:r>
          </w:p>
        </w:tc>
        <w:tc>
          <w:tcPr>
            <w:tcW w:type="dxa" w:w="2000"/>
            <w:vAlign w:val="center"/>
            <w:shd w:fill="FFFFFF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sz w:val="15"/>
              </w:rPr>
              <w:t>8.622s</w:t>
            </w:r>
          </w:p>
        </w:tc>
        <w:tc>
          <w:tcPr>
            <w:tcW w:type="dxa" w:w="2600"/>
            <w:vAlign w:val="center"/>
            <w:shd w:fill="FFFFFF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sz w:val="15"/>
              </w:rPr>
              <w:t>0.0652m/s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EFF5F8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PPO標準</w:t>
            </w:r>
          </w:p>
        </w:tc>
        <w:tc>
          <w:tcPr>
            <w:tcW w:type="dxa" w:w="2600"/>
            <w:vAlign w:val="center"/>
            <w:shd w:fill="EFF5F8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sz w:val="15"/>
              </w:rPr>
              <w:t>100.0% ± 0.0%</w:t>
            </w:r>
          </w:p>
        </w:tc>
        <w:tc>
          <w:tcPr>
            <w:tcW w:type="dxa" w:w="2000"/>
            <w:vAlign w:val="center"/>
            <w:shd w:fill="EFF5F8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sz w:val="15"/>
              </w:rPr>
              <w:t>8.397s</w:t>
            </w:r>
          </w:p>
        </w:tc>
        <w:tc>
          <w:tcPr>
            <w:tcW w:type="dxa" w:w="2600"/>
            <w:vAlign w:val="center"/>
            <w:shd w:fill="EFF5F8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sz w:val="15"/>
              </w:rPr>
              <w:t>0.0667m/s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FFFFF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PPO慎重</w:t>
            </w:r>
          </w:p>
        </w:tc>
        <w:tc>
          <w:tcPr>
            <w:tcW w:type="dxa" w:w="2600"/>
            <w:vAlign w:val="center"/>
            <w:shd w:fill="FFFFFF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sz w:val="15"/>
              </w:rPr>
              <w:t>100.0% ± 0.0%</w:t>
            </w:r>
          </w:p>
        </w:tc>
        <w:tc>
          <w:tcPr>
            <w:tcW w:type="dxa" w:w="2000"/>
            <w:vAlign w:val="center"/>
            <w:shd w:fill="FFFFFF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sz w:val="15"/>
              </w:rPr>
              <w:t>13.643s</w:t>
            </w:r>
          </w:p>
        </w:tc>
        <w:tc>
          <w:tcPr>
            <w:tcW w:type="dxa" w:w="2600"/>
            <w:vAlign w:val="center"/>
            <w:shd w:fill="FFFFFF"/>
          </w:tcPr>
          <w:p>
            <w:pPr>
              <w:snapToGrid w:val="0"/>
              <w:spacing w:after="0" w:line="220" w:lineRule="exact"/>
              <w:jc w:val="center"/>
            </w:pPr>
            <w:r>
              <w:rPr>
                <w:sz w:val="15"/>
              </w:rPr>
              <w:t>0.0420m/s</w:t>
            </w:r>
          </w:p>
        </w:tc>
      </w:tr>
    </w:tbl>
    <w:p>
      <w:pPr>
        <w:pStyle w:val="Caption"/>
        <w:snapToGrid w:val="0"/>
      </w:pPr>
      <w:r>
        <w:t>各方式で同じ100配置を使用。PPOは3学習seedの平均、±は学習seed間の標本標準偏差。同じ100配置の繰り返しなので300個の独立配置とは数えない。平均時間・速度は待機と退避、失敗試行も含む。</w:t>
      </w:r>
    </w:p>
    <w:p>
      <w:pPr>
        <w:keepNext/>
        <w:snapToGrid w:val="0"/>
        <w:spacing w:after="80" w:line="240" w:lineRule="auto"/>
      </w:pPr>
      <w:r>
        <w:drawing>
          <wp:inline xmlns:a="http://schemas.openxmlformats.org/drawingml/2006/main" xmlns:pic="http://schemas.openxmlformats.org/drawingml/2006/picture">
            <wp:extent cx="6604000" cy="2245360"/>
            <wp:docPr id="3" name="Picture 3" descr="learning_cur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224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IKだけでも成立する課題である。PPO導入を把持成功や性能向上の根拠とせず、基準との差は実測で判断する。</w:t>
      </w:r>
    </w:p>
    <w:p>
      <w:pPr>
        <w:pStyle w:val="Heading1"/>
        <w:pageBreakBefore/>
        <w:snapToGrid w:val="0"/>
      </w:pPr>
      <w:r>
        <w:t>4. 物理的把持と成功条件</w:t>
      </w:r>
    </w:p>
    <w:p>
      <w:pPr>
        <w:snapToGrid w:val="0"/>
      </w:pPr>
      <w:r>
        <w:t>35g・一辺36mmの立方体を自由剛体として扱う。両指に接触したまま物体中心が6cmを超えて持ち上がり、全8段階を完了し、B地点の半径3.5cm以内で解放され、物体中心高さ1〜3.5cm・並進速度0.03m/s未満で静止した場合を成功とする。初期の物体中心高さは1.8cm。単にBへ近づいただけでは成功としない。</w:t>
      </w:r>
    </w:p>
    <w:p>
      <w:pPr>
        <w:pStyle w:val="Heading1"/>
        <w:snapToGrid w:val="0"/>
      </w:pPr>
      <w:r>
        <w:t>5. 自然言語による動作条件の変更</w:t>
      </w:r>
    </w:p>
    <w:p>
      <w:pPr>
        <w:snapToGrid w:val="0"/>
      </w:pPr>
      <w:r>
        <w:t>『精密部品なので慎重にA地点からB地点へ運んで』『急いでA地点からB地点へ運んで』の2指示をローカルLLMへ実際に入力し、同じ評価先頭ケース・同じPPO重みで撮影した。JSON schemaでmode / reasonだけを許可する。不正出力や通信失敗はcarefulへ戻し、実推論と区別して記録する。2件のデモから一般的な言語理解性能は主張しない。</w:t>
      </w:r>
    </w:p>
    <w:p>
      <w:pPr>
        <w:pStyle w:val="Heading1"/>
        <w:snapToGrid w:val="0"/>
      </w:pPr>
      <w:r>
        <w:t>6. 限界と解釈</w:t>
      </w:r>
    </w:p>
    <w:p>
      <w:pPr>
        <w:snapToGrid w:val="0"/>
      </w:pPr>
      <w:r>
        <w:t>固定開始姿勢、既知の立方体、狭いA/B配置範囲、既知座標での検証に限る。カメラ画像からの認識、未知位置探索、任意形状、実機転移は未実装。手首の可動範囲から持ち上げ高さにも制限がある。速度指令の制限は実測の物理速度・加速度や実機安全を保証せず、慎重という名称も安全保証を意味しない。</w:t>
      </w:r>
    </w:p>
    <w:p>
      <w:pPr>
        <w:pStyle w:val="Heading1"/>
        <w:snapToGrid w:val="0"/>
      </w:pPr>
      <w:r>
        <w:t>7. 再現・出典・提出物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240"/>
        <w:gridCol w:w="8160"/>
      </w:tblGrid>
      <w:tr>
        <w:trPr>
          <w:cantSplit/>
          <w:tblHeader/>
        </w:trPr>
        <w:tc>
          <w:tcPr>
            <w:tcW w:type="dxa" w:w="2240"/>
            <w:vAlign w:val="center"/>
            <w:shd w:fill="14283F"/>
          </w:tcPr>
          <w:p>
            <w:pPr>
              <w:snapToGrid w:val="0"/>
              <w:spacing w:after="0" w:line="220" w:lineRule="exact"/>
            </w:pPr>
            <w:r>
              <w:rPr>
                <w:color w:val="FFFFFF"/>
                <w:sz w:val="15"/>
              </w:rPr>
              <w:t>成果物</w:t>
            </w:r>
          </w:p>
        </w:tc>
        <w:tc>
          <w:tcPr>
            <w:tcW w:type="dxa" w:w="8160"/>
            <w:vAlign w:val="center"/>
            <w:shd w:fill="14283F"/>
          </w:tcPr>
          <w:p>
            <w:pPr>
              <w:snapToGrid w:val="0"/>
              <w:spacing w:after="0" w:line="220" w:lineRule="exact"/>
            </w:pPr>
            <w:r>
              <w:rPr>
                <w:color w:val="FFFFFF"/>
                <w:sz w:val="15"/>
              </w:rPr>
              <w:t>場所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EFF5F8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最終動画</w:t>
            </w:r>
          </w:p>
        </w:tc>
        <w:tc>
          <w:tcPr>
            <w:tcW w:type="dxa" w:w="8160"/>
            <w:vAlign w:val="center"/>
            <w:shd w:fill="EFF5F8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videos/so101_final.mp4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FFFFFF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コード・再現手順</w:t>
            </w:r>
          </w:p>
        </w:tc>
        <w:tc>
          <w:tcPr>
            <w:tcW w:type="dxa" w:w="8160"/>
            <w:vAlign w:val="center"/>
            <w:shd w:fill="FFFFFF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README-SO101.md / src/so101_task.py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EFF5F8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PPO重み</w:t>
            </w:r>
          </w:p>
        </w:tc>
        <w:tc>
          <w:tcPr>
            <w:tcW w:type="dxa" w:w="8160"/>
            <w:vAlign w:val="center"/>
            <w:shd w:fill="EFF5F8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checkpoints/so101_seed{42,123,456}/best_model.zip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FFFFFF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全試行・実験条件</w:t>
            </w:r>
          </w:p>
        </w:tc>
        <w:tc>
          <w:tcPr>
            <w:tcW w:type="dxa" w:w="8160"/>
            <w:vAlign w:val="center"/>
            <w:shd w:fill="FFFFFF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results/so101/final/episode_results.csv / protocol.json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EFF5F8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実LLM・動作記録</w:t>
            </w:r>
          </w:p>
        </w:tc>
        <w:tc>
          <w:tcPr>
            <w:tcW w:type="dxa" w:w="8160"/>
            <w:vAlign w:val="center"/>
            <w:shd w:fill="EFF5F8"/>
          </w:tcPr>
          <w:p>
            <w:pPr>
              <w:snapToGrid w:val="0"/>
              <w:spacing w:after="0" w:line="220" w:lineRule="exact"/>
            </w:pPr>
            <w:r>
              <w:rPr>
                <w:sz w:val="15"/>
              </w:rPr>
              <w:t>results/so101/demo_instructions.json / videos/so101_*.trajectory.csv</w:t>
            </w:r>
          </w:p>
        </w:tc>
      </w:tr>
    </w:tbl>
    <w:p>
      <w:pPr>
        <w:pStyle w:val="Caption"/>
        <w:snapToGrid w:val="0"/>
      </w:pPr>
      <w:r>
        <w:t>テスト42件通過。学習時間の実測合計566.7秒。クラウドGPUは未使用・0時間・0USD。依存はrequirements-lock.txt。手順はREADME-SO101.md。公開・投稿・OmniCampus提出は未実施。</w:t>
      </w:r>
    </w:p>
    <w:p>
      <w:pPr>
        <w:pStyle w:val="Caption"/>
        <w:snapToGrid w:val="0"/>
      </w:pPr>
      <w:r>
        <w:t>モデル: MuJoCo Menagerie / The Robot Studio SO-101。コミットcda5236f98383f6fbaa4820c6b18dba892cd087f。Apache-2.0ライセンスと元ファイルを同梱し、物体・机・制御・評価を別コードで追加。MuJoCo、Gymnasium、SB3 PPO、PyTorch、Ollama、Qwen、ImageIO、ReportLab等を使用。</w:t>
      </w:r>
    </w:p>
    <w:sectPr w:rsidR="00FC693F" w:rsidRPr="0006063C" w:rsidSect="00034616">
      <w:footerReference w:type="default" r:id="rId12"/>
      <w:pgSz w:w="11906" w:h="16838"/>
      <w:pgMar w:top="640" w:right="720" w:bottom="800" w:left="720" w:header="720" w:footer="3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400" w:val="right"/>
      </w:tabs>
      <w:spacing w:line="180" w:lineRule="exact"/>
    </w:pPr>
    <w:r>
      <w:rPr>
        <w:rFonts w:ascii="Meiryo" w:hAnsi="Meiryo"/>
        <w:sz w:val="14"/>
      </w:rPr>
      <w:t>Language-Conditioned SO-101 Pick &amp; Place | 2026-10-23</w:t>
      <w:tab/>
    </w:r>
    <w:fldSimple w:instr="PAGE"/>
    <w:r>
      <w:rPr>
        <w:sz w:val="14"/>
      </w:rPr>
      <w:t xml:space="preserve"> /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before="0" w:after="120"/>
    </w:pPr>
    <w:rPr>
      <w:rFonts w:ascii="Meiryo" w:hAnsi="Meiryo" w:eastAsia="Meiryo" w:cs="Meiryo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20" w:line="380" w:lineRule="exact"/>
      <w:outlineLvl w:val="0"/>
    </w:pPr>
    <w:rPr>
      <w:rFonts w:asciiTheme="majorHAnsi" w:eastAsiaTheme="majorEastAsia" w:hAnsiTheme="majorHAnsi" w:cstheme="majorBidi" w:ascii="Meiryo" w:hAnsi="Meiryo" w:eastAsia="Meiryo" w:cs="Meiryo"/>
      <w:b w:val="0"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580" w:lineRule="exact" w:before="0"/>
      <w:contextualSpacing/>
    </w:pPr>
    <w:rPr>
      <w:rFonts w:asciiTheme="majorHAnsi" w:eastAsiaTheme="majorEastAsia" w:hAnsiTheme="majorHAnsi" w:cstheme="majorBidi" w:ascii="Meiryo" w:hAnsi="Meiryo" w:eastAsia="Meiryo" w:cs="Meiryo"/>
      <w:b w:val="0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20" w:lineRule="exact" w:before="0" w:after="120"/>
    </w:pPr>
    <w:rPr>
      <w:rFonts w:asciiTheme="majorHAnsi" w:eastAsiaTheme="majorEastAsia" w:hAnsiTheme="majorHAnsi" w:cstheme="majorBidi" w:ascii="Meiryo" w:hAnsi="Meiryo" w:eastAsia="Meiryo" w:cs="Meiryo"/>
      <w:b w:val="0"/>
      <w:i w:val="0"/>
      <w:iCs/>
      <w:color w:val="000000"/>
      <w:spacing w:val="15"/>
      <w:sz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20" w:lineRule="exact" w:before="0" w:after="120"/>
    </w:pPr>
    <w:rPr>
      <w:rFonts w:ascii="Meiryo" w:hAnsi="Meiryo" w:eastAsia="Meiryo" w:cs="Meiryo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日本語で動作条件を変える SO-101の把持・運搬</dc:title>
  <dc:subject>Physical AI応用講座 最終課題 MuJoCoシミュレーション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