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Source Han Serif SC" w:hAnsi="Source Han Serif SC" w:eastAsia="Source Han Serif SC"/>
          <w:b/>
          <w:color w:val="A8894F"/>
          <w:sz w:val="19"/>
        </w:rPr>
        <w:t>财经内容台 · 基本面深度研究（分析师级初稿）</w:t>
      </w:r>
    </w:p>
    <w:p>
      <w:pPr>
        <w:spacing w:after="40" w:line="360" w:lineRule="auto"/>
        <w:jc w:val="center"/>
      </w:pPr>
      <w:r>
        <w:rPr>
          <w:rFonts w:ascii="Source Han Serif SC" w:hAnsi="Source Han Serif SC" w:eastAsia="Source Han Serif SC"/>
          <w:b/>
          <w:color w:val="1A1A1A"/>
          <w:sz w:val="64"/>
        </w:rPr>
        <w:t>宁德时代</w:t>
      </w:r>
    </w:p>
    <w:p>
      <w:pPr>
        <w:spacing w:after="280" w:line="360" w:lineRule="auto"/>
        <w:jc w:val="center"/>
      </w:pPr>
      <w:r>
        <w:rPr>
          <w:rFonts w:ascii="Source Han Serif SC" w:hAnsi="Source Han Serif SC" w:eastAsia="Source Han Serif SC"/>
          <w:b w:val="0"/>
          <w:color w:val="666666"/>
          <w:sz w:val="21"/>
        </w:rPr>
        <w:t>300750.SZ / 03750.HK · 全球动力电池龙头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4195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核心论点</w:t>
            </w:r>
          </w:p>
        </w:tc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整体置信度</w:t>
            </w:r>
          </w:p>
        </w:tc>
        <w:tc>
          <w:tcPr>
            <w:tcW w:type="dxa" w:w="181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风险回报</w:t>
            </w:r>
          </w:p>
        </w:tc>
      </w:tr>
      <w:tr>
        <w:tc>
          <w:tcPr>
            <w:tcW w:type="dxa" w:w="419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质地偏强，估值已透支完美执行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中性偏谨慎</w:t>
            </w:r>
          </w:p>
        </w:tc>
      </w:tr>
    </w:tbl>
    <w:p>
      <w:pPr>
        <w:spacing w:after="40" w:line="360" w:lineRule="auto"/>
        <w:jc w:val="center"/>
      </w:pPr>
      <w:r>
        <w:rPr>
          <w:rFonts w:ascii="Source Han Serif SC" w:hAnsi="Source Han Serif SC" w:eastAsia="Source Han Serif SC"/>
          <w:b w:val="0"/>
          <w:color w:val="666666"/>
          <w:sz w:val="17"/>
        </w:rPr>
        <w:t>财务数据截至 2026-03-31；经营增量信息截至 2026-07-10；估值/市场数据截至 2026-07（公开行情与卖方一致预期）。</w:t>
      </w:r>
    </w:p>
    <w:p>
      <w:pPr>
        <w:spacing w:after="0" w:line="360" w:lineRule="auto"/>
        <w:jc w:val="center"/>
      </w:pPr>
      <w:r>
        <w:rPr>
          <w:rFonts w:ascii="Source Han Serif SC" w:hAnsi="Source Han Serif SC" w:eastAsia="Source Han Serif SC"/>
          <w:b w:val="0"/>
          <w:color w:val="666666"/>
          <w:sz w:val="17"/>
        </w:rPr>
        <w:t>本材料为基于公开信息的前瞻研究整理与风险揭示，不构成买卖、申购或个性化投资建议；含估算判断，均标注置信度与倒推假设，供复核。</w:t>
      </w:r>
    </w:p>
    <w:p>
      <w:r>
        <w:br w:type="page"/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一、投资论点与分歧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质地偏强，但当前估值已把近乎完美的执行路径 price in，风险回报中性偏谨慎；下面先拆估值隐含了什么，再看它依赖的两个前提能否站住。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核心论点：宁德时代是全球动力电池龙头（2025 全球份额 39.2%、销量 661 GWh、连续九年第一），质地偏强（置信度中高）；但当前 A 股市值约 2.0–2.4 万亿元，已把一条近乎完美的执行路径 price in，因此风险回报中性偏谨慎。这个「偏谨慎」不是对公司质地的否定，而是对「价格 vs 质地」的判断——下面先拆估值隐含了什么，再看它依赖的两个前提能不能站住。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把估值隐含拆开看：以 2025 归母 722 亿元计，2.0–2.4 万亿市值对应静态 PE 约 28–33 倍；卖方给 2026E 约 20.5 倍 PE，反推市场预期 2026E 归母约 980–1,170 亿元、同比 +35% 以上，并隐含 2030 年前约 25% 的 EPS 复合增速（高盛口径）。把这串数字翻译成人话：市场付的价，要求宁德未来五年既维持约 50% 的中国份额、又把海外做成第二增长极、还不能让扩产稀释回报——三件事同时成立，才对得起现价。这就是我们判断的锚点：不是问「公司好不好」，而是问「这三件事有多大概率同时兑现」。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我们与市场共识的分歧在哪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卖方共识把宁德当「份额稳固＋成长确定」：高盛 A 股目标价 323 元、H 股 436 港元（一季报后已降至中性），瑞银首予买入、H 股 390 港元。我们同意份额与利润质地这两点，分歧集中在被共识低估的两处裂缝：其一，磷酸铁锂（LFP）技术在快速同质化，宁德对二线的单位成本护城河正在变薄——共识把当下的成本领先默认为可持续；其二，海外产能在关税、IRA 本地化要求与自建爬坡下的项目级回报显著低于国内，而当前市值几乎是「按国内盈利能力外推全部产能」算出来的。这两处正好是决定未来三年的两个胜负手，我们把最大篇幅放在第四章和第六章去量化它们。</w:t>
      </w:r>
    </w:p>
    <w:p>
      <w:pPr>
        <w:spacing w:before="80" w:after="160" w:line="317" w:lineRule="auto"/>
        <w:ind w:left="125" w:right="68"/>
        <w:shd w:fill="F3F0E8"/>
        <w:pBdr>
          <w:left w:val="single" w:sz="18" w:color="A8894F" w:space="6"/>
        </w:pBdr>
      </w:pPr>
      <w:r>
        <w:rPr>
          <w:rFonts w:ascii="MiSans" w:hAnsi="MiSans" w:eastAsia="MiSans"/>
          <w:b/>
          <w:color w:val="A8894F"/>
          <w:sz w:val="18"/>
        </w:rPr>
        <w:t>TL;DR｜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行动含义：质地不担心、估值透支完美执行，中性偏谨慎｜最关键胜负手＝单位成本领先的可持续性｜最大风险＝LFP 同质化 + 海外 ROIC 不及国内｜估值：市场在为 Bull 定价，Base 情景下约 15–25% 下行。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关键指标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26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81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328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对照/口径</w:t>
            </w:r>
          </w:p>
        </w:tc>
        <w:tc>
          <w:tcPr>
            <w:tcW w:type="dxa" w:w="124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来源</w:t>
            </w:r>
          </w:p>
        </w:tc>
      </w:tr>
      <w:tr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2025 营业收入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4,237.02 亿</w:t>
            </w:r>
          </w:p>
        </w:tc>
        <w:tc>
          <w:tcPr>
            <w:tcW w:type="dxa" w:w="328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同比 +17.04%</w:t>
            </w:r>
          </w:p>
        </w:tc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AR p.32</w:t>
            </w:r>
          </w:p>
        </w:tc>
      </w:tr>
      <w:tr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2025 归母净利润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722.01 亿</w:t>
            </w:r>
          </w:p>
        </w:tc>
        <w:tc>
          <w:tcPr>
            <w:tcW w:type="dxa" w:w="328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同比 +42.28%</w:t>
            </w:r>
          </w:p>
        </w:tc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AR p.7</w:t>
            </w:r>
          </w:p>
        </w:tc>
      </w:tr>
      <w:tr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综合毛利率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26.27%</w:t>
            </w:r>
          </w:p>
        </w:tc>
        <w:tc>
          <w:tcPr>
            <w:tcW w:type="dxa" w:w="328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+1.83pct（核心分部却微降，见第五章）</w:t>
            </w:r>
          </w:p>
        </w:tc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AR p.33</w:t>
            </w:r>
          </w:p>
        </w:tc>
      </w:tr>
      <w:tr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经营现金流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1,332.20 亿</w:t>
            </w:r>
          </w:p>
        </w:tc>
        <w:tc>
          <w:tcPr>
            <w:tcW w:type="dxa" w:w="328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覆盖归母 1.85×</w:t>
            </w:r>
          </w:p>
        </w:tc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AR p.130</w:t>
            </w:r>
          </w:p>
        </w:tc>
      </w:tr>
      <w:tr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销量/全球份额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661 GWh / 39.2%</w:t>
            </w:r>
          </w:p>
        </w:tc>
        <w:tc>
          <w:tcPr>
            <w:tcW w:type="dxa" w:w="328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+39% / +1.2pct，连续九年第一</w:t>
            </w:r>
          </w:p>
        </w:tc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公司/SNE</w:t>
            </w:r>
          </w:p>
        </w:tc>
      </w:tr>
      <w:tr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研发/强度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221.47 亿 / 5.23%</w:t>
            </w:r>
          </w:p>
        </w:tc>
        <w:tc>
          <w:tcPr>
            <w:tcW w:type="dxa" w:w="328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2021 为 76.91 亿</w:t>
            </w:r>
          </w:p>
        </w:tc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AR p.35</w:t>
            </w:r>
          </w:p>
        </w:tc>
      </w:tr>
      <w:tr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ROE（估算）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约 20–24%</w:t>
            </w:r>
          </w:p>
        </w:tc>
        <w:tc>
          <w:tcPr>
            <w:tcW w:type="dxa" w:w="328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杜邦见第五章</w:t>
            </w:r>
          </w:p>
        </w:tc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倒算</w:t>
            </w:r>
          </w:p>
        </w:tc>
      </w:tr>
      <w:tr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2026Q1 收入/归母/OCF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+52.45%/+48.52%/+2.47%</w:t>
            </w:r>
          </w:p>
        </w:tc>
        <w:tc>
          <w:tcPr>
            <w:tcW w:type="dxa" w:w="328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利润高增但现金背离，见第六章</w:t>
            </w:r>
          </w:p>
        </w:tc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Q1 p.1</w:t>
            </w:r>
          </w:p>
        </w:tc>
      </w:tr>
    </w:tbl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二、公司画像与行业坐标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宁德靠「规模 × 工艺 × 全球交付」的协同创造价值；行业已进入拼成本、良率、全球化的成熟成长期，研究它的正确坐标是份额、单位成本与项目级回报，而非收入规模。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宁德的核心业务是动力电池与储能电池，2025 年两者合计贡献 89.44% 收入，另有材料回收与矿产资源作为一体化补充。价值创造的来源不是单一技术，而是「规模 × 工艺 × 全球交付」三者的协同：661 GWh 的出货撑起对上游材料的采购议价、对制造工艺的持续投入（六个研发中心、24 座工厂）、以及对全球车企的本地化交付能力。理解这一点很重要——它意味着宁德的护城河本质是成本与规模，而成本护城河的可持续性恰恰是本报告最担心的地方（第四章）。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行业坐标要回答「现在跑什么」。中国新能源车渗透率已越过 50%，行业从「拼产能」的高速期，进入「拼成本、良率、全球化」的成熟成长期。这个阶段切换有一个容易被忽略的含义：当渗透率见顶、增速换挡，行业的超额利润不再来自「谁扩得快」，而来自「谁的单位成本更低、谁的现金回报更高「。所以研究宁德的正确坐标是份额 + 单位成本 + 项目级回报，而不是收入规模本身——用收入规模去外推它的未来，正是市场当下可能犯的错。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股东与资本结构：实控人曾毓群，机构与外资持股占比高；2025-05 H 股在港上市，2026-04 A 股市值破 2 万亿居 A 股第三、H 股较 A 股罕见维持约 30% 溢价，反映国际与南向资金对其龙头地位的定价。2026-04 又配售约 391 亿港元（628.2 港元/股），带来股本摊薄——这条线索会在第八章资本配置里再提。（前十大股东与质押明细属数据缺口，见附录。）</w:t>
      </w:r>
    </w:p>
    <w:p>
      <w:pPr>
        <w:spacing w:before="80" w:after="160" w:line="317" w:lineRule="auto"/>
        <w:ind w:left="125" w:right="68"/>
        <w:shd w:fill="F3F0E8"/>
        <w:pBdr>
          <w:left w:val="single" w:sz="18" w:color="A8894F" w:space="6"/>
        </w:pBdr>
      </w:pPr>
      <w:r>
        <w:rPr>
          <w:rFonts w:ascii="MiSans" w:hAnsi="MiSans" w:eastAsia="MiSans"/>
          <w:b/>
          <w:color w:val="A8894F"/>
          <w:sz w:val="18"/>
        </w:rPr>
        <w:t>阶段判断｜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行业进入「格局基本定型、竞争转向成本与全球化」的成熟成长期；宁德是格局受益者，但成熟期的超额利润取决于成本护城河能否守住，而非扩产速度。只呈现坐标，不预测政策转向。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三、商业模式与收入结构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收入继续向动力电池集中，但综合毛利率的改善并非来自两大核心分部、而来自材料回收——研究盈利趋势必须穿透到分部，不能只看综合口径。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2025 年动力电池收入 3,165 亿（占 74.70%、同比 +25.08%）、储能电池 624 亿（14.74%、+8.99%）、材料回收及其他约 447 亿（-23.83%）。收入结构继续向动力集中，但这里有一个必须穿透的反常识事实——综合毛利率提升了 1.83pct，看似经营改善，实则不是主业变好。</w:t>
      </w:r>
    </w:p>
    <w:p>
      <w:pPr>
        <w:spacing w:before="80" w:after="160" w:line="317" w:lineRule="auto"/>
        <w:ind w:left="125" w:right="68"/>
        <w:shd w:fill="F3F0E8"/>
        <w:pBdr>
          <w:left w:val="single" w:sz="18" w:color="A8894F" w:space="6"/>
        </w:pBdr>
      </w:pPr>
      <w:r>
        <w:rPr>
          <w:rFonts w:ascii="MiSans" w:hAnsi="MiSans" w:eastAsia="MiSans"/>
          <w:b/>
          <w:color w:val="A8894F"/>
          <w:sz w:val="18"/>
        </w:rPr>
        <w:t>综合毛利率 +1.83pct 的来源拆解（竞争性假设）｜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假设 A 两大核心分部盈利改善？→ 证伪：动力/储能分部毛利率反而分别微降 0.10 / 0.13pct。假设 B 产品结构升级？→ 部分成立但不足以解释。假设 C 材料回收及其他抬升？→ 成立：低基数分部毛利率变化摊薄了综合口径。结论：综合毛利率是一个会骗人的口径，研究宁德的盈利趋势必须穿透到分部，这也是第五章利润质量的起点。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区域上，海外收入 1,296 亿、占 30.60%、海外毛利率 31.44%，明显高于国内 24.00%。海外更赚钱，原因是当前海外仍以出口/高端产品为主、本地化重资产尚未大规模摊销。但这恰恰埋了一个前瞻问题：当匈牙利等自建产能投产、关税与 IRA 逼迫本地化，海外的高毛利能不能维持？我们倾向于认为会向国内水平收敛甚至更低（第六章展开）。客户端为全球主流车企与储能集成商，2B、认证周期 2–3 年，构成部分转换成本，但大客户多供应商化正在削弱这一黏性（第四章）。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四、护城河与竞争格局（胜负手一：单位成本领先的可持续性）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现阶段成本护城河明确（估单位成本领先二线约 15–25%），但在 LFP 同质化下三年内大概率收窄至 8–15%——护城河仍在、但在变薄；这是决定未来定价权的第一胜负手。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04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护城河来源</w:t>
            </w:r>
          </w:p>
        </w:tc>
        <w:tc>
          <w:tcPr>
            <w:tcW w:type="dxa" w:w="90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5669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证据 / 防坑</w:t>
            </w:r>
          </w:p>
        </w:tc>
      </w:tr>
      <w:tr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无形资产(技术/专利)</w:t>
            </w:r>
          </w:p>
        </w:tc>
        <w:tc>
          <w:tcPr>
            <w:tcW w:type="dxa" w:w="90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1.5/2</w:t>
            </w:r>
          </w:p>
        </w:tc>
        <w:tc>
          <w:tcPr>
            <w:tcW w:type="dxa" w:w="5669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研发 221 亿、麒麟/神行/钠离子；但 LFP 主路线趋同质化，技术代差在收窄</w:t>
            </w:r>
          </w:p>
        </w:tc>
      </w:tr>
      <w:tr>
        <w:tc>
          <w:tcPr>
            <w:tcW w:type="dxa" w:w="204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转换成本</w:t>
            </w:r>
          </w:p>
        </w:tc>
        <w:tc>
          <w:tcPr>
            <w:tcW w:type="dxa" w:w="90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1.5/2</w:t>
            </w:r>
          </w:p>
        </w:tc>
        <w:tc>
          <w:tcPr>
            <w:tcW w:type="dxa" w:w="5669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车规认证 2–3 年、绑定车企平台；大客户多供应商化在削弱</w:t>
            </w:r>
          </w:p>
        </w:tc>
      </w:tr>
      <w:tr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网络效应</w:t>
            </w:r>
          </w:p>
        </w:tc>
        <w:tc>
          <w:tcPr>
            <w:tcW w:type="dxa" w:w="90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0.5/2</w:t>
            </w:r>
          </w:p>
        </w:tc>
        <w:tc>
          <w:tcPr>
            <w:tcW w:type="dxa" w:w="5669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弱，非典型网络效应生意</w:t>
            </w:r>
          </w:p>
        </w:tc>
      </w:tr>
      <w:tr>
        <w:tc>
          <w:tcPr>
            <w:tcW w:type="dxa" w:w="204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成本优势</w:t>
            </w:r>
          </w:p>
        </w:tc>
        <w:tc>
          <w:tcPr>
            <w:tcW w:type="dxa" w:w="90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2.0/2</w:t>
            </w:r>
          </w:p>
        </w:tc>
        <w:tc>
          <w:tcPr>
            <w:tcW w:type="dxa" w:w="5669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规模+工艺+一体化，营业利润率 21.13% 远超二线——但需回到分部毛利率验证真实性（防坑）</w:t>
            </w:r>
          </w:p>
        </w:tc>
      </w:tr>
      <w:tr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有效规模</w:t>
            </w:r>
          </w:p>
        </w:tc>
        <w:tc>
          <w:tcPr>
            <w:tcW w:type="dxa" w:w="90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1.5/2</w:t>
            </w:r>
          </w:p>
        </w:tc>
        <w:tc>
          <w:tcPr>
            <w:tcW w:type="dxa" w:w="5669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39.2% 份额、661 GWh；但行业名义产能过剩，规模优势的边际在下降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五源合计约 7.0/10。防坑：营业利润率含投资/财务收益等非经常项，不能直接当成本优势的证据，必须回到分部毛利率。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先看证据强不强。宁德 2025 合并营业利润率 21.13%，而 LG 新能源仅 5.7%（剔除北美 IRA 生产激励后约 -1.27%）、三星 SDI 约 -12.96%。在当前电池价格已大幅下行的背景下，宁德是全行业极少数还能保住两位数营业利润率的厂商——这说明现阶段的成本/运营领先是真实且显著的。但「现在领先 21% vs 二线亏损」这个对比有一个陷阱：营业利润率里混入了投资收益与财务收益（2025 合计约 78 亿增量），并非纯粹的制造成本优势。所以要判断成本护城河，不能停在营业利润率，得往下钻到单位成本——而这正是宁德没有披露的地方。</w:t>
      </w:r>
    </w:p>
    <w:p>
      <w:pPr>
        <w:spacing w:before="80" w:after="160" w:line="317" w:lineRule="auto"/>
        <w:ind w:left="125" w:right="68"/>
        <w:shd w:fill="F0E6CE"/>
        <w:pBdr>
          <w:left w:val="single" w:sz="18" w:color="8A6D1F" w:space="6"/>
        </w:pBdr>
      </w:pPr>
      <w:r>
        <w:rPr>
          <w:rFonts w:ascii="MiSans" w:hAnsi="MiSans" w:eastAsia="MiSans"/>
          <w:b/>
          <w:color w:val="8A6D1F"/>
          <w:sz w:val="18"/>
        </w:rPr>
        <w:t>量化估算：单位成本领先幅度（三角测算，展示每一步）｜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第一步锚定分部盈利：动力电池分部毛利率 23.84%，在电池均价下行中仍守住，说明单位成本同步下行。第二步用营业利润率差校准：宁德 21% vs 二线 -1%~-13%，差 22–34pct；剔除宁德的非经常收益后仍有约 15–25pct 的经营性差距。第三步叠加规模曲线：661 GWh vs 二线 100–300 GWh 级，规模摊薄制造与采购成本。三步交叉，估宁德单位现金成本较二线领先约 15–25%（置信度低–中，缺同口径单位成本/良率直接数据，属倒推）。往前看：LFP 化学同质化 + 二线产能爬坡 + 行业价格战，估该差距三年内收窄至 8–15%（置信度低）。护城河仍在，但在变薄——这就是我们与「份额永续」共识的第一处分歧。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反面证据要当场摆：二线 BYD 集团研发强度 7.89%、三星 SDI 10.7%，研发投入并不低，技术上未必永远落后；LGES 正把闲置 EV 产线转向储能，海外本地化 + IRA 补贴可能改变区域成本坐标。这些都可能加速护城河收窄。证伪条件：二线在同等 LFP 性能下单位成本追至宁德 8% 以内、或宁德动力分部毛利率持续跌破 25% 且无销量弥补、或核心客户自研/大规模转单——任一发生，「成本护城河可持续」这个判断就要推翻。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五、财务体检与利润质量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42.28% 的归母增长里，主业毛利润是最大来源（占营业利润增量 89.6%），但约一成多来自非经常性收益，利润含金量高、但要打个折；现金侧干净，隐忧在资产减值侧。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24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年度</w:t>
            </w:r>
          </w:p>
        </w:tc>
        <w:tc>
          <w:tcPr>
            <w:tcW w:type="dxa" w:w="204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营业收入(亿)</w:t>
            </w:r>
          </w:p>
        </w:tc>
        <w:tc>
          <w:tcPr>
            <w:tcW w:type="dxa" w:w="192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归母净利(亿)</w:t>
            </w:r>
          </w:p>
        </w:tc>
        <w:tc>
          <w:tcPr>
            <w:tcW w:type="dxa" w:w="158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研发(亿)</w:t>
            </w:r>
          </w:p>
        </w:tc>
        <w:tc>
          <w:tcPr>
            <w:tcW w:type="dxa" w:w="181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综合毛利率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2021</w:t>
            </w:r>
          </w:p>
        </w:tc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1,303.56</w:t>
            </w:r>
          </w:p>
        </w:tc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159.31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76.91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23.85%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2022</w:t>
            </w:r>
          </w:p>
        </w:tc>
        <w:tc>
          <w:tcPr>
            <w:tcW w:type="dxa" w:w="204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3,285.94</w:t>
            </w:r>
          </w:p>
        </w:tc>
        <w:tc>
          <w:tcPr>
            <w:tcW w:type="dxa" w:w="192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307.29</w:t>
            </w:r>
          </w:p>
        </w:tc>
        <w:tc>
          <w:tcPr>
            <w:tcW w:type="dxa" w:w="158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155.11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17.64%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2023</w:t>
            </w:r>
          </w:p>
        </w:tc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4,009.17</w:t>
            </w:r>
          </w:p>
        </w:tc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441.21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183.56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19.19%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2024</w:t>
            </w:r>
          </w:p>
        </w:tc>
        <w:tc>
          <w:tcPr>
            <w:tcW w:type="dxa" w:w="204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3,620.13</w:t>
            </w:r>
          </w:p>
        </w:tc>
        <w:tc>
          <w:tcPr>
            <w:tcW w:type="dxa" w:w="192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507.45</w:t>
            </w:r>
          </w:p>
        </w:tc>
        <w:tc>
          <w:tcPr>
            <w:tcW w:type="dxa" w:w="158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186.07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24.44%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2025</w:t>
            </w:r>
          </w:p>
        </w:tc>
        <w:tc>
          <w:tcPr>
            <w:tcW w:type="dxa" w:w="204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4,237.02</w:t>
            </w:r>
          </w:p>
        </w:tc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722.01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221.47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26.27%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来源：AR。毛利率 2022 触底 17.64% 后连续三年修复。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先做杜邦拆解回答「利润怎么赚的」。估算口径下净利率约 17.0% × 总资产周转约 0.43 × 权益乘数约 2.6 → ROE 约 20%（期末口径，置信度中）。三因子里净利率是主导、周转温和、杠杆不高，说明利润主要靠产品力与效率、不是靠加杠杆撑——这是好生意的特征。制造业适用 ROIC&gt;WACC 判断，宁德的高利润率 + 温和周转指向 ROIC 显著高于 WACC（正价值创造），但要注意：海外新增产能会拉低边际 ROIC（第六章），存量与增量要分开看。</w:t>
      </w:r>
    </w:p>
    <w:p>
      <w:pPr>
        <w:spacing w:before="80" w:after="160" w:line="317" w:lineRule="auto"/>
        <w:ind w:left="125" w:right="68"/>
        <w:shd w:fill="F0E6CE"/>
        <w:pBdr>
          <w:left w:val="single" w:sz="18" w:color="8A6D1F" w:space="6"/>
        </w:pBdr>
      </w:pPr>
      <w:r>
        <w:rPr>
          <w:rFonts w:ascii="MiSans" w:hAnsi="MiSans" w:eastAsia="MiSans"/>
          <w:b/>
          <w:color w:val="8A6D1F"/>
          <w:sz w:val="18"/>
        </w:rPr>
        <w:t>利润来源桥：42.28% 的归母增长，主业贡献几何｜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把营业利润增量拆开：2025 毛利润增加 228.25 亿（=1113.19-884.94），营业利润增加 254.67 亿（=895.19-640.52），毛利润贡献了 89.6%——这一步说明主业确有实质贡献。但别急着下「高质量」结论：同期投资收益增加 39.83 亿、净财务收益增加 38.08 亿、其他收益增加 6.33 亿，三项非主业合计约 84 亿，与费用/减值部分对冲后，仍显著抬高了归母。结论：主业毛利润是利润扩张的最大可见来源（可确认经营层面有实质贡献），但 42.28% 的归母增长不能全部解释为销量或制造效率——含约一成多来自非经常性收益（置信度中高）。这决定了利润的「含金量」要打个折。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再看盈利质量的三连问。①是趋势还是单点？经营现金流 1,332 亿覆盖归母 1.85 倍，且 2024 也在高位，是持续的强现金转换。②有没有被扭曲？2025 资产减值损失 86.60 亿仍处高位、固定资产减值被审计师列为关键审计事项——现金侧干净，隐忧在资产侧。③可持续吗？2026Q1 出现裂缝：利润 +48.5% 而经营现金流仅 +2.47%（第六章深挖）。综合：集团层面利润含金量高，但「高」这个结论适用于存量主业、不适用于新增产能，且资产减值是需要盯住的尾巴。财务结构上资产负债率由 65.24% 降至 61.94%，但下降部分来自 H 股 IPO 增厚净资产而非经营去杠杆，货币资金充裕、偿债无忧。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六、现金流与资产负债表（胜负手二：扩产的资本回报）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集团现金覆盖强，但新增产能的资本回报尚未验证（估有效利用率 65–75%、海外 ROIC 较国内低 5–10pct）——这是估值最脆弱处，也是第二胜负手。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集团层面的现金账很好看：2025 经营现金流 1,332 亿（归母 1.85 倍），资本开支 423 亿（占经营现金流 31.8%），固定资产 + 在建工程 1,761 亿（占总资产 18.1%）。单看这张表，扩产完全能被自身现金覆盖。但「集团现金流能覆盖资本开支」和「新增产能能产生好回报」是两个完全不同的问题——前者只说明宁德不缺钱扩产，后者才决定 ROIC 会不会被扩产稀释。市场用前者的从容，默认了后者的成立，这是我们要挑战的。</w:t>
      </w:r>
    </w:p>
    <w:p>
      <w:pPr>
        <w:spacing w:before="80" w:after="160" w:line="317" w:lineRule="auto"/>
        <w:ind w:left="125" w:right="68"/>
        <w:shd w:fill="F0E6CE"/>
        <w:pBdr>
          <w:left w:val="single" w:sz="18" w:color="8A6D1F" w:space="6"/>
        </w:pBdr>
      </w:pPr>
      <w:r>
        <w:rPr>
          <w:rFonts w:ascii="MiSans" w:hAnsi="MiSans" w:eastAsia="MiSans"/>
          <w:b/>
          <w:color w:val="8A6D1F"/>
          <w:sz w:val="18"/>
        </w:rPr>
        <w:t>量化估算：新增产能的资本效率（三角测算，展示推导）｜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缺项目级投入/利用率/回报的直接披露，只能倒推。第一步利用率：账面销量 661 / 名义产能 772 GWh ≈ 85%，但这个数含新线爬坡、且全行业名义产能远超需求，真实有效利用率应更低，估约 65–75%（置信度低）。第二步海外回报：匈牙利 Debrecen 等海外新厂 2026 投产，首 2–3 年利用率与单位现金毛利显著低于国内成熟厂，参照制造业新厂爬坡规律，估海外项目级 ROIC 较国内低约 5–10pct（置信度低）。第三步印证：2026Q1 收入 +52.45%、利润 +48.52%，而经营现金流仅 +2.47%——利润高增未同步转现，正是扩产期资本占用与新产能爬坡的典型信号。结论：新增 321 GWh 在建产能尚不能假设复制国内的资本效率；市值却几乎按国内盈利能力外推全部产能，这是估值最脆弱的一环。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反面与证伪：也存在良性解释——2026Q1 现金背离可能只是季节性备货与应收节奏，全年未必延续；海外若拿到当地补贴、绑定长协客户，ROIC 未必低于国内。所以这是「断裂链 + 估算」，不是定论。证伪条件写死：公司补齐项目级投入/利用率/回报数据且显示海外 ROIC≈国内、或 2026 全年经营现金流回到与利润同步、或固定资产减值不再扩大——任一兑现，则扩产稀释的担忧解除，这条胜负手转多。资产负债表本身健康，净现金充裕、到期结构无近忧，主要盯资产质量（减值）而非偿债。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七、成长性与单位经济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宁德是在「以成本下行守住毛利率」的模式下扩份额，成长质量高度依赖成本能否持续领先；量增价减，单位经济无法直接闭环。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2025 锂电池销量 +39%，高于收入 +17%，而动力/储能收入增速分化（+25.08% / +8.99%）——三个数字放一起，说明量在增、但单价与结构在稀释。这是研究成长质量的关键切口：一家公司销量涨得比收入快，要么是主动降价换份额，要么是产品结构下移，两者对未来利润的含义完全不同。</w:t>
      </w:r>
    </w:p>
    <w:p>
      <w:pPr>
        <w:spacing w:before="80" w:after="160" w:line="317" w:lineRule="auto"/>
        <w:ind w:left="125" w:right="68"/>
        <w:shd w:fill="F0E6CE"/>
        <w:pBdr>
          <w:left w:val="single" w:sz="18" w:color="8A6D1F" w:space="6"/>
        </w:pBdr>
      </w:pPr>
      <w:r>
        <w:rPr>
          <w:rFonts w:ascii="MiSans" w:hAnsi="MiSans" w:eastAsia="MiSans"/>
          <w:b/>
          <w:color w:val="8A6D1F"/>
          <w:sz w:val="18"/>
        </w:rPr>
        <w:t>往下钻·单位经济估算：量、价、结构各贡献多少｜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公司未披露分部销量、可匹配 ASP、单位材料/制造成本与良率，四因素桥无法直接闭环。用可得数据倒推：总销量 +39% vs 总收入 +17%，隐含单位售价（含系统）同比下行约 15–20%；而两大分部毛利率基本持平，说明单位成本同步下行、基本对冲了降价（置信度低）。含义：宁德是在「以成本下行守住毛利率」的模式下扩份额——这与第四章胜负手一互为印证，成长质量高度依赖成本能否持续领先。一旦成本领先收窄（LFP 同质化），这套「降价换量又不伤毛利」的打法就会失灵。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再做再投资 sanity check：可持续增长率 ≈ ROE(约20%) × 留存率(分红率 50% → 留存 50%) ≈ 10%。宁德实际增速高于此，超出部分由 H 股 IPO 等外部融资支撑——这本身不是问题，但要求融资带来的增量回报必须匹配摊薄成本，否则就是「用股东的钱买规模、却摊薄了每股价值「。这条线索直接连到第八章的资本配置评估。未来增长引擎（储能放量、海外本地化、钠离子/固态新化学、回收生态）方向都在，但每一个都还要用「是否形成独立的收入、毛利与现金回报」来验证，不能只当叙事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八、管理层与资本配置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分红纪律明确（对应归母 50%），但「高研发 + 高扩产 + 频繁融资」只有在增量 ROIC 持续高于摊薄成本时才创造价值，而这恰是当前最缺披露、最需跟踪的。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2025 研发费用 221 亿、购建长期资产 423 亿，并通过 H 股上市与 2026 配售获得新资金渠道；分红方案对应归母的 50%，在扩张与股东回报之间给了明确安排。管理层的核心考题不是「要不要扩张」，而是「扩张能不能形成利用率、现金流与回报」——这与第六章的胜负手二是同一个问题的两面。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38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资本配置动作</w:t>
            </w:r>
          </w:p>
        </w:tc>
        <w:tc>
          <w:tcPr>
            <w:tcW w:type="dxa" w:w="226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规模/口径</w:t>
            </w:r>
          </w:p>
        </w:tc>
        <w:tc>
          <w:tcPr>
            <w:tcW w:type="dxa" w:w="3969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增量回报视角评价</w:t>
            </w:r>
          </w:p>
        </w:tc>
      </w:tr>
      <w:tr>
        <w:tc>
          <w:tcPr>
            <w:tcW w:type="dxa" w:w="238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研发投入</w:t>
            </w:r>
          </w:p>
        </w:tc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221 亿(强度 5.23%)</w:t>
            </w:r>
          </w:p>
        </w:tc>
        <w:tc>
          <w:tcPr>
            <w:tcW w:type="dxa" w:w="3969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技术代差是护城河来源，但需转化为持续成本领先才算有效</w:t>
            </w:r>
          </w:p>
        </w:tc>
      </w:tr>
      <w:tr>
        <w:tc>
          <w:tcPr>
            <w:tcW w:type="dxa" w:w="238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产能资本开支</w:t>
            </w:r>
          </w:p>
        </w:tc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423 亿(占 OCF 31.8%)</w:t>
            </w:r>
          </w:p>
        </w:tc>
        <w:tc>
          <w:tcPr>
            <w:tcW w:type="dxa" w:w="3969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项目级 ROIC 未披露、海外回报存疑，是资本配置最大不确定</w:t>
            </w:r>
          </w:p>
        </w:tc>
      </w:tr>
      <w:tr>
        <w:tc>
          <w:tcPr>
            <w:tcW w:type="dxa" w:w="238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分红</w:t>
            </w:r>
          </w:p>
        </w:tc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对应归母 50%</w:t>
            </w:r>
          </w:p>
        </w:tc>
        <w:tc>
          <w:tcPr>
            <w:tcW w:type="dxa" w:w="3969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股东回报纪律明确，正面</w:t>
            </w:r>
          </w:p>
        </w:tc>
      </w:tr>
      <w:tr>
        <w:tc>
          <w:tcPr>
            <w:tcW w:type="dxa" w:w="238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H 股 IPO + 2026 配售</w:t>
            </w:r>
          </w:p>
        </w:tc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约 391 亿港元</w:t>
            </w:r>
          </w:p>
        </w:tc>
        <w:tc>
          <w:tcPr>
            <w:tcW w:type="dxa" w:w="3969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补充资金但摊薄每股价值，需与增量回报对比，不能只看融资规模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不能单以分红比例证明资本纪律；融资、分红、扩产必须放在同一张资本配置图上看。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评价这套配置：正面看，创始人曾毓群技术出身、战略清晰，产能与份额目标近年兑现良好，50% 分红显示对股东回报的重视。但要警惕两点：一是关键人依赖（创始人主导，继任安排未披露）；二是「高研发 + 高扩产 + 频繁融资」的组合，只有在增量 ROIC 持续高于摊薄成本时才创造价值，而这恰恰是当前最缺披露、最需跟踪的。激励结构是否绑定 ROIC / 每股价值（而非收入规模）属数据缺口，需从后续股权激励方案核验。治理上无已知非标审计或资金占用，主要盯关联交易与融资节奏。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九、前瞻盈利与三情景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沿「份额 × 单价 × 毛利率 × 费用 → 归母」推演，Base 情景下 2026E 归母约 950–1,000 亿、2027–30 EPS 复合增速约 15–20%，低于共识的 25%。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三情景不是拍脑袋给三个数，而是沿「份额 × 单价 × 毛利率 × 费用 → 归母」这条桥、让两个胜负手取不同值推出来的。Base 情景的推演：份额约 48–50% 维持、海外放量但单位回报向国内收敛、成本领先温和收窄 → 动力毛利率企稳 23–25%、储能放量对冲降价 → 2026E 归母约 950–1,000 亿（+30–38%，与 Q1 势头及卖方 20.5x 隐含增速吻合）、2027–30 EPS CAGR 约 15–20%，低于共识的 25%。分歧就体现在这 5–10pct 的增速差上。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96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260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两胜负手取值</w:t>
            </w:r>
          </w:p>
        </w:tc>
        <w:tc>
          <w:tcPr>
            <w:tcW w:type="dxa" w:w="249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可观测触发</w:t>
            </w:r>
          </w:p>
        </w:tc>
        <w:tc>
          <w:tcPr>
            <w:tcW w:type="dxa" w:w="260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盈利含义(2026–2030)</w:t>
            </w:r>
          </w:p>
        </w:tc>
        <w:tc>
          <w:tcPr>
            <w:tcW w:type="dxa" w:w="73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主观概率</w:t>
            </w:r>
          </w:p>
        </w:tc>
      </w:tr>
      <w:tr>
        <w:tc>
          <w:tcPr>
            <w:tcW w:type="dxa" w:w="96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乐观 Bull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成本领先守住&gt;15% + 海外 ROIC≈国内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固态/麒麟代差兑现；海外项目回报达标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EPS CAGR 25–28%(≈共识)</w:t>
            </w:r>
          </w:p>
        </w:tc>
        <w:tc>
          <w:tcPr>
            <w:tcW w:type="dxa" w:w="73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25%</w:t>
            </w:r>
          </w:p>
        </w:tc>
      </w:tr>
      <w:tr>
        <w:tc>
          <w:tcPr>
            <w:tcW w:type="dxa" w:w="96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基准 Base</w:t>
            </w:r>
          </w:p>
        </w:tc>
        <w:tc>
          <w:tcPr>
            <w:tcW w:type="dxa" w:w="260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成本温和收窄 + 海外回报收敛</w:t>
            </w:r>
          </w:p>
        </w:tc>
        <w:tc>
          <w:tcPr>
            <w:tcW w:type="dxa" w:w="249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动力毛利率 23–25%；海外爬坡符合预期</w:t>
            </w:r>
          </w:p>
        </w:tc>
        <w:tc>
          <w:tcPr>
            <w:tcW w:type="dxa" w:w="260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2026E 归母 950–1,000 亿；27–30 CAGR 15–20%</w:t>
            </w:r>
          </w:p>
        </w:tc>
        <w:tc>
          <w:tcPr>
            <w:tcW w:type="dxa" w:w="73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50%</w:t>
            </w:r>
          </w:p>
        </w:tc>
      </w:tr>
      <w:tr>
        <w:tc>
          <w:tcPr>
            <w:tcW w:type="dxa" w:w="96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悲观 Bear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成本领先&lt;10% + 海外利用率低+关税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动力毛利率连续&lt;22%；OCF 持续弱于利润；份额&lt;45%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EPS CAGR 5–10%，估值中枢下修</w:t>
            </w:r>
          </w:p>
        </w:tc>
        <w:tc>
          <w:tcPr>
            <w:tcW w:type="dxa" w:w="73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25%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情景为条件性研究判断、非收益预测；概率为主观赋权，用于估值加权。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十、估值与隐含预期（估值矩阵）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多口径交叉指向同一结论：现价在为 Bull 定价，Base 情景下约有 15–25% 下行空间，安全边际薄。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估值不给单一目标价，先反推「市场付这个价，在赌什么」。用多种口径交叉：静态 PE（市值 2.0–2.4 万亿 / 2025 归母 722 亿）约 28–33×；前瞻 PE 约 20.5×（卖方 2026E），隐含 2026E 归母 980–1,170 亿、+35%；PEG 用 Base 增速 15–20% 算约 1.0–1.4，并不便宜；反向 DCF 则要求 2030 年前约 25% EPS CAGR 且 ROIC 不被扩产稀释——把这几种口径叠起来，指向同一个结论：现价在为 Bull 定价。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876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口径 / 计算</w:t>
            </w:r>
          </w:p>
        </w:tc>
        <w:tc>
          <w:tcPr>
            <w:tcW w:type="dxa" w:w="226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读数</w:t>
            </w:r>
          </w:p>
        </w:tc>
      </w:tr>
      <w:tr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静态 PE</w:t>
            </w:r>
          </w:p>
        </w:tc>
        <w:tc>
          <w:tcPr>
            <w:tcW w:type="dxa" w:w="487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2.0–2.4 万亿 / 722 亿 = 28–33×</w:t>
            </w:r>
          </w:p>
        </w:tc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高于历史多数时段</w:t>
            </w:r>
          </w:p>
        </w:tc>
      </w:tr>
      <w:tr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前瞻 PE</w:t>
            </w:r>
          </w:p>
        </w:tc>
        <w:tc>
          <w:tcPr>
            <w:tcW w:type="dxa" w:w="4876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市值 / 2026E ≈ 20.5×</w:t>
            </w:r>
          </w:p>
        </w:tc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隐含 2026E 归母 980–1,170 亿、+35%</w:t>
            </w:r>
          </w:p>
        </w:tc>
      </w:tr>
      <w:tr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反向 DCF</w:t>
            </w:r>
          </w:p>
        </w:tc>
        <w:tc>
          <w:tcPr>
            <w:tcW w:type="dxa" w:w="487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支撑现价需 2030 前 25% EPS CAGR 且 ROIC 不稀释</w:t>
            </w:r>
          </w:p>
        </w:tc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即两胜负手都走 Bull</w:t>
            </w:r>
          </w:p>
        </w:tc>
      </w:tr>
      <w:tr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PEG</w:t>
            </w:r>
          </w:p>
        </w:tc>
        <w:tc>
          <w:tcPr>
            <w:tcW w:type="dxa" w:w="4876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20.5× / Base 15–20% ≈ 1.0–1.4</w:t>
            </w:r>
          </w:p>
        </w:tc>
        <w:tc>
          <w:tcPr>
            <w:tcW w:type="dxa" w:w="226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Base 下不便宜</w:t>
            </w:r>
          </w:p>
        </w:tc>
      </w:tr>
      <w:tr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同业四分位</w:t>
            </w:r>
          </w:p>
        </w:tc>
        <w:tc>
          <w:tcPr>
            <w:tcW w:type="dxa" w:w="487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营业利润率 21% 居首；PE 高于 LGES/SDI(多亏损不可比)</w:t>
            </w:r>
          </w:p>
        </w:tc>
        <w:tc>
          <w:tcPr>
            <w:tcW w:type="dxa" w:w="226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8"/>
              </w:rPr>
              <w:t>质地溢价合理，但幅度存疑</w:t>
            </w:r>
          </w:p>
        </w:tc>
      </w:tr>
    </w:tbl>
    <w:p>
      <w:pPr>
        <w:spacing w:before="80" w:after="160" w:line="317" w:lineRule="auto"/>
        <w:ind w:left="125" w:right="68"/>
        <w:shd w:fill="F0E6CE"/>
        <w:pBdr>
          <w:left w:val="single" w:sz="18" w:color="8A6D1F" w:space="6"/>
        </w:pBdr>
      </w:pPr>
      <w:r>
        <w:rPr>
          <w:rFonts w:ascii="MiSans" w:hAnsi="MiSans" w:eastAsia="MiSans"/>
          <w:b/>
          <w:color w:val="8A6D1F"/>
          <w:sz w:val="18"/>
        </w:rPr>
        <w:t>隐含预期与情景加权｜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用第九章概率给三情景估值加权：Bull(25%) 对得起现价甚至上行；Base(50%) 下公允估值较现价约有 15–25% 下行（EPS CAGR 15–20% × 合理 PE 收敛）；Bear(25%) 下行更多。加权后，现价的风险回报偏向下方——不是因为公司差，而是因为好结果已被定价、坏结果还没有。本土调整：H 较 A 溢价约 30%、限售解禁与再融资摊薄需计入每股口径。（自用可在此加 IRR 门槛/Action Price，须过 research-safety-gate；对客版永不给。）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3402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敏感度：Base 归母 CAGR × 给予 PE</w:t>
            </w:r>
          </w:p>
        </w:tc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18×</w:t>
            </w:r>
          </w:p>
        </w:tc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20×</w:t>
            </w:r>
          </w:p>
        </w:tc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22×</w:t>
            </w:r>
          </w:p>
        </w:tc>
      </w:tr>
      <w:tr>
        <w:tc>
          <w:tcPr>
            <w:tcW w:type="dxa" w:w="3402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15% CAGR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明显下行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小幅下行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约当前</w:t>
            </w:r>
          </w:p>
        </w:tc>
      </w:tr>
      <w:tr>
        <w:tc>
          <w:tcPr>
            <w:tcW w:type="dxa" w:w="3402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18% CAGR</w:t>
            </w:r>
          </w:p>
        </w:tc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小幅下行</w:t>
            </w:r>
          </w:p>
        </w:tc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约当前</w:t>
            </w:r>
          </w:p>
        </w:tc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小幅上行</w:t>
            </w:r>
          </w:p>
        </w:tc>
      </w:tr>
      <w:tr>
        <w:tc>
          <w:tcPr>
            <w:tcW w:type="dxa" w:w="3402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20% CAGR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约当前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小幅上行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明显上行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二维敏感度：现价对增速与给予 PE 都高度敏感，安全边际薄——这正是「中性偏谨慎」的量化依据。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十一、多投资哲学对撞（本土六视角）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用六种互不相同的本土投资哲学各自表态，长期质地派看多、价值与成长派分歧最大——内部一致落在「质地强但估值透支」的中性偏谨慎定位。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单一视角容易自我强化，用六种互不相同的本土投资哲学各自表态，能逼出盲点。下表每个视角给「看多/看空/回避 + 一句理由 + 最大风险」。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92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视角</w:t>
            </w:r>
          </w:p>
        </w:tc>
        <w:tc>
          <w:tcPr>
            <w:tcW w:type="dxa" w:w="113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表态</w:t>
            </w:r>
          </w:p>
        </w:tc>
        <w:tc>
          <w:tcPr>
            <w:tcW w:type="dxa" w:w="5556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理由 · 最大风险</w:t>
            </w:r>
          </w:p>
        </w:tc>
      </w:tr>
      <w:tr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龙头复利（长期质量派）</w:t>
            </w:r>
          </w:p>
        </w:tc>
        <w:tc>
          <w:tcPr>
            <w:tcW w:type="dxa" w:w="113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看多</w:t>
            </w:r>
          </w:p>
        </w:tc>
        <w:tc>
          <w:tcPr>
            <w:tcW w:type="dxa" w:w="555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ROIC 高、份额稳、研发足，20 年维度更强｜风险=成本护城河收窄</w:t>
            </w:r>
          </w:p>
        </w:tc>
      </w:tr>
      <w:tr>
        <w:tc>
          <w:tcPr>
            <w:tcW w:type="dxa" w:w="192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景气成长（赛道成长派）</w:t>
            </w:r>
          </w:p>
        </w:tc>
        <w:tc>
          <w:tcPr>
            <w:tcW w:type="dxa" w:w="113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回避</w:t>
            </w:r>
          </w:p>
        </w:tc>
        <w:tc>
          <w:tcPr>
            <w:tcW w:type="dxa" w:w="5556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渗透率过 50%、增速换挡、量增价减，不是好的成长期入场点｜风险=赛道叙事透支</w:t>
            </w:r>
          </w:p>
        </w:tc>
      </w:tr>
      <w:tr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困境反转/深度价值</w:t>
            </w:r>
          </w:p>
        </w:tc>
        <w:tc>
          <w:tcPr>
            <w:tcW w:type="dxa" w:w="113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看空</w:t>
            </w:r>
          </w:p>
        </w:tc>
        <w:tc>
          <w:tcPr>
            <w:tcW w:type="dxa" w:w="555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28–33× 无安全边际、非价值标的｜风险=优质公司长期贵得有理</w:t>
            </w:r>
          </w:p>
        </w:tc>
      </w:tr>
      <w:tr>
        <w:tc>
          <w:tcPr>
            <w:tcW w:type="dxa" w:w="192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周期博弈</w:t>
            </w:r>
          </w:p>
        </w:tc>
        <w:tc>
          <w:tcPr>
            <w:tcW w:type="dxa" w:w="113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中性偏空</w:t>
            </w:r>
          </w:p>
        </w:tc>
        <w:tc>
          <w:tcPr>
            <w:tcW w:type="dxa" w:w="5556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电池价格与产能周期向下、单位盈利承压｜风险=新化学开启新周期</w:t>
            </w:r>
          </w:p>
        </w:tc>
      </w:tr>
      <w:tr>
        <w:tc>
          <w:tcPr>
            <w:tcW w:type="dxa" w:w="192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政策/事件催化</w:t>
            </w:r>
          </w:p>
        </w:tc>
        <w:tc>
          <w:tcPr>
            <w:tcW w:type="dxa" w:w="113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看多</w:t>
            </w:r>
          </w:p>
        </w:tc>
        <w:tc>
          <w:tcPr>
            <w:tcW w:type="dxa" w:w="5556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储能政策、海外本地化、固态突破可催化重估｜风险=关税/IRA 逆风</w:t>
            </w:r>
          </w:p>
        </w:tc>
      </w:tr>
      <w:tr>
        <w:tc>
          <w:tcPr>
            <w:tcW w:type="dxa" w:w="192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北向/流动性</w:t>
            </w:r>
          </w:p>
        </w:tc>
        <w:tc>
          <w:tcPr>
            <w:tcW w:type="dxa" w:w="113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中性</w:t>
            </w:r>
          </w:p>
        </w:tc>
        <w:tc>
          <w:tcPr>
            <w:tcW w:type="dxa" w:w="5556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A 股权重股、H 溢价反映外资偏好｜风险=利率上行与流动性收紧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碰撞结论：长期质地派看多、价值与成长派分歧最大——正好落在「质地强但估值透支」的中性偏谨慎定位上，六视角内部一致性支持了本报告的主判断。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十二、风险、证伪与 Pre-Mortem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把最可能的死因回推一遍，三条路径全部指向本报告的两个胜负手（成本护城河收窄、海外 ROIC 不及国内）——这反过来验证了胜负手选得对。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124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风险维度</w:t>
            </w:r>
          </w:p>
        </w:tc>
        <w:tc>
          <w:tcPr>
            <w:tcW w:type="dxa" w:w="2608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事实证据</w:t>
            </w:r>
          </w:p>
        </w:tc>
        <w:tc>
          <w:tcPr>
            <w:tcW w:type="dxa" w:w="249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可观测跟踪</w:t>
            </w:r>
          </w:p>
        </w:tc>
        <w:tc>
          <w:tcPr>
            <w:tcW w:type="dxa" w:w="2835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触发信号(若…则下调)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成本/价格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LFP 同质化、二线追赶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动力分部毛利率(季度)</w:t>
            </w:r>
          </w:p>
        </w:tc>
        <w:tc>
          <w:tcPr>
            <w:tcW w:type="dxa" w:w="283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连续&lt;22%→胜负手一恶化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扩产回报</w:t>
            </w:r>
          </w:p>
        </w:tc>
        <w:tc>
          <w:tcPr>
            <w:tcW w:type="dxa" w:w="260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利用率承压、减值列关键审计事项</w:t>
            </w:r>
          </w:p>
        </w:tc>
        <w:tc>
          <w:tcPr>
            <w:tcW w:type="dxa" w:w="249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季度 OCF vs 利润、减值</w:t>
            </w:r>
          </w:p>
        </w:tc>
        <w:tc>
          <w:tcPr>
            <w:tcW w:type="dxa" w:w="2835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OCF 持续弱于利润/减值扩大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海外政策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关税、IRA 本地化、自建爬坡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海外项目现金回报、海外毛利率</w:t>
            </w:r>
          </w:p>
        </w:tc>
        <w:tc>
          <w:tcPr>
            <w:tcW w:type="dxa" w:w="283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海外增量毛利率跌破国内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非主业利润</w:t>
            </w:r>
          </w:p>
        </w:tc>
        <w:tc>
          <w:tcPr>
            <w:tcW w:type="dxa" w:w="2608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投资+39.8/净财务+38.1 亿撑利润</w:t>
            </w:r>
          </w:p>
        </w:tc>
        <w:tc>
          <w:tcPr>
            <w:tcW w:type="dxa" w:w="249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投资收益、利息、汇兑</w:t>
            </w:r>
          </w:p>
        </w:tc>
        <w:tc>
          <w:tcPr>
            <w:tcW w:type="dxa" w:w="2835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非主业回落后利润失速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治理/稀释</w:t>
            </w:r>
          </w:p>
        </w:tc>
        <w:tc>
          <w:tcPr>
            <w:tcW w:type="dxa" w:w="2608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H 股上市+2026 再融资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股本摊薄、再融资节奏</w:t>
            </w:r>
          </w:p>
        </w:tc>
        <w:tc>
          <w:tcPr>
            <w:tcW w:type="dxa" w:w="283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频繁股权融资摊薄每股价值</w:t>
            </w:r>
          </w:p>
        </w:tc>
      </w:tr>
    </w:tbl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本土财务红旗扫描（逐项排查、不留死角）：无大存大贷异常、无非标审计意见、无已知资金占用、商誉可控——传统 A 股雷区基本干净；需持续盯的是 H 股再融资摊薄与固定资产减值这两项。港股维度：无老千股/供股合股信号，H 股流动性好、CCASS 无异常集中，核数师未更换。认知陷阱自检：本报告刻意对冲了三种偏误——龙头信仰（默认份额永续）用胜负手一的护城河收窄对冲；锚定（把历史高毛利率当常态）用分部毛利率微降的事实对冲；赛道叙事（把增速换挡当短期波动）用行业阶段判断对冲。</w:t>
      </w:r>
    </w:p>
    <w:p>
      <w:pPr>
        <w:spacing w:before="80" w:after="160" w:line="317" w:lineRule="auto"/>
        <w:ind w:left="125" w:right="68"/>
        <w:shd w:fill="F4E8E6"/>
        <w:pBdr>
          <w:left w:val="single" w:sz="18" w:color="9B4A42" w:space="6"/>
        </w:pBdr>
      </w:pPr>
      <w:r>
        <w:rPr>
          <w:rFonts w:ascii="MiSans" w:hAnsi="MiSans" w:eastAsia="MiSans"/>
          <w:b/>
          <w:color w:val="9B4A42"/>
          <w:sz w:val="18"/>
        </w:rPr>
        <w:t>事前验尸：假设 3 年后此投资亏 50%，回推最可能死因｜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①LFP 同质化使宁德单位成本领先收窄到 10% 以内，动力毛利率跌破 22%，「龙头溢价」坍缩，PE 从 28× 杀到 15×——这是概率最高的路径；②海外产能利用率低 + 关税，扩产 ROIC 被稀释，市场突然意识到「按国内盈利外推海外」是错的，杀盈利预期又杀估值（戴维斯双杀）；③行业价格战超预期叠加投资/财务收益回落，利润在高基数上失速。三条死因全部指向本报告的两个胜负手——这也反过来验证了胜负手选得对。</w:t>
      </w:r>
    </w:p>
    <w:p>
      <w:pPr>
        <w:spacing w:before="80" w:after="160" w:line="317" w:lineRule="auto"/>
        <w:ind w:left="125" w:right="68"/>
        <w:shd w:fill="F3F0E8"/>
        <w:pBdr>
          <w:left w:val="single" w:sz="18" w:color="A8894F" w:space="6"/>
        </w:pBdr>
      </w:pPr>
      <w:r>
        <w:rPr>
          <w:rFonts w:ascii="MiSans" w:hAnsi="MiSans" w:eastAsia="MiSans"/>
          <w:b/>
          <w:color w:val="A8894F"/>
          <w:sz w:val="18"/>
        </w:rPr>
        <w:t>核心证伪清单(置显眼位)｜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推翻「质地偏强」：动力分部毛利率连续&lt;22% 或成本被二线追平；推翻「估值偏贵」：海外 ROIC 验证≈国内且成本领先维持&gt;15%(Bull 兑现)。跟踪节点：每季分部毛利率、经营现金流、海外产能利用率与减值披露。</w:t>
      </w:r>
    </w:p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十三、长期跟踪清单</w:t>
      </w:r>
    </w:p>
    <w:p>
      <w:pPr>
        <w:keepNext/>
        <w:spacing w:before="180" w:after="60"/>
      </w:pPr>
      <w:r>
        <w:rPr>
          <w:rFonts w:ascii="MiSans" w:hAnsi="MiSans" w:eastAsia="MiSans"/>
          <w:b/>
          <w:color w:val="A8894F"/>
          <w:sz w:val="20"/>
        </w:rPr>
        <w:t>结论｜</w:t>
      </w:r>
      <w:r>
        <w:rPr>
          <w:rFonts w:ascii="MiSans" w:hAnsi="MiSans" w:eastAsia="MiSans"/>
          <w:b/>
          <w:color w:val="1A1A1A"/>
          <w:sz w:val="20"/>
        </w:rPr>
        <w:t>把前面的判断落成可量化的跟踪表——研究型报告的结尾不是总结，而是给出「未来怎么验证或推翻我」的仪表盘。</w:t>
      </w:r>
    </w:p>
    <w:p>
      <w:pPr>
        <w:spacing w:after="140" w:line="384" w:lineRule="auto"/>
        <w:ind w:firstLine="420"/>
        <w:jc w:val="both"/>
      </w:pPr>
      <w:r>
        <w:rPr>
          <w:rFonts w:ascii="Source Han Serif SC" w:hAnsi="Source Han Serif SC" w:eastAsia="Source Han Serif SC"/>
          <w:b w:val="0"/>
          <w:color w:val="1A1A1A"/>
          <w:sz w:val="21"/>
        </w:rPr>
        <w:t>把前面的判断落成可量化的跟踪表——研究型报告的结尾不是总结，而是给出「未来怎么验证或推翻我」的仪表盘。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124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587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项</w:t>
            </w:r>
          </w:p>
        </w:tc>
        <w:tc>
          <w:tcPr>
            <w:tcW w:type="dxa" w:w="3855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跟踪指标 / 季度基准</w:t>
            </w:r>
          </w:p>
        </w:tc>
        <w:tc>
          <w:tcPr>
            <w:tcW w:type="dxa" w:w="181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触发信号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增量驱动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储能放量</w:t>
            </w:r>
          </w:p>
        </w:tc>
        <w:tc>
          <w:tcPr>
            <w:tcW w:type="dxa" w:w="385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储能收入增速 vs 动力、储能占比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占比持续升→Base 上修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增量驱动</w:t>
            </w:r>
          </w:p>
        </w:tc>
        <w:tc>
          <w:tcPr>
            <w:tcW w:type="dxa" w:w="158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海外本地化</w:t>
            </w:r>
          </w:p>
        </w:tc>
        <w:tc>
          <w:tcPr>
            <w:tcW w:type="dxa" w:w="3855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海外收入占比、海外毛利率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海外毛利率维持&gt;国内→ROIC 无忧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增量驱动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新化学(钠/固态)</w:t>
            </w:r>
          </w:p>
        </w:tc>
        <w:tc>
          <w:tcPr>
            <w:tcW w:type="dxa" w:w="385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量产进度、独立收入/毛利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形成独立现金回报→Bull 支撑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潜在雷</w:t>
            </w:r>
          </w:p>
        </w:tc>
        <w:tc>
          <w:tcPr>
            <w:tcW w:type="dxa" w:w="158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LFP 同质化</w:t>
            </w:r>
          </w:p>
        </w:tc>
        <w:tc>
          <w:tcPr>
            <w:tcW w:type="dxa" w:w="3855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动力分部毛利率、二线成本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连续&lt;22%→减仓信号</w:t>
            </w:r>
          </w:p>
        </w:tc>
      </w:tr>
      <w:tr>
        <w:tc>
          <w:tcPr>
            <w:tcW w:type="dxa" w:w="124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潜在雷</w:t>
            </w:r>
          </w:p>
        </w:tc>
        <w:tc>
          <w:tcPr>
            <w:tcW w:type="dxa" w:w="1587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扩产减值</w:t>
            </w:r>
          </w:p>
        </w:tc>
        <w:tc>
          <w:tcPr>
            <w:tcW w:type="dxa" w:w="3855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固定资产减值、利用率</w:t>
            </w:r>
          </w:p>
        </w:tc>
        <w:tc>
          <w:tcPr>
            <w:tcW w:type="dxa" w:w="181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减值扩大→资本效率恶化</w:t>
            </w:r>
          </w:p>
        </w:tc>
      </w:tr>
      <w:tr>
        <w:tc>
          <w:tcPr>
            <w:tcW w:type="dxa" w:w="124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行动触发</w:t>
            </w:r>
          </w:p>
        </w:tc>
        <w:tc>
          <w:tcPr>
            <w:tcW w:type="dxa" w:w="1587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估值回归</w:t>
            </w:r>
          </w:p>
        </w:tc>
        <w:tc>
          <w:tcPr>
            <w:tcW w:type="dxa" w:w="3855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PE 分位、隐含增速</w:t>
            </w:r>
          </w:p>
        </w:tc>
        <w:tc>
          <w:tcPr>
            <w:tcW w:type="dxa" w:w="181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隐含增速回落至&lt;15% 且质地未损→吸引力上升</w:t>
            </w:r>
          </w:p>
        </w:tc>
      </w:tr>
    </w:tbl>
    <w:p>
      <w:pPr>
        <w:keepNext/>
        <w:spacing w:before="280" w:after="140"/>
        <w:pBdr>
          <w:bottom w:val="single" w:sz="6" w:color="A8894F" w:space="4"/>
        </w:pBdr>
      </w:pPr>
      <w:r>
        <w:rPr>
          <w:rFonts w:ascii="MiSans" w:hAnsi="MiSans" w:eastAsia="MiSans"/>
          <w:b/>
          <w:color w:val="1A1A1A"/>
          <w:sz w:val="30"/>
        </w:rPr>
        <w:t>十四、附录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A. 完整同业池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170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公司</w:t>
            </w:r>
          </w:p>
        </w:tc>
        <w:tc>
          <w:tcPr>
            <w:tcW w:type="dxa" w:w="306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2025 口径</w:t>
            </w:r>
          </w:p>
        </w:tc>
        <w:tc>
          <w:tcPr>
            <w:tcW w:type="dxa" w:w="238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147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来源等级</w:t>
            </w:r>
          </w:p>
        </w:tc>
      </w:tr>
      <w:tr>
        <w:tc>
          <w:tcPr>
            <w:tcW w:type="dxa" w:w="170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宁德时代</w:t>
            </w:r>
          </w:p>
        </w:tc>
        <w:tc>
          <w:tcPr>
            <w:tcW w:type="dxa" w:w="306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营业利润率/销量</w:t>
            </w:r>
          </w:p>
        </w:tc>
        <w:tc>
          <w:tcPr>
            <w:tcW w:type="dxa" w:w="238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21.13% / 661 GWh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A</w:t>
            </w:r>
          </w:p>
        </w:tc>
      </w:tr>
      <w:tr>
        <w:tc>
          <w:tcPr>
            <w:tcW w:type="dxa" w:w="170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LG 新能源</w:t>
            </w:r>
          </w:p>
        </w:tc>
        <w:tc>
          <w:tcPr>
            <w:tcW w:type="dxa" w:w="306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营业利润率(剔 IRA)</w:t>
            </w:r>
          </w:p>
        </w:tc>
        <w:tc>
          <w:tcPr>
            <w:tcW w:type="dxa" w:w="238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5.7%(-1.27%)</w:t>
            </w:r>
          </w:p>
        </w:tc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A</w:t>
            </w:r>
          </w:p>
        </w:tc>
      </w:tr>
      <w:tr>
        <w:tc>
          <w:tcPr>
            <w:tcW w:type="dxa" w:w="170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三星 SDI</w:t>
            </w:r>
          </w:p>
        </w:tc>
        <w:tc>
          <w:tcPr>
            <w:tcW w:type="dxa" w:w="306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营业利润率/研发强度</w:t>
            </w:r>
          </w:p>
        </w:tc>
        <w:tc>
          <w:tcPr>
            <w:tcW w:type="dxa" w:w="238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-12.96% / 10.7%</w:t>
            </w:r>
          </w:p>
        </w:tc>
        <w:tc>
          <w:tcPr>
            <w:tcW w:type="dxa" w:w="147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A</w:t>
            </w:r>
          </w:p>
        </w:tc>
      </w:tr>
      <w:tr>
        <w:tc>
          <w:tcPr>
            <w:tcW w:type="dxa" w:w="170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比亚迪</w:t>
            </w:r>
          </w:p>
        </w:tc>
        <w:tc>
          <w:tcPr>
            <w:tcW w:type="dxa" w:w="306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动力+储能累计装机/研发强度</w:t>
            </w:r>
          </w:p>
        </w:tc>
        <w:tc>
          <w:tcPr>
            <w:tcW w:type="dxa" w:w="238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285.634 GWh / 7.89%</w:t>
            </w:r>
          </w:p>
        </w:tc>
        <w:tc>
          <w:tcPr>
            <w:tcW w:type="dxa" w:w="147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A(未审计)</w:t>
            </w:r>
          </w:p>
        </w:tc>
      </w:tr>
    </w:tbl>
    <w:p>
      <w:pPr>
        <w:spacing w:after="120" w:line="264" w:lineRule="auto"/>
      </w:pPr>
      <w:r>
        <w:rPr>
          <w:rFonts w:ascii="Source Han Serif SC" w:hAnsi="Source Han Serif SC" w:eastAsia="Source Han Serif SC"/>
          <w:b w:val="0"/>
          <w:color w:val="777777"/>
          <w:sz w:val="14"/>
        </w:rPr>
        <w:t>跨公司业务范围/装机 vs 销量口径/激励/币种差异已在正文标注，只列原始坐标不做伪四分位。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B. 证明链台账（含估算链，标置信度）</w:t>
      </w:r>
    </w:p>
    <w:p>
      <w:pPr>
        <w:spacing w:after="100" w:line="317" w:lineRule="auto"/>
      </w:pPr>
      <w:r>
        <w:rPr>
          <w:rFonts w:ascii="MiSans" w:hAnsi="MiSans" w:eastAsia="MiSans"/>
          <w:b/>
          <w:color w:val="A8894F"/>
          <w:sz w:val="18"/>
        </w:rPr>
        <w:t>P-01 利润来源(完整·高)｜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毛利润增量 228.25/营业利润增量 254.67=89.6%；非主业(投资+39.83/净财务+38.08 亿)显著。来源：AR p.32/33/124/125。</w:t>
      </w:r>
    </w:p>
    <w:p>
      <w:pPr>
        <w:spacing w:after="100" w:line="317" w:lineRule="auto"/>
      </w:pPr>
      <w:r>
        <w:rPr>
          <w:rFonts w:ascii="MiSans" w:hAnsi="MiSans" w:eastAsia="MiSans"/>
          <w:b/>
          <w:color w:val="A8894F"/>
          <w:sz w:val="18"/>
        </w:rPr>
        <w:t>P-EST-成本(估算·低–中)｜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营业利润率差(21% vs -1%~-13%)剔非经常后 15–25pct + 动力毛利率 23.84% + 规模曲线 → 单位成本领先二线 15–25%，三年收窄 8–15%。缺同口径单位成本/良率。</w:t>
      </w:r>
    </w:p>
    <w:p>
      <w:pPr>
        <w:spacing w:after="100" w:line="317" w:lineRule="auto"/>
      </w:pPr>
      <w:r>
        <w:rPr>
          <w:rFonts w:ascii="MiSans" w:hAnsi="MiSans" w:eastAsia="MiSans"/>
          <w:b/>
          <w:color w:val="A8894F"/>
          <w:sz w:val="18"/>
        </w:rPr>
        <w:t>P-EST-利用率(估算·低)｜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销量 661/名义产能 772≈85%(含爬坡)+全行业过剩 → 有效利用率 65–75%；海外 ROIC 较国内低 5–10pct。缺项目级数据。</w:t>
      </w:r>
    </w:p>
    <w:p>
      <w:pPr>
        <w:spacing w:after="100" w:line="317" w:lineRule="auto"/>
      </w:pPr>
      <w:r>
        <w:rPr>
          <w:rFonts w:ascii="MiSans" w:hAnsi="MiSans" w:eastAsia="MiSans"/>
          <w:b/>
          <w:color w:val="A8894F"/>
          <w:sz w:val="18"/>
        </w:rPr>
        <w:t>P-EST-单位经济(估算·低)｜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总销量+39% vs 总收入+17%+分部毛利率持平 → 单位售价降 15–20%、单位成本同步下行。缺分部销量/ASP/成本。</w:t>
      </w:r>
    </w:p>
    <w:p>
      <w:pPr>
        <w:spacing w:after="100" w:line="317" w:lineRule="auto"/>
      </w:pPr>
      <w:r>
        <w:rPr>
          <w:rFonts w:ascii="MiSans" w:hAnsi="MiSans" w:eastAsia="MiSans"/>
          <w:b/>
          <w:color w:val="A8894F"/>
          <w:sz w:val="18"/>
        </w:rPr>
        <w:t>P-03 护城河(完整·中)｜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份额 39.2%/销量 661GWh/研发 5.23%/营业利润率 21.13% vs LGES 5.7%/SDI -12.96%。现阶段优势可验证、非永久。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C. 数据缺口与补数清单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动力/储能分部销量与 ASP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单位材料/制造成本与良率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统一口径产能利用率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项目级投入资本/现金流/ROIC(尤其海外)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前十大股东与质押明细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管理层激励条款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2026-07 A/H 同日收盘价与估值历史分位</w:t>
      </w:r>
    </w:p>
    <w:p>
      <w:pPr>
        <w:pStyle w:val="ListBullet"/>
        <w:spacing w:after="60" w:line="312" w:lineRule="auto"/>
      </w:pPr>
      <w:r>
        <w:rPr>
          <w:rFonts w:ascii="Source Han Serif SC" w:hAnsi="Source Han Serif SC" w:eastAsia="Source Han Serif SC"/>
          <w:b w:val="0"/>
          <w:color w:val="1A1A1A"/>
          <w:sz w:val="18"/>
        </w:rPr>
        <w:t>卖方一致预期分布(覆盖数/标准差)</w:t>
      </w:r>
    </w:p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D. 一手证据来源台账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701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4422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494"/>
            <w:shd w:fill="1A1A1A"/>
            <w:vAlign w:val="cente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  <w:insideH w:val="single" w:sz="4" w:color="1A1A1A"/>
              <w:insideV w:val="single" w:sz="4" w:color="1A1A1A"/>
            </w:tcBorders>
          </w:tcPr>
          <w:p>
            <w:r>
              <w:rPr>
                <w:rFonts w:ascii="MiSans" w:hAnsi="MiSans" w:eastAsia="MiSans"/>
                <w:b/>
                <w:color w:val="FFFFFF"/>
                <w:sz w:val="16"/>
              </w:rPr>
              <w:t>用于</w:t>
            </w:r>
          </w:p>
        </w:tc>
      </w:tr>
      <w:tr>
        <w:tc>
          <w:tcPr>
            <w:tcW w:type="dxa" w:w="170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Tier1 主源</w:t>
            </w:r>
          </w:p>
        </w:tc>
        <w:tc>
          <w:tcPr>
            <w:tcW w:type="dxa" w:w="4422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宁德 2025 年报/2026 一季报原文、公司份额/销量披露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财务主体数据、份额、销量</w:t>
            </w:r>
          </w:p>
        </w:tc>
      </w:tr>
      <w:tr>
        <w:tc>
          <w:tcPr>
            <w:tcW w:type="dxa" w:w="1701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Tier2 事实源</w:t>
            </w:r>
          </w:p>
        </w:tc>
        <w:tc>
          <w:tcPr>
            <w:tcW w:type="dxa" w:w="4422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审计报告(减值关键审计事项)、财报附注</w:t>
            </w:r>
          </w:p>
        </w:tc>
        <w:tc>
          <w:tcPr>
            <w:tcW w:type="dxa" w:w="2494"/>
            <w:shd w:fill="F7F5F0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利润桥、减值、分部毛利率</w:t>
            </w:r>
          </w:p>
        </w:tc>
      </w:tr>
      <w:tr>
        <w:tc>
          <w:tcPr>
            <w:tcW w:type="dxa" w:w="1701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Tier3 观点源</w:t>
            </w:r>
          </w:p>
        </w:tc>
        <w:tc>
          <w:tcPr>
            <w:tcW w:type="dxa" w:w="4422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高盛/瑞银研报摘要、公开行情</w:t>
            </w:r>
          </w:p>
        </w:tc>
        <w:tc>
          <w:tcPr>
            <w:tcW w:type="dxa" w:w="2494"/>
            <w:tcBorders>
              <w:top w:val="single" w:sz="4" w:color="D9D4C7"/>
              <w:left w:val="single" w:sz="4" w:color="D9D4C7"/>
              <w:bottom w:val="single" w:sz="4" w:color="D9D4C7"/>
              <w:right w:val="single" w:sz="4" w:color="D9D4C7"/>
              <w:insideH w:val="single" w:sz="4" w:color="D9D4C7"/>
              <w:insideV w:val="single" w:sz="4" w:color="D9D4C7"/>
            </w:tcBorders>
          </w:tcPr>
          <w:p>
            <w:pPr>
              <w:spacing w:after="0"/>
            </w:pPr>
            <w:r>
              <w:rPr>
                <w:rFonts w:ascii="Source Han Serif SC" w:hAnsi="Source Han Serif SC" w:eastAsia="Source Han Serif SC"/>
                <w:b w:val="0"/>
                <w:color w:val="1A1A1A"/>
                <w:sz w:val="17"/>
              </w:rPr>
              <w:t>市值/PE/目标价(仅佐证)</w:t>
            </w:r>
          </w:p>
        </w:tc>
      </w:tr>
    </w:tbl>
    <w:p>
      <w:pPr>
        <w:keepNext/>
        <w:spacing w:before="200" w:after="100"/>
      </w:pPr>
      <w:r>
        <w:rPr>
          <w:rFonts w:ascii="MiSans" w:hAnsi="MiSans" w:eastAsia="MiSans"/>
          <w:b/>
          <w:color w:val="1A1A1A"/>
          <w:sz w:val="23"/>
        </w:rPr>
        <w:t>E. 免责声明</w:t>
      </w:r>
    </w:p>
    <w:p>
      <w:pPr>
        <w:spacing w:before="80" w:after="160" w:line="317" w:lineRule="auto"/>
        <w:ind w:left="125" w:right="68"/>
        <w:shd w:fill="F3F0E8"/>
        <w:pBdr>
          <w:left w:val="single" w:sz="18" w:color="A8894F" w:space="6"/>
        </w:pBdr>
      </w:pPr>
      <w:r>
        <w:rPr>
          <w:rFonts w:ascii="MiSans" w:hAnsi="MiSans" w:eastAsia="MiSans"/>
          <w:b/>
          <w:color w:val="A8894F"/>
          <w:sz w:val="18"/>
        </w:rPr>
        <w:t>研究边界｜</w:t>
      </w:r>
      <w:r>
        <w:rPr>
          <w:rFonts w:ascii="Source Han Serif SC" w:hAnsi="Source Han Serif SC" w:eastAsia="Source Han Serif SC"/>
          <w:b w:val="0"/>
          <w:color w:val="1A1A1A"/>
          <w:sz w:val="18"/>
        </w:rPr>
        <w:t>本材料为基于公开信息的前瞻研究整理与风险揭示，不构成买卖、申购或个性化投资建议；含估算判断，均标注置信度与倒推假设，供复核。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87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urce Han Serif SC" w:hAnsi="Source Han Serif SC" w:eastAsia="Source Han Serif SC"/>
        <w:b w:val="0"/>
        <w:color w:val="777777"/>
        <w:sz w:val="14"/>
      </w:rPr>
      <w:t xml:space="preserve">分析师级前瞻初稿 · 客观研究 · 不含买卖建议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Sans" w:hAnsi="MiSans" w:eastAsia="MiSans"/>
        <w:b w:val="0"/>
        <w:color w:val="777777"/>
        <w:sz w:val="14"/>
      </w:rPr>
      <w:t>财经内容台 · 基本面前瞻研究 · 宁德时代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erif SC" w:hAnsi="Source Han Serif SC" w:eastAsia="Source Han Serif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宁德时代 基本面深度研究样张 V7</dc:title>
  <dc:subject/>
  <dc:creator>罗佳 Rodya｜财经内容台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