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color="000000" w:space="0" w:sz="0" w:val="none"/>
          <w:bottom w:color="000000" w:space="0" w:sz="0" w:val="none"/>
          <w:between w:color="000000" w:space="0" w:sz="0" w:val="none"/>
        </w:pBdr>
        <w:spacing w:line="24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Приложение 10</w:t>
      </w:r>
    </w:p>
    <w:p w:rsidR="00000000" w:rsidDel="00000000" w:rsidP="00000000" w:rsidRDefault="00000000" w:rsidRPr="00000000" w14:paraId="00000002">
      <w:pPr>
        <w:widowControl w:val="0"/>
        <w:pBdr>
          <w:top w:color="000000" w:space="0" w:sz="0" w:val="none"/>
          <w:bottom w:color="000000" w:space="0" w:sz="0" w:val="none"/>
          <w:between w:color="000000" w:space="0" w:sz="0" w:val="none"/>
        </w:pBdr>
        <w:spacing w:line="240" w:lineRule="auto"/>
        <w:ind w:left="28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отчету по проекту “Влияние когнитивных искажений на восприятие (дез)информации, связанной со здоровьем, и их поведенческие и нейрональные корреляты”, 2023-2024 год</w:t>
      </w:r>
    </w:p>
    <w:p w:rsidR="00000000" w:rsidDel="00000000" w:rsidP="00000000" w:rsidRDefault="00000000" w:rsidRPr="00000000" w14:paraId="00000003">
      <w:pPr>
        <w:widowControl w:val="0"/>
        <w:pBdr>
          <w:top w:color="000000" w:space="0" w:sz="0" w:val="none"/>
          <w:bottom w:color="000000" w:space="0" w:sz="0" w:val="none"/>
          <w:between w:color="000000" w:space="0" w:sz="0" w:val="none"/>
        </w:pBdr>
        <w:spacing w:line="240" w:lineRule="auto"/>
        <w:ind w:left="284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год выполнения проекта)</w:t>
      </w:r>
    </w:p>
    <w:p w:rsidR="00000000" w:rsidDel="00000000" w:rsidP="00000000" w:rsidRDefault="00000000" w:rsidRPr="00000000" w14:paraId="00000004">
      <w:pPr>
        <w:widowControl w:val="0"/>
        <w:pBdr>
          <w:top w:color="000000" w:space="0" w:sz="0" w:val="none"/>
          <w:bottom w:color="000000" w:space="0" w:sz="0" w:val="none"/>
          <w:between w:color="000000" w:space="0" w:sz="0" w:val="none"/>
        </w:pBdr>
        <w:spacing w:line="240" w:lineRule="auto"/>
        <w:ind w:left="2840" w:firstLine="0"/>
        <w:jc w:val="righ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widowControl w:val="0"/>
        <w:spacing w:line="240" w:lineRule="auto"/>
        <w:ind w:left="21.450042724609375" w:right="687.659912109375" w:firstLine="1.55998229980468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ind w:left="21.450042724609375" w:right="687.659912109375" w:firstLine="1.55998229980468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line="360" w:lineRule="auto"/>
        <w:ind w:left="21.450042724609375" w:right="687.659912109375" w:firstLine="545.479091133658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Рекрутинг участников экспериментального исследования.</w:t>
      </w:r>
    </w:p>
    <w:p w:rsidR="00000000" w:rsidDel="00000000" w:rsidP="00000000" w:rsidRDefault="00000000" w:rsidRPr="00000000" w14:paraId="00000008">
      <w:pPr>
        <w:widowControl w:val="0"/>
        <w:spacing w:line="360" w:lineRule="auto"/>
        <w:ind w:left="21.450042724609375" w:right="687.659912109375" w:firstLine="545.479091133658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360" w:lineRule="auto"/>
        <w:ind w:left="21.450042724609375" w:right="687.659912109375" w:firstLine="545.479091133658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Критерии включения</w:t>
      </w:r>
    </w:p>
    <w:p w:rsidR="00000000" w:rsidDel="00000000" w:rsidP="00000000" w:rsidRDefault="00000000" w:rsidRPr="00000000" w14:paraId="0000000A">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Подавляющее большинство критериев включения участников в выборку было стандартным, соответствующим мировой практике проведения психофизиологических исследований и обеспечивающим  относительную нейрофизиологическую однородность выборки, что, в свою очередь, способствует снижению количества артефактов и потенциальных выбросов в ЭЭГ-данных, повышая тем самым достоверность и интерпретируемость получаемых результатов. </w:t>
      </w:r>
    </w:p>
    <w:p w:rsidR="00000000" w:rsidDel="00000000" w:rsidP="00000000" w:rsidRDefault="00000000" w:rsidRPr="00000000" w14:paraId="0000000C">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Отметим также, что в ходе реализации стала очевидна необходимость пересмотра одного из ранее определенных критериев включения: возраст участников. Первоначально критерий вводил строгое ограничение на возраст респондентов, обозначая, что к моменту начала массовой вакцинации от COVID-19 в Российской Федерации (5 декабря 2020 года) всем участникам должно было исполниться не менее 18 лет. По первоначальной задумке, это  обеспечивало, с одной стороны, наличие у респондентов дееспособности и самостоятельности в принятии решения о прохождении или отказе от вакцинации, а с другой — гарантировало наличие у них соответствующего опыта принятия подобного рода решений. Однако, в ходе реализации (в том числе по результатам постериорного анализа размера эффекта (post hoc power analysis) пилотных данных, см. пункт 3.1.2) стала очевидна эмпирическая целесообразность формирования выборки, позволяющей включать две группы участников: (1) принятие решение в ситуации необходимости; (2) принятие решения в ситуации желательности. </w:t>
      </w:r>
    </w:p>
    <w:p w:rsidR="00000000" w:rsidDel="00000000" w:rsidP="00000000" w:rsidRDefault="00000000" w:rsidRPr="00000000" w14:paraId="0000000D">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360" w:lineRule="auto"/>
        <w:ind w:left="21.450042724609375" w:right="687.659912109375" w:firstLine="545.479091133658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Определение размера необходимой выборки</w:t>
      </w:r>
    </w:p>
    <w:p w:rsidR="00000000" w:rsidDel="00000000" w:rsidP="00000000" w:rsidRDefault="00000000" w:rsidRPr="00000000" w14:paraId="0000000F">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Поскольку в центре анализа находится анализ физиологических данных, прежде всего ЭЭГ, размер выборки определялся исходя из доменного анализа ЭЭГ-активности.  Для определения необходимого размера выборки была проведена оценка статистической мощности (power analysis) с использованием функции pwr.t.test из пакета pwr в среде программирования R. Ожидаемый размер эффекта, основанный на полученных в ходе пилотного эксперимента результатах, был задан в  значении 0.45.  Анализ проводился для различных вариантов параметрических и непараметрических тестов сравнения средних с уровнем значимости 0,05 и желаемой мощностью от 0,80. Расчёты показали, что при размере эффекта d = 0.45, α = 0.05, мощность = 0.80 для paired анализа (ERP) потребуется примерно 40 участников на группу. Таким образом, для обеспечения достаточной чувствительности эксперимента была запланирована выборка размером 80 испытуемых. Отметим, что сравнение групп на данном этапе не предполагается, расширение производится с целью повышения репрезентативности основной выборки. </w:t>
      </w:r>
    </w:p>
    <w:p w:rsidR="00000000" w:rsidDel="00000000" w:rsidP="00000000" w:rsidRDefault="00000000" w:rsidRPr="00000000" w14:paraId="00000011">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360" w:lineRule="auto"/>
        <w:ind w:left="21.450042724609375" w:right="687.659912109375" w:firstLine="545.479091133658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Рекрутинг</w:t>
      </w:r>
    </w:p>
    <w:p w:rsidR="00000000" w:rsidDel="00000000" w:rsidP="00000000" w:rsidRDefault="00000000" w:rsidRPr="00000000" w14:paraId="00000013">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Процедура рекрутинга участников осуществлялась с использованием комбинированного подхода, включающего размещение информационных объявлений (листовок) в корпусах университета, массовые электронные рассылки по корпоративной почте студентам различных академических программ, а также публикациями в специализированных группах в социальной сети ВКонтакте и на специализированных ресурсах поиска волонтеров, в том числе научных. Запланированный ранее таргетинг через рекламный кабинет был исключен ввиду чрезвычайно низкой конверсии. </w:t>
      </w:r>
    </w:p>
    <w:p w:rsidR="00000000" w:rsidDel="00000000" w:rsidP="00000000" w:rsidRDefault="00000000" w:rsidRPr="00000000" w14:paraId="00000015">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Распространяемое приглашение принять участие в эксперименте содержало QR-код, переход по которому направлял потенциального участника на специально разработанную Google-форму (https://goo.su/kdVwnQ). В данной форме респондентам предлагалось указать персональные данные (ФИО), контактную информацию и предпочитаемый способ обратной связи, а также пройти предварительную фильтрации в соответствии с критериями включения. </w:t>
      </w:r>
    </w:p>
    <w:p w:rsidR="00000000" w:rsidDel="00000000" w:rsidP="00000000" w:rsidRDefault="00000000" w:rsidRPr="00000000" w14:paraId="00000016">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соответствия предъявляемым требованиям, с потенциальными участниками устанавливалась обратная связь с использованием указанного ими предпочитаемого способа коммуникации. В рамках последующего взаимодействия уточнялось их намерение участвовать в исследовании, предоставлялась необходимая информация об условиях эксперимента, после чего согласовывались дата и время участия. Коммуникация осуществлялась с применением заранее подготовленных текстовых шаблонов для каждого этапа взаимодействия, от которых допускались отклонения исключительно в случаях необходимости индивидуальных разъяснений или ответов на дополнительные вопросы.</w:t>
      </w:r>
    </w:p>
    <w:p w:rsidR="00000000" w:rsidDel="00000000" w:rsidP="00000000" w:rsidRDefault="00000000" w:rsidRPr="00000000" w14:paraId="00000017">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этапы взаимодействия с потенциальными участниками документировали в специально созданной Google-таблице. В таблице фиксировались актуальный статус взаимодействия, предпочтения респондентов по дате и времени участия, а также согласованные параметры участия (при наличии договоренности), включая факт внесения информации в рабочий календарь лаборатории. За сутки до назначенного времени с участниками дополнительно связывались с целью подтверждения их готовности к участию, и соответствующая информация также вносилась в таблицу.</w:t>
      </w:r>
    </w:p>
    <w:p w:rsidR="00000000" w:rsidDel="00000000" w:rsidP="00000000" w:rsidRDefault="00000000" w:rsidRPr="00000000" w14:paraId="00000018">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360" w:lineRule="auto"/>
        <w:ind w:left="21.450042724609375" w:right="687.659912109375" w:firstLine="545.479091133658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Описание итоговой выборки участников экспериментального исследования</w:t>
      </w:r>
    </w:p>
    <w:p w:rsidR="00000000" w:rsidDel="00000000" w:rsidP="00000000" w:rsidRDefault="00000000" w:rsidRPr="00000000" w14:paraId="0000001A">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Регистрация участников на данный момент продолжается и будет продолжаться до официального окончания второго этапа реализации проекта (т.е. до конца июня 2025 года) или до достижения необходимого размера выборки. К моменту написания отчета (т.е. на 05.05.2025) в выборку вошли 78 участников, соответствующих установленным критериям включения и исключения. </w:t>
      </w:r>
    </w:p>
    <w:p w:rsidR="00000000" w:rsidDel="00000000" w:rsidP="00000000" w:rsidRDefault="00000000" w:rsidRPr="00000000" w14:paraId="0000001C">
      <w:pPr>
        <w:widowControl w:val="0"/>
        <w:spacing w:line="360" w:lineRule="auto"/>
        <w:ind w:left="21.450042724609375" w:right="687.659912109375" w:firstLine="545.4790911336581"/>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D">
      <w:pPr>
        <w:widowControl w:val="0"/>
        <w:spacing w:line="360" w:lineRule="auto"/>
        <w:ind w:left="21.450042724609375" w:right="687.659912109375" w:firstLine="545.479091133658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3.3.1. Социодемограция и опыт вакцинации</w:t>
      </w:r>
    </w:p>
    <w:p w:rsidR="00000000" w:rsidDel="00000000" w:rsidP="00000000" w:rsidRDefault="00000000" w:rsidRPr="00000000" w14:paraId="0000001E">
      <w:pPr>
        <w:widowControl w:val="0"/>
        <w:spacing w:line="360" w:lineRule="auto"/>
        <w:ind w:left="21.450042724609375" w:right="687.659912109375" w:firstLine="545.4790911336581"/>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F">
      <w:pPr>
        <w:widowControl w:val="0"/>
        <w:spacing w:line="360" w:lineRule="auto"/>
        <w:ind w:right="687.65991210937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Среди набранных участников 61% составляют женщины. Возраст участников варьируется от 19 до 43 лет. Средний возраст составляет 27,84 лет (SD = 6,02 года).  Чуть больше половины (59%) участников сообщили о прохождении вакцинации против COVID-19 в период пандемии. Из тех, кто прошел вакцинацию, 79 % сообщили, что приняли это решение добровольно и без давления. </w:t>
      </w:r>
    </w:p>
    <w:p w:rsidR="00000000" w:rsidDel="00000000" w:rsidP="00000000" w:rsidRDefault="00000000" w:rsidRPr="00000000" w14:paraId="00000020">
      <w:pPr>
        <w:widowControl w:val="0"/>
        <w:spacing w:line="360" w:lineRule="auto"/>
        <w:ind w:right="687.659912109375"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360" w:lineRule="auto"/>
        <w:ind w:right="687.659912109375" w:firstLine="566.9291338582675"/>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3.3.2. Отношение к вакцинации</w:t>
      </w:r>
    </w:p>
    <w:p w:rsidR="00000000" w:rsidDel="00000000" w:rsidP="00000000" w:rsidRDefault="00000000" w:rsidRPr="00000000" w14:paraId="00000022">
      <w:pPr>
        <w:widowControl w:val="0"/>
        <w:spacing w:line="360" w:lineRule="auto"/>
        <w:ind w:right="687.659912109375" w:firstLine="566.9291338582675"/>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3">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целей качественного описания структуры выборки в вопросе эксплицитного отношения к вакцинации была проведена дополнительная категоризация участников по их уровню выраженности установок, измеренному с использованием шкал Ликерта (6-балльной и 7-балльной). Разделение осуществлялось на основании фиксированных интервалов, соответствующих содержательной интерпретации шкал. Данный способ категоризации был выбран для обеспечения содержательной интерпретируемости результатов и не основан на статистическом распределении показателей в выборке, что позволяет сохранить привязку к исходному смыслу шкал.</w:t>
      </w:r>
    </w:p>
    <w:p w:rsidR="00000000" w:rsidDel="00000000" w:rsidP="00000000" w:rsidRDefault="00000000" w:rsidRPr="00000000" w14:paraId="00000024">
      <w:pPr>
        <w:widowControl w:val="0"/>
        <w:spacing w:line="360" w:lineRule="auto"/>
        <w:ind w:right="687.65991210937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оценке отношения к вакцинации были получены следующие значения: 75% выборки сообщило о положительном отношении к вакцинации и только 9,6% - об отрицательном (для измерения отношения к вакцинации использовался разработанный на 1 этапе реализации проекта инструментарий: опросник “Шкала оценки отношения к вакцинации” (Публикация (5)). </w:t>
      </w:r>
    </w:p>
    <w:p w:rsidR="00000000" w:rsidDel="00000000" w:rsidP="00000000" w:rsidRDefault="00000000" w:rsidRPr="00000000" w14:paraId="00000025">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положительном отношении к вакцинации от COVID-19 сообщило 65% участников и только 6,25% - об отрицательном. Остальные придерживались нейтральной позиции. Напомним, что для измерения отношения к вакцинации от COVID-19 использовался опросник “Шкала отношения к вакцинации от COVID-19” (Марголис и др., 2022).</w:t>
      </w:r>
    </w:p>
    <w:p w:rsidR="00000000" w:rsidDel="00000000" w:rsidP="00000000" w:rsidRDefault="00000000" w:rsidRPr="00000000" w14:paraId="00000026">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измерения склонности верить в теории заговора относительно вакцинации использовался опросник “Конспирологические представления о вакцинации” (Угланова и др., 2021). Большинство участников (72%) продемонстрировали низкую склонность верить в теории заговора относительно вакцинации.</w:t>
      </w:r>
    </w:p>
    <w:p w:rsidR="00000000" w:rsidDel="00000000" w:rsidP="00000000" w:rsidRDefault="00000000" w:rsidRPr="00000000" w14:paraId="00000027">
      <w:pPr>
        <w:widowControl w:val="0"/>
        <w:spacing w:line="360" w:lineRule="auto"/>
        <w:ind w:left="21.450042724609375" w:right="687.659912109375" w:firstLine="545.47909113365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имплицитного компонента отношения к вакцинации предмонстрироват меньшую асимметрию: чуть больше половины выборки (50,2%) демонстрирует наличие отрицательного или слабо-отрицательного отношения к вакцинации. </w:t>
      </w:r>
    </w:p>
    <w:p w:rsidR="00000000" w:rsidDel="00000000" w:rsidP="00000000" w:rsidRDefault="00000000" w:rsidRPr="00000000" w14:paraId="00000028">
      <w:pPr>
        <w:spacing w:line="360" w:lineRule="auto"/>
        <w:ind w:firstLine="566.9291338582675"/>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