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left"/>
      </w:pPr>
      <w:r>
        <w:rPr>
          <w:rFonts w:ascii="Times New Roman" w:hAnsi="Times New Roman" w:eastAsia="Times New Roman" w:cs="Times New Roman"/>
          <w:b/>
          <w:sz w:val="24"/>
          <w:szCs w:val="24"/>
        </w:rPr>
        <w:t xml:space="preserve">              </w:t>
      </w:r>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Категорийного директора  Второго категорийного  управления Центра снабжения ПАО Сбербанк Савина Анатолия Алексеевича, действующего на основании Машиночитаемой доверенности № 276D1E7B-0529-45FD-A882-35667B5737C6 от 04.07.2025 года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10 (десяти)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199"/>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200"/>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201"/>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202"/>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203"/>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204"/>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pStyle w:val="1"/>
        <w:numPr>
          <w:ilvl w:val="0"/>
          <w:numId w:val="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Москва, 117312, ул. Вавилова, д. 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30101810400000000225 в ПАО Сбербанк, г. Москва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00032537, ОКВЭД: 64.19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773601001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7707083893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ГРН: 1027700132195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Категорийный директор Второго категорийного  управления Центра снабжения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5"/>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205"/>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{Страны производителя товаров}</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{Единица}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{Необходимое количество}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{Цена за единицу}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{Стоимость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{Сумма предложения (прописью)}</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206"/>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207"/>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drawing>
          <wp:inline distT="0" distB="0" distL="0" distR="0">
            <wp:extent cx="581000" cy="819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581000" cy="819000"/>
                    </a:xfrm>
                    <a:prstGeom prst="rect">
                      <a:avLst/>
                    </a:prstGeom>
                  </pic:spPr>
                </pic:pic>
              </a:graphicData>
            </a:graphic>
          </wp:inline>
        </w:drawing>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19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20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20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20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20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20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205">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206">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207">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F90C038C819447F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88817344BDE59926"/>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168284A436D4D954"/>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1D39F1A01191D9EF"/>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A2E392E3EDAF733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687EC1FACD1FF44A"/>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9">
    <w:nsid w:val="86AC65B8FB0C7340"/>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dsae6pkt88Z1ggs76ai0q8cHPgWT+CfxUF8GBa+jJWS6gXb8ryP7Js+c699BQGHWLGXNatnN97G5B2SUXO7FOA==" w:salt="2+QeVBvl3ipmCGCgxXH7lw=="/>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