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spreadsheetml.sheet" PartName="/word/embeddings/Microsoft_Excel_Worksheet1.xlsx"/>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image/png" PartName="/word/media/document_image_rId11.png"/>
  <Override ContentType="image/png" PartName="/word/media/document_image_rId13.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0.5 on Linux -->
    <w:p>
      <w:pPr>
        <w:spacing w:before="80" w:after="80" w:line="257" w:lineRule="auto"/>
        <w:ind w:left="0" w:right="0"/>
        <w:jc w:val="center"/>
      </w:pPr>
      <w:r>
        <w:rPr>
          <w:rFonts w:ascii="Times New Roman" w:hAnsi="Times New Roman" w:eastAsia="Times New Roman" w:cs="Times New Roman"/>
          <w:b/>
          <w:sz w:val="24"/>
          <w:szCs w:val="24"/>
        </w:rPr>
        <w:t xml:space="preserve"> </w:t>
      </w: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Категорийного директора  Второго категорийного  управления Центра снабжения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Ларионова Евгения Алексеевича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действующего на основании Машиночитаемой доверенности № 276D1E7B-0529-45FD-A882-35667B5737C6 от 04.07.2025 года,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одной стороны, 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действующий на основании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ОГРНИП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w:t>
      </w:r>
      <w:permStart w:edGrp="everyone" w:id="1"/>
      <w:r>
        <w:rPr>
          <w:rFonts w:ascii="Times New Roman" w:hAnsi="Times New Roman" w:eastAsia="Times New Roman" w:cs="Times New Roman"/>
          <w:color w:val="#000000"/>
          <w:sz w:val="22"/>
          <w:szCs w:val="22"/>
        </w:rPr>
        <w:t xml:space="preserve"> 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r>
        <w:rPr>
          <w:rFonts w:ascii="Times New Roman" w:hAnsi="Times New Roman" w:eastAsia="Times New Roman" w:cs="Times New Roman"/>
          <w:color w:val="#000000"/>
          <w:sz w:val="22"/>
          <w:szCs w:val="22"/>
        </w:rPr>
        <w:t xml:space="preserve">.</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 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 </w:t>
      </w:r>
      <w:permStart w:edGrp="everyone" w:id="1"/>
      <w:r>
        <w:rPr>
          <w:rFonts w:ascii="Times New Roman" w:hAnsi="Times New Roman" w:eastAsia="Times New Roman" w:cs="Times New Roman"/>
          <w:color w:val="#000000"/>
          <w:sz w:val="22"/>
          <w:szCs w:val="22"/>
        </w:rPr>
        <w:t xml:space="preserve">5 (пять) и более % </w:t>
      </w:r>
      <w:permEnd xmlns:xsi="http://www.w3.org/2001/XMLSchema-instance" xsi:type="w:CT_PermStart" w:edGrp="everyone" w:id="1"/>
      <w:r>
        <w:rPr>
          <w:rFonts w:ascii="Times New Roman" w:hAnsi="Times New Roman" w:eastAsia="Times New Roman" w:cs="Times New Roman"/>
          <w:color w:val="#000000"/>
          <w:sz w:val="22"/>
          <w:szCs w:val="22"/>
        </w:rPr>
        <w:t xml:space="preserve">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w:t>
      </w:r>
      <w:permStart w:edGrp="everyone" w:id="1"/>
      <w:r>
        <w:rPr>
          <w:rFonts w:ascii="Times New Roman" w:hAnsi="Times New Roman" w:eastAsia="Times New Roman" w:cs="Times New Roman"/>
          <w:color w:val="#000000"/>
          <w:sz w:val="22"/>
          <w:szCs w:val="22"/>
        </w:rPr>
        <w:t xml:space="preserve">не позднее 3 (трех)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3 (трех) рабочих</w:t>
      </w:r>
      <w:permEnd xmlns:xsi="http://www.w3.org/2001/XMLSchema-instance" xsi:type="w:CT_PermStart" w:edGrp="everyone" w:id="1"/>
      <w:r>
        <w:rPr>
          <w:rFonts w:ascii="Times New Roman" w:hAnsi="Times New Roman" w:eastAsia="Times New Roman" w:cs="Times New Roman"/>
          <w:color w:val="#000000"/>
          <w:sz w:val="22"/>
          <w:szCs w:val="22"/>
        </w:rPr>
        <w:t xml:space="preserve"> дней 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 </w:t>
      </w:r>
      <w:permStart w:edGrp="everyone" w:id="1"/>
      <w:r>
        <w:rPr>
          <w:rFonts w:ascii="Times New Roman" w:hAnsi="Times New Roman" w:eastAsia="Times New Roman" w:cs="Times New Roman"/>
          <w:color w:val="#000000"/>
          <w:sz w:val="22"/>
          <w:szCs w:val="22"/>
        </w:rPr>
        <w:t xml:space="preserve">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 </w:t>
      </w:r>
      <w:permEnd xmlns:xsi="http://www.w3.org/2001/XMLSchema-instance" xsi:type="w:CT_PermStart" w:edGrp="everyone" w:id="1"/>
      <w:r>
        <w:rPr>
          <w:rFonts w:ascii="Times New Roman" w:hAnsi="Times New Roman" w:eastAsia="Times New Roman" w:cs="Times New Roman"/>
          <w:color w:val="#000000"/>
          <w:sz w:val="22"/>
          <w:szCs w:val="22"/>
        </w:rPr>
        <w:t xml:space="preserve">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804"/>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805"/>
      </w:r>
      <w:r>
        <w:rPr>
          <w:rFonts w:ascii="Times New Roman" w:hAnsi="Times New Roman" w:eastAsia="Times New Roman" w:cs="Times New Roman"/>
          <w:color w:val="#000000"/>
          <w:sz w:val="22"/>
          <w:szCs w:val="22"/>
        </w:rPr>
        <w:t xml:space="preserve">Поставщика к ИТ-инфраструктуре</w:t>
      </w:r>
      <w:r>
        <w:rPr>
          <w:rStyle w:val="a4"/>
          <w:rFonts w:ascii="Times New Roman" w:hAnsi="Times New Roman" w:cs="Times New Roman"/>
          <w:sz w:val="24"/>
          <w:lang w:val="en-US"/>
        </w:rPr>
        <w:footnoteReference w:id="806"/>
      </w:r>
      <w:r>
        <w:rPr>
          <w:rFonts w:ascii="Times New Roman" w:hAnsi="Times New Roman" w:eastAsia="Times New Roman" w:cs="Times New Roman"/>
          <w:color w:val="#000000"/>
          <w:sz w:val="22"/>
          <w:szCs w:val="22"/>
        </w:rPr>
        <w:t xml:space="preserve">Заказчика, а также допуск работников Поставщика к работе на средствах вычислительной техники и в автоматизированных системах Заказчика.</w:t>
      </w:r>
      <w:r>
        <w:rPr>
          <w:rFonts w:ascii="Times New Roman" w:hAnsi="Times New Roman" w:eastAsia="Times New Roman" w:cs="Times New Roman"/>
          <w:color w:val="#000000"/>
          <w:sz w:val="22"/>
          <w:szCs w:val="22"/>
        </w:rPr>
        <w:br w:type="textWrapping"/>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r>
        <w:rPr>
          <w:rFonts w:ascii="Times New Roman" w:hAnsi="Times New Roman" w:eastAsia="Times New Roman" w:cs="Times New Roman"/>
          <w:color w:val="#000000"/>
          <w:sz w:val="22"/>
          <w:szCs w:val="22"/>
        </w:rPr>
        <w:br w:type="textWrapping"/>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r>
        <w:rPr>
          <w:rFonts w:ascii="Times New Roman" w:hAnsi="Times New Roman" w:eastAsia="Times New Roman" w:cs="Times New Roman"/>
          <w:color w:val="#000000"/>
          <w:sz w:val="22"/>
          <w:szCs w:val="22"/>
        </w:rPr>
        <w:br w:type="textWrapping"/>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sz w:val="22"/>
          <w:szCs w:val="22"/>
        </w:rPr>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w:t>
      </w:r>
      <w:r>
        <w:rPr>
          <w:rFonts w:ascii="Times New Roman" w:hAnsi="Times New Roman" w:eastAsia="Times New Roman" w:cs="Times New Roman"/>
          <w:color w:val="#000000"/>
          <w:sz w:val="22"/>
          <w:szCs w:val="22"/>
        </w:rPr>
        <w:t xml:space="preserve">,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w:t>
      </w:r>
      <w:permStart w:edGrp="everyone" w:id="1"/>
      <w:r>
        <w:rPr>
          <w:rFonts w:ascii="Times New Roman" w:hAnsi="Times New Roman" w:eastAsia="Times New Roman" w:cs="Times New Roman"/>
          <w:color w:val="#000000"/>
          <w:sz w:val="22"/>
          <w:szCs w:val="22"/>
        </w:rPr>
        <w:t xml:space="preserve">В течение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w:t>
      </w:r>
      <w:permStart w:edGrp="everyone" w:id="1"/>
      <w:r>
        <w:rPr>
          <w:rFonts w:ascii="Times New Roman" w:hAnsi="Times New Roman" w:eastAsia="Times New Roman" w:cs="Times New Roman"/>
          <w:color w:val="#000000"/>
          <w:sz w:val="22"/>
          <w:szCs w:val="22"/>
        </w:rPr>
        <w:t xml:space="preserve">не более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807"/>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808"/>
      </w:r>
      <w:r>
        <w:rPr>
          <w:rFonts w:ascii="Times New Roman" w:hAnsi="Times New Roman" w:eastAsia="Times New Roman" w:cs="Times New Roman"/>
          <w:sz w:val="22"/>
          <w:szCs w:val="22"/>
        </w:rPr>
        <w:t xml:space="preserve">,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809"/>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 </w:t>
      </w:r>
      <w:permStart w:edGrp="everyone" w:id="1"/>
      <w:r>
        <w:rPr>
          <w:rFonts w:ascii="Times New Roman" w:hAnsi="Times New Roman" w:eastAsia="Times New Roman" w:cs="Times New Roman"/>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both"/>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нарушений заверений об обстоятельствах, указанных в п. 6.4 Договора,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 </w:t>
      </w:r>
      <w:permStart w:edGrp="everyone" w:id="1"/>
      <w:r>
        <w:rPr>
          <w:rFonts w:ascii="Times New Roman" w:hAnsi="Times New Roman" w:eastAsia="Times New Roman" w:cs="Times New Roman"/>
          <w:color w:val="#000000"/>
          <w:sz w:val="22"/>
          <w:szCs w:val="22"/>
        </w:rPr>
        <w:t xml:space="preserve">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 </w:t>
      </w:r>
      <w:permEnd xmlns:xsi="http://www.w3.org/2001/XMLSchema-instance" xsi:type="w:CT_PermStart" w:edGrp="everyone" w:id="1"/>
      <w:r>
        <w:rPr>
          <w:rFonts w:ascii="Times New Roman" w:hAnsi="Times New Roman" w:eastAsia="Times New Roman" w:cs="Times New Roman"/>
          <w:color w:val="#000000"/>
          <w:sz w:val="22"/>
          <w:szCs w:val="22"/>
        </w:rPr>
        <w:t xml:space="preserve">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5 – Антикоррупционная оговорка</w:t>
      </w:r>
      <w:permEnd xmlns:xsi="http://www.w3.org/2001/XMLSchema-instance" xsi:type="w:CT_PermStart" w:edGrp="everyone" w:id="1"/>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p>
    <w:tbl>
      <w:tblPr>
        <w:tblStyle w:val="TableGrid"/>
        <w:tblW w:w="5000" w:type="pct"/>
        <w:tblLayout w:type="fixed"/>
        <w:tblCellMar>
          <w:top w:w="170" w:type="dxa"/>
          <w:left w:w="113" w:type="dxa"/>
          <w:bottom w:w="0"/>
          <w:right w:w="113" w:type="dxa"/>
        </w:tblCellMar>
      </w:tblP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ПАО Сбербанк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Местонахождение:  Москва, 117312, ул. Вавилова, д. 19</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Москва, 117312, ул. Вавилова, д. 19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8 800 707 00 70</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044525225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60312810500010200000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30101810400000000225 в ПАО Сбербанк, г. Москва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ОКВЭД: 64.19 ОКПО: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00032537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КПП: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ИНН: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7707083893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773601001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1027700132195</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Индивидуальный предприниматель</w:t>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Категорийный директор  Второго категорийного  управления Центра снабжения ПАО Сбербанк</w:t>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Ларионов Евгений Алексеевич</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r>
        <w:tc>
          <w:tcPr>
            <w:tcW w:w="47"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3"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4"/>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  </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Style w:val="a4"/>
                <w:rFonts w:ascii="Times New Roman" w:hAnsi="Times New Roman" w:cs="Times New Roman"/>
                <w:sz w:val="24"/>
                <w:lang w:val="en-US"/>
              </w:rPr>
              <w:footnoteReference w:id="810"/>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sz w:val="20"/>
                <w:szCs w:val="20"/>
              </w:rPr>
              <w:t xml:space="preserve">,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2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2"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2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{ЕИ}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{Кол-во}</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{Цена за ед.}</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{Стоимость}</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{Сроки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2"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ermStart w:edGrp="everyone" w:id="1"/>
            <w:r>
              <w:rPr>
                <w:rFonts w:ascii="Times New Roman" w:hAnsi="Times New Roman" w:eastAsia="Times New Roman" w:cs="Times New Roman"/>
                <w:sz w:val="20"/>
                <w:szCs w:val="20"/>
              </w:rPr>
              <w:t xml:space="preserve">{Адрес поставки}</w:t>
            </w:r>
            <w:permEnd xmlns:xsi="http://www.w3.org/2001/XMLSchema-instance" xsi:type="w:CT_PermStart" w:edGrp="everyone" w:id="1"/>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{Общая сумма предложения}</w:t>
      </w:r>
      <w:permEnd xmlns:xsi="http://www.w3.org/2001/XMLSchema-instance" xsi:type="w:CT_PermStart" w:edGrp="everyone" w:id="1"/>
      <w:permStart w:edGrp="everyone" w:id="1"/>
      <w:r>
        <w:rPr>
          <w:rFonts w:ascii="Times New Roman" w:hAnsi="Times New Roman" w:eastAsia="Times New Roman" w:cs="Times New Roman"/>
          <w:color w:val="#1D2532"/>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рублей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с учетом НДС (20%)</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spacing w:before="80" w:after="80" w:line="257" w:lineRule="auto"/>
        <w:ind w:left="363" w:right="0" w:hanging="363"/>
        <w:jc w:val="both"/>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Специальные условия о сроке и порядке поставки Продукции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Вид и способ доставки: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2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5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r>
      <w:tr>
        <w:tc>
          <w:tcPr>
            <w:tcW w:w="2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позиции}</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ermStart w:edGrp="everyone" w:id="1"/>
            <w:r>
              <w:rPr>
                <w:rFonts w:ascii="Times New Roman" w:hAnsi="Times New Roman" w:eastAsia="Times New Roman" w:cs="Times New Roman"/>
                <w:color w:val="#000000"/>
                <w:sz w:val="22"/>
                <w:szCs w:val="22"/>
              </w:rPr>
              <w:t xml:space="preserve">{Описание характеристики позиции у победителя}</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ermStart w:edGrp="everyone" w:id="1"/>
            <w:permEnd xmlns:xsi="http://www.w3.org/2001/XMLSchema-instance" xsi:type="w:CT_PermStart" w:edGrp="everyone" w:id="1"/>
            <w:permStart w:edGrp="everyone" w:id="1"/>
            <w:r>
              <w:rPr>
                <w:rFonts w:ascii="Times New Roman" w:hAnsi="Times New Roman" w:eastAsia="Times New Roman" w:cs="Times New Roman"/>
                <w:b/>
                <w:sz w:val="22"/>
                <w:szCs w:val="22"/>
              </w:rPr>
              <w:t xml:space="preserve"/>
            </w:r>
            <w:permEnd xmlns:xsi="http://www.w3.org/2001/XMLSchema-instance" xsi:type="w:CT_PermStart" w:edGrp="everyone" w:id="1"/>
          </w:p>
        </w:tc>
      </w:tr>
    </w:tbl>
    <w:p>
      <w:pPr>
        <w:spacing w:line="257" w:lineRule="auto"/>
      </w:pPr>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Порядок оплаты</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w: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указанный в разделе 13 Договора.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не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ФОРМЫ АКТОВ И ПРОТОКОЛОВ</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ФОРМА АКТА СДАЧИ-ПРИЕМКИ ПРОДУКЦИИ</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_______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811"/>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2</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ВЫЯВЛЕННЫХ НЕДОСТАТКОВ В ПРОДУКЦИИ</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3</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Акту:_______________________ (заполнять при наличии).</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 по каталогу (указывается при наличии)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Стоимость с учетом НДС, руб</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8"/>
                <w:szCs w:val="18"/>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sz w:val="16"/>
                <w:szCs w:val="16"/>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2</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8</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sz w:val="16"/>
                <w:szCs w:val="16"/>
              </w:rPr>
              <w:t xml:space="preserve">9</w:t>
            </w:r>
            <w:permEnd xmlns:xsi="http://www.w3.org/2001/XMLSchema-instance" xsi:type="w:CT_PermStart" w:edGrp="everyone" w:id="1"/>
          </w:p>
        </w:tc>
      </w:tr>
      <w:tr>
        <w:tc>
          <w:tcPr>
            <w:tcW w:w="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6"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8"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7"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0"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11"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p>
        </w:tc>
        <w:tc>
          <w:tcPr>
            <w:tcW w:w="22"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w:t>
            </w: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
        </w:tc>
        <w:tc>
          <w:tcPr>
            <w:tcW w:w="22"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 _______________________ (заполнять при наличии).</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w:t>
            </w:r>
            <w:permEnd xmlns:xsi="http://www.w3.org/2001/XMLSchema-instance" xsi:type="w:CT_PermStart" w:edGrp="everyone" w:id="1"/>
            <w:permStart w:edGrp="everyone" w:id="1"/>
            <w:r>
              <w:rPr>
                <w:rFonts w:ascii="Times New Roman" w:hAnsi="Times New Roman" w:eastAsia="Times New Roman" w:cs="Times New Roman"/>
                <w:sz w:val="18"/>
                <w:szCs w:val="18"/>
              </w:rPr>
              <w:t xml:space="preserve">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sz w:val="16"/>
                <w:szCs w:val="16"/>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sz w:val="16"/>
                <w:szCs w:val="16"/>
              </w:rPr>
              <w:t xml:space="preserve"> м.п. </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Приложение № 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ОБЯЗАТЕЛЬСТВА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ОБЯЗАТЕЛЬСТВО</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w:t>
      </w:r>
      <w:permEnd xmlns:xsi="http://www.w3.org/2001/XMLSchema-instance" xsi:type="w:CT_PermStart" w:edGrp="everyone" w:id="1"/>
      <w:permStart w:edGrp="everyone" w:id="1"/>
      <w:r>
        <w:rPr>
          <w:rStyle w:val="a4"/>
          <w:rFonts w:ascii="Times New Roman" w:hAnsi="Times New Roman" w:cs="Times New Roman"/>
          <w:sz w:val="24"/>
          <w:lang w:val="en-US"/>
        </w:rPr>
        <w:footnoteReference w:id="812"/>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незаконного получения конфиденциальной информации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на территорию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к СВТ или АС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«____» _______________20___г.                                   ____________________/____________________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 Подпись                                          ФИО         </w:t>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sz w:val="20"/>
          <w:szCs w:val="20"/>
        </w:rPr>
        <w:t xml:space="preserve">Приложение № 4</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0"/>
          <w:szCs w:val="20"/>
        </w:rPr>
        <w:t xml:space="preserve">к Договору № ______</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0"/>
          <w:szCs w:val="20"/>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ermEnd xmlns:xsi="http://www.w3.org/2001/XMLSchema-instance" xsi:type="w:CT_PermStart" w:edGrp="everyone" w:id="1"/>
      <w:r>
        <w:drawing>
          <wp:inline distT="0" distB="0" distL="0" distR="0">
            <wp:extent cx="8960000" cy="4445000"/>
            <wp:effectExtent l="0" t="0" r="0" b="0"/>
            <wp:docPr id="1" name="" descr=""/>
            <wp:cNvGraphicFramePr>
              <a:graphicFrameLocks noChangeAspect="true"/>
            </wp:cNvGraphicFramePr>
            <a:graphic>
              <a:graphicData uri="http://schemas.openxmlformats.org/drawingml/2006/picture">
                <pic:pic>
                  <pic:nvPicPr>
                    <pic:cNvPr id="2" name=""/>
                    <pic:cNvPicPr/>
                  </pic:nvPicPr>
                  <pic:blipFill>
                    <a:blip r:embed="rId11"/>
                    <a:stretch>
                      <a:fillRect/>
                    </a:stretch>
                  </pic:blipFill>
                  <pic:spPr>
                    <a:xfrm>
                      <a:off x="0" y="0"/>
                      <a:ext cx="8960000" cy="4445000"/>
                    </a:xfrm>
                    <a:prstGeom prst="rect">
                      <a:avLst/>
                    </a:prstGeom>
                  </pic:spPr>
                </pic:pic>
              </a:graphicData>
            </a:graphic>
          </wp:inline>
        </w:drawing>
      </w: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ermStart w:edGrp="everyone" w:id="1"/>
      <w:r>
        <w:object>
          <v:shapetype stroked="f" filled="f" o:spt="75.0" o:preferrelative="t" path="m@4@5l@4@11@9@11@9@5xe" coordsize="21600,21600" id="_x0000_t75">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type="#_x0000_t75" style="width:0pt;height:0pt" id="_s1372302202" o:hralign="left" o:insetmode="custom" o:connectortype="straight" o:ole="">
            <v:imagedata o:title="" r:id="rId13"/>
          </v:shape>
          <o:OLEObject Type="Embed" ProgID="Excel.Sheet.12" ShapeID="_s1372302202" DrawAspect="Icon" ObjectID="_5142926" r:id="rId12"/>
        </w:object>
      </w:r>
      <w:permEnd xmlns:xsi="http://www.w3.org/2001/XMLSchema-instance" xsi:type="w:CT_PermStart" w:edGrp="everyone" w:id="1"/>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5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к Договору № ______ </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от «___» _________ ____г.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Антикоррупционная оговорка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 При заключении, исполнении, изменении и расторжении Договора Стороны принимают на себя следующие обязательства: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1.1.1. Стороны, их работники, уполномоченные представители и посредники по Договору не предлагают, не обещают, не требуют, не разрешают предоставление, не предоставляют каких-либо денег, ценных бумаг, иного имущества, не оказывают услуги имущественного характера, не выполняют работы, не предоставляют какие-либо имущественные права, прямо или косвенно, лично или через посредников любым лицам для оказания влияния на действия (бездействие) и/или решения этих и/или других лиц с целью получения каких-либо выгод (преимуществ) или для достижения иных целей.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1.1.2. Стороны, их работники, уполномоченные представители и посредники по Договору не осуществляют действия (бездействие), квалифицируемые применимым законодательством как дача/получение взятки, коммерческий подкуп, посредничество во взяточничестве/коммерческом подкупе, злоупотребление полномочиями, незаконное вознаграждение от имени юридического лица, а также иные действия (бездействие), нарушающие требования применимого законодательства и применимых норм международного права в области противодействия коррупции.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1.1.3. Стороны (i) уведомляют друг друга о ставших известными им обстоятельствах, которые являются или могут явиться основанием для возникновения конфликта интересов ; (ii) воздерживаются от совершения действий (бездействия), влекущих за собой возникновение или создающих угрозу возникновения конфликта интересов; (iii) оказывают иное содействие друг другу в целях выявления, предупреждения и предотвращения коррупционных правонарушений и конфликтов интересов в рамках и в связи с отношениями Сторон по Договору.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1.2. Положения пункта 1.1. Антикоррупционной оговорки распространяются на отношения, возникшие до его заключения, но связанные с заключением Договора.</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 1.3. В случае появления у Стороны сведений о фактическом или возможном нарушении другой Стороной, ее работниками, представителями или посредниками по Договору каких-либо положений пунктов 1.1.1-1.1.3. Антикоррупционной оговорки (далее – Нарушение коррупционной направленности), такая Сторона обязуется незамедлительно письменно уведомить другую Сторону об этом. Такое уведомление должно содержать указание на реквизиты Договора, описание фактических обстоятельств, связанных с Нарушением коррупционной направленности, которые послужили основанием для направления уведомления. К уведомлению должны быть приложены подтверждающие документы и/или материалы (к ним относятся показания участников и очевидцев событий, письменные документы, переписка посредством электронной почты, sms и мессенджеров, аудио- и видеозаписи и т.п.).</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 Сторона, получившая уведомление, обеспечивает его конфиденциальное рассмотрение, а также направляет другой Стороне мотивированный ответ в течение 30 (тридцати) календарных дней с даты получения уведомления. В случае несогласия Стороны, получившей уведомление, c предоставленными в уведомлении обстоятельствами, связанными с Нарушением коррупционной направленности, которые послужили основанием для направления уведомления и/или подтверждающими документами и/или материалами, в своем ответе она должна привести возражения в отношении направленных сведений о Нарушении коррупционной направленности.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1.4. В случаях (i) получения Стороной от другой Стороны ответа, подтверждающего Нарушение коррупционной направленности, или (ii) отсутствия в полученном Стороной ответе от другой Стороны возражений в отношении направленных сведений о Нарушении коррупционной направленности, Сторона вправе расторгнуть Договор в одностороннем внесудебном порядке, направив письменное уведомление о расторжении. </w:t>
      </w:r>
      <w:permEnd xmlns:xsi="http://www.w3.org/2001/XMLSchema-instance" xsi:type="w:CT_PermStart" w:edGrp="everyone" w:id="1"/>
    </w:p>
    <w:p>
      <w:pPr>
        <w:spacing w:before="80" w:after="80" w:line="257" w:lineRule="auto"/>
        <w:ind w:left="0" w:right="0" w:firstLine="709"/>
        <w:jc w:val="both"/>
      </w:pPr>
      <w:permStart w:edGrp="everyone" w:id="1"/>
      <w:r>
        <w:rPr>
          <w:rFonts w:ascii="Times New Roman" w:hAnsi="Times New Roman" w:eastAsia="Times New Roman" w:cs="Times New Roman"/>
          <w:sz w:val="22"/>
          <w:szCs w:val="22"/>
        </w:rPr>
        <w:t xml:space="preserve">Договор считается расторгнутым по истечении 10 (десяти) календарных дней</w:t>
      </w:r>
      <w:permEnd xmlns:xsi="http://www.w3.org/2001/XMLSchema-instance" xsi:type="w:CT_PermStart" w:edGrp="everyone" w:id="1"/>
      <w:r>
        <w:rPr>
          <w:rStyle w:val="a4"/>
          <w:rFonts w:ascii="Times New Roman" w:hAnsi="Times New Roman" w:cs="Times New Roman"/>
          <w:sz w:val="24"/>
          <w:lang w:val="en-US"/>
        </w:rPr>
        <w:footnoteReference w:id="813"/>
      </w:r>
      <w:permStart w:edGrp="everyone" w:id="1"/>
      <w:r>
        <w:rPr>
          <w:rFonts w:ascii="Times New Roman" w:hAnsi="Times New Roman" w:eastAsia="Times New Roman" w:cs="Times New Roman"/>
          <w:sz w:val="22"/>
          <w:szCs w:val="22"/>
        </w:rPr>
        <w:t xml:space="preserve">  с даты получения другой Стороной соответствующего письменного уведомления о расторжении Договора. Сторона, по инициативе которой был расторгнут Договор, в соответствии с положениями настоящего пункта, вправе требовать возмещения реального ущерба, возникшего в результате такого расторжения Договора. </w:t>
      </w:r>
      <w:permEnd xmlns:xsi="http://www.w3.org/2001/XMLSchema-instance" xsi:type="w:CT_PermStart" w:edGrp="everyone" w:id="1"/>
    </w:p>
    <w:sectPr>
      <w:pgSz w:w="11906" w:h="16838" w:orient="portrait" w:code="9"/>
      <w:pgMar w:top="1134" w:right="1134" w:bottom="1134" w:left="1134" w:header="284" w:footer="567" w:gutter="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804">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805">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806">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807">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808">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809">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810">
    <w:p>
      <w:pPr>
        <w:spacing w:before="80" w:after="80" w:line="257" w:lineRule="auto"/>
        <w:ind w:left="0" w:right="0"/>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ermEnd xmlns:xsi="http://www.w3.org/2001/XMLSchema-instance" xsi:type="w:CT_PermStart" w:edGrp="everyone" w:id="1"/>
    </w:p>
    <w:p>
      <w:pPr>
        <w:spacing w:before="80" w:after="80" w:line="257" w:lineRule="auto"/>
        <w:ind w:left="0" w:right="0"/>
        <w:rPr>
          <w:color w:val="1D2532"/>
          <w:sz w:val="22"/>
          <w:szCs w:val="22"/>
          <w:shd w:val="clear" w:color="auto" w:fill="FFFFFF"/>
        </w:rPr>
      </w:pPr>
      <w:permStart w:edGrp="everyone" w:id="1"/>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ermEnd xmlns:xsi="http://www.w3.org/2001/XMLSchema-instance" xsi:type="w:CT_PermStart" w:edGrp="everyone" w:id="1"/>
    </w:p>
  </w:footnote>
  <w:footnote w:id="811">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Указать соответствующие претензии в случае их наличия.</w:t>
      </w:r>
      <w:permEnd xmlns:xsi="http://www.w3.org/2001/XMLSchema-instance" xsi:type="w:CT_PermStart" w:edGrp="everyone" w:id="1"/>
    </w:p>
  </w:footnote>
  <w:footnote w:id="812">
    <w:p>
      <w:pPr>
        <w:spacing w:before="80" w:after="80" w:line="257" w:lineRule="auto"/>
        <w:ind w:left="0" w:right="0"/>
        <w:jc w:val="left"/>
        <w:rPr>
          <w:color w:val="1D2532"/>
          <w:sz w:val="22"/>
          <w:szCs w:val="22"/>
          <w:shd w:val="clear" w:color="auto" w:fill="FFFFFF"/>
        </w:rPr>
      </w:pPr>
      <w:r>
        <w:rPr>
          <w:rStyle w:val="a4"/>
        </w:rPr>
        <w:footnoteRef/>
      </w:r>
      <w:permStart w:edGrp="everyone" w:id="1"/>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ermEnd xmlns:xsi="http://www.w3.org/2001/XMLSchema-instance" xsi:type="w:CT_PermStart" w:edGrp="everyone" w:id="1"/>
    </w:p>
  </w:footnote>
  <w:footnote w:id="813">
    <w:p>
      <w:pPr>
        <w:spacing w:before="80" w:after="80" w:line="257" w:lineRule="auto"/>
        <w:ind w:left="0" w:right="0"/>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Если иное не следует из других положений Договора, термин «конфликт интересов» понимается в значении, определенном в статье 10 Федерального закона от 25.12.2008 № 273-ФЗ «О противодействии коррупции».</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959464E49060A5CE"/>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861C1B8DFB8FBE4"/>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BEA8FCD0F0C562B7"/>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8488953D8FDB027A"/>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59A413AAC48A84A1"/>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8">
    <w:nsid w:val="3C60071DDDAFD9D8"/>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4suVQEN1OknsxL2D+r+gWUCzhIUX7RClDqwuKMtyS/XV4NBaNFWieY0/etu1eRLOoMTOufS5hBcwr+NE/Hmz9w==" w:salt="ozujn/Va+MF2Z/7YlspWmw=="/>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 Target="media/document_image_rId11.png" Type="http://schemas.openxmlformats.org/officeDocument/2006/relationships/image" Id="rId11"/>
    <Relationship Target="embeddings/Microsoft_Excel_Worksheet1.xlsx" Type="http://schemas.openxmlformats.org/officeDocument/2006/relationships/package" Id="rId12"/>
    <Relationship Target="media/document_image_rId13.png" Type="http://schemas.openxmlformats.org/officeDocument/2006/relationships/image" Id="rId13"/>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